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784AE" w14:textId="1262A8F0" w:rsidR="00002D14" w:rsidRDefault="00466D29" w:rsidP="00381236">
      <w:pPr>
        <w:spacing w:line="360" w:lineRule="auto"/>
        <w:jc w:val="center"/>
        <w:rPr>
          <w:rFonts w:ascii="Arial" w:hAnsi="Arial" w:cs="Arial"/>
          <w:b/>
          <w:bCs/>
          <w:sz w:val="20"/>
          <w:szCs w:val="20"/>
        </w:rPr>
      </w:pPr>
      <w:r>
        <w:rPr>
          <w:rFonts w:ascii="Arial" w:hAnsi="Arial" w:cs="Arial"/>
          <w:b/>
          <w:bCs/>
          <w:sz w:val="20"/>
          <w:szCs w:val="20"/>
        </w:rPr>
        <w:t xml:space="preserve">IMPACTO DAS ETIOLOGIAS DE HEPATOCARCINOMA </w:t>
      </w:r>
      <w:r w:rsidR="0062620C">
        <w:rPr>
          <w:rFonts w:ascii="Arial" w:hAnsi="Arial" w:cs="Arial"/>
          <w:b/>
          <w:bCs/>
          <w:sz w:val="20"/>
          <w:szCs w:val="20"/>
        </w:rPr>
        <w:t>NA PRESENÇA DE INVASÃO MICROVASCULAR EM PACIENTES SUBMETIDOS A TRANSPLANTE HEPÁTICO</w:t>
      </w:r>
    </w:p>
    <w:p w14:paraId="34ECFDC4" w14:textId="02D023B2" w:rsidR="00381236" w:rsidRDefault="00381236" w:rsidP="00381236">
      <w:pPr>
        <w:spacing w:line="360" w:lineRule="auto"/>
        <w:jc w:val="both"/>
        <w:rPr>
          <w:rFonts w:ascii="Arial" w:hAnsi="Arial" w:cs="Arial"/>
          <w:b/>
          <w:bCs/>
          <w:sz w:val="20"/>
          <w:szCs w:val="20"/>
        </w:rPr>
      </w:pPr>
    </w:p>
    <w:p w14:paraId="05F60ED4" w14:textId="77777777" w:rsidR="00381236" w:rsidRDefault="00381236" w:rsidP="00381236">
      <w:pPr>
        <w:spacing w:line="360" w:lineRule="auto"/>
        <w:jc w:val="both"/>
        <w:rPr>
          <w:rFonts w:ascii="Arial" w:hAnsi="Arial" w:cs="Arial"/>
          <w:b/>
          <w:bCs/>
          <w:sz w:val="20"/>
          <w:szCs w:val="20"/>
        </w:rPr>
      </w:pPr>
    </w:p>
    <w:p w14:paraId="4B1249AE" w14:textId="65FF446A" w:rsidR="00B9185C" w:rsidRPr="00B9185C" w:rsidRDefault="00B9185C" w:rsidP="003B1E79">
      <w:pPr>
        <w:spacing w:line="360" w:lineRule="auto"/>
        <w:jc w:val="both"/>
        <w:rPr>
          <w:rFonts w:ascii="Arial" w:hAnsi="Arial" w:cs="Arial"/>
          <w:sz w:val="20"/>
          <w:szCs w:val="20"/>
        </w:rPr>
      </w:pPr>
      <w:r w:rsidRPr="00B9185C">
        <w:rPr>
          <w:rFonts w:ascii="Arial" w:hAnsi="Arial" w:cs="Arial"/>
          <w:b/>
          <w:bCs/>
          <w:sz w:val="20"/>
          <w:szCs w:val="20"/>
        </w:rPr>
        <w:t>Objetivo</w:t>
      </w:r>
      <w:r w:rsidRPr="00B9185C">
        <w:rPr>
          <w:rFonts w:ascii="Arial" w:hAnsi="Arial" w:cs="Arial"/>
          <w:sz w:val="20"/>
          <w:szCs w:val="20"/>
        </w:rPr>
        <w:t xml:space="preserve"> –</w:t>
      </w:r>
      <w:r>
        <w:rPr>
          <w:rFonts w:ascii="Arial" w:hAnsi="Arial" w:cs="Arial"/>
          <w:sz w:val="20"/>
          <w:szCs w:val="20"/>
        </w:rPr>
        <w:t xml:space="preserve"> Co</w:t>
      </w:r>
      <w:r w:rsidRPr="00221347">
        <w:rPr>
          <w:rFonts w:ascii="Arial" w:hAnsi="Arial" w:cs="Arial"/>
          <w:sz w:val="20"/>
          <w:szCs w:val="20"/>
        </w:rPr>
        <w:t>rrelacionar dados clínicos e epidemiológico</w:t>
      </w:r>
      <w:r>
        <w:rPr>
          <w:rFonts w:ascii="Arial" w:hAnsi="Arial" w:cs="Arial"/>
          <w:sz w:val="20"/>
          <w:szCs w:val="20"/>
        </w:rPr>
        <w:t>s</w:t>
      </w:r>
      <w:r w:rsidRPr="00221347">
        <w:rPr>
          <w:rFonts w:ascii="Arial" w:hAnsi="Arial" w:cs="Arial"/>
          <w:sz w:val="20"/>
          <w:szCs w:val="20"/>
        </w:rPr>
        <w:t xml:space="preserve"> com a análise patológica dos explantes hepáticos de todos os pacientes que foram submetidos ao transplante hepático</w:t>
      </w:r>
      <w:r>
        <w:rPr>
          <w:rFonts w:ascii="Arial" w:hAnsi="Arial" w:cs="Arial"/>
          <w:sz w:val="20"/>
          <w:szCs w:val="20"/>
        </w:rPr>
        <w:t xml:space="preserve"> </w:t>
      </w:r>
      <w:r w:rsidRPr="00B9185C">
        <w:rPr>
          <w:rFonts w:ascii="Arial" w:hAnsi="Arial" w:cs="Arial"/>
          <w:sz w:val="20"/>
          <w:szCs w:val="20"/>
        </w:rPr>
        <w:t>no Hospital das Clínicas da UNICAMP</w:t>
      </w:r>
      <w:r>
        <w:rPr>
          <w:rFonts w:ascii="Arial" w:hAnsi="Arial" w:cs="Arial"/>
          <w:sz w:val="20"/>
          <w:szCs w:val="20"/>
        </w:rPr>
        <w:t xml:space="preserve"> e verificar se </w:t>
      </w:r>
      <w:r w:rsidRPr="00B9185C">
        <w:rPr>
          <w:rFonts w:ascii="Arial" w:hAnsi="Arial" w:cs="Arial"/>
          <w:sz w:val="20"/>
          <w:szCs w:val="20"/>
        </w:rPr>
        <w:t xml:space="preserve">os scores MELD e </w:t>
      </w:r>
      <w:proofErr w:type="spellStart"/>
      <w:r w:rsidRPr="00B9185C">
        <w:rPr>
          <w:rFonts w:ascii="Arial" w:hAnsi="Arial" w:cs="Arial"/>
          <w:sz w:val="20"/>
          <w:szCs w:val="20"/>
        </w:rPr>
        <w:t>MELD-Na</w:t>
      </w:r>
      <w:proofErr w:type="spellEnd"/>
      <w:r w:rsidRPr="00B9185C">
        <w:rPr>
          <w:rFonts w:ascii="Arial" w:hAnsi="Arial" w:cs="Arial"/>
          <w:sz w:val="20"/>
          <w:szCs w:val="20"/>
        </w:rPr>
        <w:t xml:space="preserve"> apresentam diferenças estatísticas para predizer pior prognóstico </w:t>
      </w:r>
      <w:r>
        <w:rPr>
          <w:rFonts w:ascii="Arial" w:hAnsi="Arial" w:cs="Arial"/>
          <w:sz w:val="20"/>
          <w:szCs w:val="20"/>
        </w:rPr>
        <w:t>pós-transplante</w:t>
      </w:r>
      <w:r w:rsidRPr="00B9185C">
        <w:rPr>
          <w:rFonts w:ascii="Arial" w:hAnsi="Arial" w:cs="Arial"/>
          <w:sz w:val="20"/>
          <w:szCs w:val="20"/>
        </w:rPr>
        <w:t xml:space="preserve">. </w:t>
      </w:r>
      <w:r w:rsidRPr="00B9185C">
        <w:rPr>
          <w:rFonts w:ascii="Arial" w:hAnsi="Arial" w:cs="Arial"/>
          <w:b/>
          <w:bCs/>
          <w:sz w:val="20"/>
          <w:szCs w:val="20"/>
        </w:rPr>
        <w:t>Métodos</w:t>
      </w:r>
      <w:r w:rsidRPr="00B9185C">
        <w:rPr>
          <w:rFonts w:ascii="Arial" w:hAnsi="Arial" w:cs="Arial"/>
          <w:sz w:val="20"/>
          <w:szCs w:val="20"/>
        </w:rPr>
        <w:t xml:space="preserve"> – Considerando todos os transplantes hepáticos ocorridos entre maio/2010 e novembro/2017, obteve-se o total de 125 pacientes, 38 foram excluídos, foram colhidos dados clínicos e laboratoriais de todos os pacientes para </w:t>
      </w:r>
      <w:r>
        <w:rPr>
          <w:rFonts w:ascii="Arial" w:hAnsi="Arial" w:cs="Arial"/>
          <w:sz w:val="20"/>
          <w:szCs w:val="20"/>
        </w:rPr>
        <w:t>verificar se há independência entre estes dados e desfecho Invasão Microvascular</w:t>
      </w:r>
      <w:r w:rsidR="003B1E79">
        <w:rPr>
          <w:rFonts w:ascii="Arial" w:hAnsi="Arial" w:cs="Arial"/>
          <w:sz w:val="20"/>
          <w:szCs w:val="20"/>
        </w:rPr>
        <w:t xml:space="preserve"> (IMV)</w:t>
      </w:r>
      <w:r>
        <w:rPr>
          <w:rFonts w:ascii="Arial" w:hAnsi="Arial" w:cs="Arial"/>
          <w:sz w:val="20"/>
          <w:szCs w:val="20"/>
        </w:rPr>
        <w:t xml:space="preserve">. Posteriormente, foi realizado </w:t>
      </w:r>
      <w:r w:rsidRPr="00B9185C">
        <w:rPr>
          <w:rFonts w:ascii="Arial" w:hAnsi="Arial" w:cs="Arial"/>
          <w:sz w:val="20"/>
          <w:szCs w:val="20"/>
        </w:rPr>
        <w:t xml:space="preserve">o cálculo do MELD e </w:t>
      </w:r>
      <w:proofErr w:type="spellStart"/>
      <w:r w:rsidRPr="00B9185C">
        <w:rPr>
          <w:rFonts w:ascii="Arial" w:hAnsi="Arial" w:cs="Arial"/>
          <w:sz w:val="20"/>
          <w:szCs w:val="20"/>
        </w:rPr>
        <w:t>MELD-Na</w:t>
      </w:r>
      <w:proofErr w:type="spellEnd"/>
      <w:r>
        <w:rPr>
          <w:rFonts w:ascii="Arial" w:hAnsi="Arial" w:cs="Arial"/>
          <w:sz w:val="20"/>
          <w:szCs w:val="20"/>
        </w:rPr>
        <w:t xml:space="preserve">, </w:t>
      </w:r>
      <w:r w:rsidRPr="00B9185C">
        <w:rPr>
          <w:rFonts w:ascii="Arial" w:hAnsi="Arial" w:cs="Arial"/>
          <w:sz w:val="20"/>
          <w:szCs w:val="20"/>
        </w:rPr>
        <w:t>a análise descritiva dos dados clínicos e laboratoriais</w:t>
      </w:r>
      <w:r>
        <w:rPr>
          <w:rFonts w:ascii="Arial" w:hAnsi="Arial" w:cs="Arial"/>
          <w:sz w:val="20"/>
          <w:szCs w:val="20"/>
        </w:rPr>
        <w:t xml:space="preserve"> e, p</w:t>
      </w:r>
      <w:r w:rsidRPr="00B9185C">
        <w:rPr>
          <w:rFonts w:ascii="Arial" w:hAnsi="Arial" w:cs="Arial"/>
          <w:sz w:val="20"/>
          <w:szCs w:val="20"/>
        </w:rPr>
        <w:t>or fim, curvas ROC</w:t>
      </w:r>
      <w:r>
        <w:rPr>
          <w:rFonts w:ascii="Arial" w:hAnsi="Arial" w:cs="Arial"/>
          <w:sz w:val="20"/>
          <w:szCs w:val="20"/>
        </w:rPr>
        <w:t xml:space="preserve"> para </w:t>
      </w:r>
      <w:r w:rsidRPr="00B9185C">
        <w:rPr>
          <w:rFonts w:ascii="Arial" w:hAnsi="Arial" w:cs="Arial"/>
          <w:sz w:val="20"/>
          <w:szCs w:val="20"/>
        </w:rPr>
        <w:t>avalia</w:t>
      </w:r>
      <w:r>
        <w:rPr>
          <w:rFonts w:ascii="Arial" w:hAnsi="Arial" w:cs="Arial"/>
          <w:sz w:val="20"/>
          <w:szCs w:val="20"/>
        </w:rPr>
        <w:t>r</w:t>
      </w:r>
      <w:r w:rsidRPr="00B9185C">
        <w:rPr>
          <w:rFonts w:ascii="Arial" w:hAnsi="Arial" w:cs="Arial"/>
          <w:sz w:val="20"/>
          <w:szCs w:val="20"/>
        </w:rPr>
        <w:t xml:space="preserve"> a associação entre esses parâmetros laboratoriais de gravidade na doença hepática e desfecho óbito nestes pacientes. </w:t>
      </w:r>
      <w:r w:rsidRPr="00B9185C">
        <w:rPr>
          <w:rFonts w:ascii="Arial" w:hAnsi="Arial" w:cs="Arial"/>
          <w:b/>
          <w:bCs/>
          <w:sz w:val="20"/>
          <w:szCs w:val="20"/>
        </w:rPr>
        <w:t>Resultados</w:t>
      </w:r>
      <w:r w:rsidRPr="00B9185C">
        <w:rPr>
          <w:rFonts w:ascii="Arial" w:hAnsi="Arial" w:cs="Arial"/>
          <w:sz w:val="20"/>
          <w:szCs w:val="20"/>
        </w:rPr>
        <w:t xml:space="preserve"> - A maior parte dos pacientes foi do sexo masculino (78,30%), com idade, em média, de 58,53 anos (Desvio Padrão= 0,80). A maior parte das hepatopatias foi causada pelo vírus da Hepatite C (53,26%), seguida por Hepatopatia alcoólica (17,39%). 47,83% evoluiu com óbito, sendo o tempo entre a cirurgia e o óbito de 27,5 dias (AI= 192,5).</w:t>
      </w:r>
      <w:r>
        <w:rPr>
          <w:rFonts w:ascii="Arial" w:hAnsi="Arial" w:cs="Arial"/>
          <w:sz w:val="20"/>
          <w:szCs w:val="20"/>
        </w:rPr>
        <w:t xml:space="preserve"> </w:t>
      </w:r>
      <w:r w:rsidR="003B1E79">
        <w:rPr>
          <w:rFonts w:ascii="Arial" w:hAnsi="Arial" w:cs="Arial"/>
          <w:sz w:val="20"/>
          <w:szCs w:val="20"/>
        </w:rPr>
        <w:t>Não foi encontrado preditores para o desfecho IMV entre parâmetros laboratoriais.</w:t>
      </w:r>
      <w:r w:rsidRPr="00B9185C">
        <w:rPr>
          <w:rFonts w:ascii="Arial" w:hAnsi="Arial" w:cs="Arial"/>
          <w:sz w:val="20"/>
          <w:szCs w:val="20"/>
        </w:rPr>
        <w:t xml:space="preserve"> As curvas ROC para o desfecho óbito identificaram o score MELD como ponto de corte de maior sensibilidade (90,91%) e especificidade (37,50%) simultâneas o ao valor de 10 pontos, ao passo que no </w:t>
      </w:r>
      <w:proofErr w:type="spellStart"/>
      <w:r w:rsidRPr="00B9185C">
        <w:rPr>
          <w:rFonts w:ascii="Arial" w:hAnsi="Arial" w:cs="Arial"/>
          <w:sz w:val="20"/>
          <w:szCs w:val="20"/>
        </w:rPr>
        <w:t>MELD-Na</w:t>
      </w:r>
      <w:proofErr w:type="spellEnd"/>
      <w:r w:rsidRPr="00B9185C">
        <w:rPr>
          <w:rFonts w:ascii="Arial" w:hAnsi="Arial" w:cs="Arial"/>
          <w:sz w:val="20"/>
          <w:szCs w:val="20"/>
        </w:rPr>
        <w:t xml:space="preserve"> o ponto de corte foi 7 pontos, com sensibilidade de 90,91% e especificidade de 33,33%, sendo ambas as escalas significativas. </w:t>
      </w:r>
      <w:r w:rsidRPr="00B9185C">
        <w:rPr>
          <w:rFonts w:ascii="Arial" w:hAnsi="Arial" w:cs="Arial"/>
          <w:b/>
          <w:bCs/>
          <w:sz w:val="20"/>
          <w:szCs w:val="20"/>
        </w:rPr>
        <w:t>Conclusões</w:t>
      </w:r>
      <w:r w:rsidRPr="00B9185C">
        <w:rPr>
          <w:rFonts w:ascii="Arial" w:hAnsi="Arial" w:cs="Arial"/>
          <w:sz w:val="20"/>
          <w:szCs w:val="20"/>
        </w:rPr>
        <w:t xml:space="preserve"> – </w:t>
      </w:r>
      <w:r w:rsidR="003B1E79">
        <w:rPr>
          <w:rFonts w:ascii="Arial" w:hAnsi="Arial" w:cs="Arial"/>
          <w:sz w:val="20"/>
          <w:szCs w:val="20"/>
        </w:rPr>
        <w:t xml:space="preserve">Não foi encontrado preditores para IMV entre critérios clínicos, laboratoriais e epidemiológicos. </w:t>
      </w:r>
      <w:r w:rsidRPr="00B9185C">
        <w:rPr>
          <w:rFonts w:ascii="Arial" w:hAnsi="Arial" w:cs="Arial"/>
          <w:sz w:val="20"/>
          <w:szCs w:val="20"/>
        </w:rPr>
        <w:t xml:space="preserve">O score </w:t>
      </w:r>
      <w:proofErr w:type="spellStart"/>
      <w:r w:rsidRPr="00B9185C">
        <w:rPr>
          <w:rFonts w:ascii="Arial" w:hAnsi="Arial" w:cs="Arial"/>
          <w:sz w:val="20"/>
          <w:szCs w:val="20"/>
        </w:rPr>
        <w:t>MELD-Na</w:t>
      </w:r>
      <w:proofErr w:type="spellEnd"/>
      <w:r w:rsidRPr="00B9185C">
        <w:rPr>
          <w:rFonts w:ascii="Arial" w:hAnsi="Arial" w:cs="Arial"/>
          <w:sz w:val="20"/>
          <w:szCs w:val="20"/>
        </w:rPr>
        <w:t xml:space="preserve"> é mais sensível que o MELD para predizer mortalidade nos pacientes submetidos a transplante hepático.</w:t>
      </w:r>
    </w:p>
    <w:p w14:paraId="19AAADAA" w14:textId="07179DC1" w:rsidR="00B9185C" w:rsidRDefault="00B9185C" w:rsidP="00AB22FE">
      <w:pPr>
        <w:spacing w:line="360" w:lineRule="auto"/>
        <w:rPr>
          <w:rFonts w:ascii="Arial" w:hAnsi="Arial" w:cs="Arial"/>
          <w:b/>
          <w:bCs/>
          <w:sz w:val="20"/>
          <w:szCs w:val="20"/>
        </w:rPr>
      </w:pPr>
    </w:p>
    <w:p w14:paraId="0C5E3E30" w14:textId="29725B15" w:rsidR="00B9185C" w:rsidRPr="002E6C5E" w:rsidRDefault="003B1E79" w:rsidP="002E6C5E">
      <w:pPr>
        <w:spacing w:line="360" w:lineRule="auto"/>
        <w:jc w:val="both"/>
        <w:rPr>
          <w:rFonts w:ascii="Arial" w:hAnsi="Arial" w:cs="Arial"/>
          <w:sz w:val="20"/>
          <w:szCs w:val="20"/>
          <w:lang w:val="en-US"/>
        </w:rPr>
      </w:pPr>
      <w:r w:rsidRPr="003B1E79">
        <w:rPr>
          <w:rFonts w:ascii="Arial" w:hAnsi="Arial" w:cs="Arial"/>
          <w:b/>
          <w:bCs/>
          <w:sz w:val="20"/>
          <w:szCs w:val="20"/>
          <w:lang w:val="en-US"/>
        </w:rPr>
        <w:t>Objective</w:t>
      </w:r>
      <w:r w:rsidRPr="003B1E79">
        <w:rPr>
          <w:rFonts w:ascii="Arial" w:hAnsi="Arial" w:cs="Arial"/>
          <w:sz w:val="20"/>
          <w:szCs w:val="20"/>
          <w:lang w:val="en-US"/>
        </w:rPr>
        <w:t xml:space="preserve">: Correlate clinical and epidemiological data with the pathological analysis of liver explants of all patients who underwent liver transplantation at </w:t>
      </w:r>
      <w:r>
        <w:rPr>
          <w:rFonts w:ascii="Arial" w:hAnsi="Arial" w:cs="Arial"/>
          <w:sz w:val="20"/>
          <w:szCs w:val="20"/>
          <w:lang w:val="en-US"/>
        </w:rPr>
        <w:t xml:space="preserve">UNICAMP’s </w:t>
      </w:r>
      <w:r w:rsidRPr="003B1E79">
        <w:rPr>
          <w:rFonts w:ascii="Arial" w:hAnsi="Arial" w:cs="Arial"/>
          <w:sz w:val="20"/>
          <w:szCs w:val="20"/>
          <w:lang w:val="en-US"/>
        </w:rPr>
        <w:t xml:space="preserve">Hospital das </w:t>
      </w:r>
      <w:proofErr w:type="spellStart"/>
      <w:r w:rsidRPr="003B1E79">
        <w:rPr>
          <w:rFonts w:ascii="Arial" w:hAnsi="Arial" w:cs="Arial"/>
          <w:sz w:val="20"/>
          <w:szCs w:val="20"/>
          <w:lang w:val="en-US"/>
        </w:rPr>
        <w:t>Clínicas</w:t>
      </w:r>
      <w:proofErr w:type="spellEnd"/>
      <w:r w:rsidRPr="003B1E79">
        <w:rPr>
          <w:rFonts w:ascii="Arial" w:hAnsi="Arial" w:cs="Arial"/>
          <w:sz w:val="20"/>
          <w:szCs w:val="20"/>
          <w:lang w:val="en-US"/>
        </w:rPr>
        <w:t xml:space="preserve"> </w:t>
      </w:r>
      <w:r>
        <w:rPr>
          <w:rFonts w:ascii="Arial" w:hAnsi="Arial" w:cs="Arial"/>
          <w:sz w:val="20"/>
          <w:szCs w:val="20"/>
          <w:lang w:val="en-US"/>
        </w:rPr>
        <w:t xml:space="preserve">and </w:t>
      </w:r>
      <w:r w:rsidRPr="003B1E79">
        <w:rPr>
          <w:rFonts w:ascii="Arial" w:hAnsi="Arial" w:cs="Arial"/>
          <w:sz w:val="20"/>
          <w:szCs w:val="20"/>
          <w:lang w:val="en-US"/>
        </w:rPr>
        <w:t>ascertain if he MELD and MELD-Na scores show statistical differences to predict a worse post-transplant prognosis</w:t>
      </w:r>
      <w:r>
        <w:rPr>
          <w:rFonts w:ascii="Arial" w:hAnsi="Arial" w:cs="Arial"/>
          <w:sz w:val="20"/>
          <w:szCs w:val="20"/>
          <w:lang w:val="en-US"/>
        </w:rPr>
        <w:t xml:space="preserve">. </w:t>
      </w:r>
      <w:r w:rsidRPr="003B1E79">
        <w:rPr>
          <w:rFonts w:ascii="Arial" w:hAnsi="Arial" w:cs="Arial"/>
          <w:b/>
          <w:bCs/>
          <w:sz w:val="20"/>
          <w:szCs w:val="20"/>
          <w:lang w:val="en-US"/>
        </w:rPr>
        <w:t>Methods</w:t>
      </w:r>
      <w:r w:rsidRPr="003B1E79">
        <w:rPr>
          <w:rFonts w:ascii="Arial" w:hAnsi="Arial" w:cs="Arial"/>
          <w:sz w:val="20"/>
          <w:szCs w:val="20"/>
          <w:lang w:val="en-US"/>
        </w:rPr>
        <w:t>: Considering all liver transplants that occurred between May / 2010 and November / 2017, a total of 125 patients were obtained, 38 were excluded, clinical and laboratory data were collected from all patients</w:t>
      </w:r>
      <w:r>
        <w:rPr>
          <w:rFonts w:ascii="Arial" w:hAnsi="Arial" w:cs="Arial"/>
          <w:sz w:val="20"/>
          <w:szCs w:val="20"/>
          <w:lang w:val="en-US"/>
        </w:rPr>
        <w:t xml:space="preserve"> to ascertain</w:t>
      </w:r>
      <w:r w:rsidRPr="003B1E79">
        <w:rPr>
          <w:rFonts w:ascii="Arial" w:hAnsi="Arial" w:cs="Arial"/>
          <w:sz w:val="20"/>
          <w:szCs w:val="20"/>
          <w:lang w:val="en-US"/>
        </w:rPr>
        <w:t xml:space="preserve"> whether there is independence between these data and outcome Microvascular Invasion (IMV).  Subsequently, the calculation of MELD and MELD-Na, descriptive analysis of clinical and laboratory data and, finally, ROC curves to assess the association between these laboratory parameters of severity in liver disease and death outcome in these patients were performed.</w:t>
      </w:r>
      <w:r>
        <w:rPr>
          <w:rFonts w:ascii="Arial" w:hAnsi="Arial" w:cs="Arial"/>
          <w:sz w:val="20"/>
          <w:szCs w:val="20"/>
          <w:lang w:val="en-US"/>
        </w:rPr>
        <w:t xml:space="preserve"> </w:t>
      </w:r>
      <w:r w:rsidRPr="003B1E79">
        <w:rPr>
          <w:rFonts w:ascii="Arial" w:hAnsi="Arial" w:cs="Arial"/>
          <w:b/>
          <w:bCs/>
          <w:sz w:val="20"/>
          <w:szCs w:val="20"/>
          <w:lang w:val="en-US"/>
        </w:rPr>
        <w:t>Results</w:t>
      </w:r>
      <w:r w:rsidRPr="003B1E79">
        <w:rPr>
          <w:rFonts w:ascii="Arial" w:hAnsi="Arial" w:cs="Arial"/>
          <w:sz w:val="20"/>
          <w:szCs w:val="20"/>
          <w:lang w:val="en-US"/>
        </w:rPr>
        <w:t xml:space="preserve">: Most patients were male (78.30%), with an average age of 58.53 years (standard deviation = 0.80). Most of the liver diseases were caused by the Hepatitis C virus (53.26%), followed by alcoholic liver disease (17.39%). 47.83% of the patients died, with the time between surgery and death being 27.5 days (AI = 192.5). </w:t>
      </w:r>
      <w:r w:rsidR="00652F0E" w:rsidRPr="00652F0E">
        <w:rPr>
          <w:rFonts w:ascii="Arial" w:hAnsi="Arial" w:cs="Arial"/>
          <w:sz w:val="20"/>
          <w:szCs w:val="20"/>
          <w:lang w:val="en-US"/>
        </w:rPr>
        <w:t xml:space="preserve">No predictors were found for the IMV outcome </w:t>
      </w:r>
      <w:r w:rsidR="00652F0E">
        <w:rPr>
          <w:rFonts w:ascii="Arial" w:hAnsi="Arial" w:cs="Arial"/>
          <w:sz w:val="20"/>
          <w:szCs w:val="20"/>
          <w:lang w:val="en-US"/>
        </w:rPr>
        <w:t>from</w:t>
      </w:r>
      <w:r w:rsidR="00652F0E" w:rsidRPr="00652F0E">
        <w:rPr>
          <w:rFonts w:ascii="Arial" w:hAnsi="Arial" w:cs="Arial"/>
          <w:sz w:val="20"/>
          <w:szCs w:val="20"/>
          <w:lang w:val="en-US"/>
        </w:rPr>
        <w:t xml:space="preserve"> laboratory parameters.</w:t>
      </w:r>
      <w:r w:rsidR="00652F0E">
        <w:rPr>
          <w:rFonts w:ascii="Arial" w:hAnsi="Arial" w:cs="Arial"/>
          <w:sz w:val="20"/>
          <w:szCs w:val="20"/>
          <w:lang w:val="en-US"/>
        </w:rPr>
        <w:t xml:space="preserve"> </w:t>
      </w:r>
      <w:r w:rsidRPr="003B1E79">
        <w:rPr>
          <w:rFonts w:ascii="Arial" w:hAnsi="Arial" w:cs="Arial"/>
          <w:sz w:val="20"/>
          <w:szCs w:val="20"/>
          <w:lang w:val="en-US"/>
        </w:rPr>
        <w:t xml:space="preserve">The ROC curves for the death outcome identified the MELD score as the cutoff point of greater sensitivity (90.91%) and specificity (37.50%) simultaneously with the value of 10 points, whereas in the MELD-Na the cutoff </w:t>
      </w:r>
      <w:r w:rsidRPr="003B1E79">
        <w:rPr>
          <w:rFonts w:ascii="Arial" w:hAnsi="Arial" w:cs="Arial"/>
          <w:sz w:val="20"/>
          <w:szCs w:val="20"/>
          <w:lang w:val="en-US"/>
        </w:rPr>
        <w:lastRenderedPageBreak/>
        <w:t xml:space="preserve">was 7 points, with a sensitivity of 90.91% and specificity of 33.33%, both scores being significant. </w:t>
      </w:r>
      <w:r w:rsidRPr="003B1E79">
        <w:rPr>
          <w:rFonts w:ascii="Arial" w:hAnsi="Arial" w:cs="Arial"/>
          <w:b/>
          <w:bCs/>
          <w:sz w:val="20"/>
          <w:szCs w:val="20"/>
          <w:lang w:val="en-US"/>
        </w:rPr>
        <w:t>Conclusion</w:t>
      </w:r>
      <w:r w:rsidRPr="003B1E79">
        <w:rPr>
          <w:rFonts w:ascii="Arial" w:hAnsi="Arial" w:cs="Arial"/>
          <w:sz w:val="20"/>
          <w:szCs w:val="20"/>
          <w:lang w:val="en-US"/>
        </w:rPr>
        <w:t xml:space="preserve">: </w:t>
      </w:r>
      <w:r w:rsidR="00652F0E">
        <w:rPr>
          <w:rFonts w:ascii="Arial" w:hAnsi="Arial" w:cs="Arial"/>
          <w:sz w:val="20"/>
          <w:szCs w:val="20"/>
          <w:lang w:val="en-US"/>
        </w:rPr>
        <w:t>N</w:t>
      </w:r>
      <w:r w:rsidR="00652F0E" w:rsidRPr="00652F0E">
        <w:rPr>
          <w:rFonts w:ascii="Arial" w:hAnsi="Arial" w:cs="Arial"/>
          <w:sz w:val="20"/>
          <w:szCs w:val="20"/>
          <w:lang w:val="en-US"/>
        </w:rPr>
        <w:t>o predictors for IMV were found among clinical, laboratory and epidemiological criteria</w:t>
      </w:r>
      <w:r w:rsidR="00652F0E">
        <w:rPr>
          <w:rFonts w:ascii="Arial" w:hAnsi="Arial" w:cs="Arial"/>
          <w:sz w:val="20"/>
          <w:szCs w:val="20"/>
          <w:lang w:val="en-US"/>
        </w:rPr>
        <w:t xml:space="preserve">. </w:t>
      </w:r>
      <w:r w:rsidRPr="003B1E79">
        <w:rPr>
          <w:rFonts w:ascii="Arial" w:hAnsi="Arial" w:cs="Arial"/>
          <w:sz w:val="20"/>
          <w:szCs w:val="20"/>
          <w:lang w:val="en-US"/>
        </w:rPr>
        <w:t>The MELD-Na score is more sensitive than the MELD score to predict mortality in patients who underwent liver transplant.</w:t>
      </w:r>
    </w:p>
    <w:p w14:paraId="7239F6D7" w14:textId="34BF82E7" w:rsidR="00B9185C" w:rsidRPr="003B1E79" w:rsidRDefault="00B9185C" w:rsidP="00AB22FE">
      <w:pPr>
        <w:spacing w:line="360" w:lineRule="auto"/>
        <w:rPr>
          <w:rFonts w:ascii="Arial" w:hAnsi="Arial" w:cs="Arial"/>
          <w:b/>
          <w:bCs/>
          <w:sz w:val="20"/>
          <w:szCs w:val="20"/>
          <w:lang w:val="en-US"/>
        </w:rPr>
      </w:pPr>
    </w:p>
    <w:p w14:paraId="320DA7DE" w14:textId="77777777" w:rsidR="00B9185C" w:rsidRPr="00221347" w:rsidRDefault="00B9185C" w:rsidP="00AB22FE">
      <w:pPr>
        <w:spacing w:line="360" w:lineRule="auto"/>
        <w:rPr>
          <w:rFonts w:ascii="Arial" w:hAnsi="Arial" w:cs="Arial"/>
          <w:b/>
          <w:bCs/>
          <w:sz w:val="20"/>
          <w:szCs w:val="20"/>
          <w:lang w:val="en-US"/>
        </w:rPr>
      </w:pPr>
    </w:p>
    <w:p w14:paraId="57542B44" w14:textId="54E37AFF" w:rsidR="00545AE0" w:rsidRPr="00221347" w:rsidRDefault="001E09D0" w:rsidP="0068402D">
      <w:pPr>
        <w:spacing w:line="360" w:lineRule="auto"/>
        <w:jc w:val="both"/>
        <w:rPr>
          <w:rFonts w:ascii="Arial" w:hAnsi="Arial" w:cs="Arial"/>
          <w:b/>
          <w:sz w:val="20"/>
          <w:szCs w:val="20"/>
        </w:rPr>
      </w:pPr>
      <w:r w:rsidRPr="00221347">
        <w:rPr>
          <w:rFonts w:ascii="Arial" w:hAnsi="Arial" w:cs="Arial"/>
          <w:b/>
          <w:sz w:val="20"/>
          <w:szCs w:val="20"/>
        </w:rPr>
        <w:t>INTRODUÇÃO</w:t>
      </w:r>
    </w:p>
    <w:p w14:paraId="164DBF3F" w14:textId="01127978" w:rsidR="00005D47" w:rsidRPr="00221347" w:rsidRDefault="00005D47" w:rsidP="0068402D">
      <w:pPr>
        <w:spacing w:line="360" w:lineRule="auto"/>
        <w:ind w:firstLine="708"/>
        <w:jc w:val="both"/>
        <w:rPr>
          <w:rFonts w:ascii="Arial" w:hAnsi="Arial" w:cs="Arial"/>
          <w:sz w:val="20"/>
          <w:szCs w:val="20"/>
        </w:rPr>
      </w:pPr>
      <w:r w:rsidRPr="00221347">
        <w:rPr>
          <w:rFonts w:ascii="Arial" w:hAnsi="Arial" w:cs="Arial"/>
          <w:sz w:val="20"/>
          <w:szCs w:val="20"/>
        </w:rPr>
        <w:t>A organização mundial da saúde (OMS) estima que</w:t>
      </w:r>
      <w:r w:rsidR="00292081" w:rsidRPr="00221347">
        <w:rPr>
          <w:rFonts w:ascii="Arial" w:hAnsi="Arial" w:cs="Arial"/>
          <w:sz w:val="20"/>
          <w:szCs w:val="20"/>
        </w:rPr>
        <w:t xml:space="preserve"> </w:t>
      </w:r>
      <w:r w:rsidRPr="00221347">
        <w:rPr>
          <w:rFonts w:ascii="Arial" w:hAnsi="Arial" w:cs="Arial"/>
          <w:sz w:val="20"/>
          <w:szCs w:val="20"/>
        </w:rPr>
        <w:t>no ano de 2030, em todo o mundo, um milhão de pessoas irão a óbito em decorrência de cânceres de origem hepática</w:t>
      </w:r>
      <w:r w:rsidR="00CF3FF3" w:rsidRPr="00221347">
        <w:rPr>
          <w:rFonts w:ascii="Arial" w:hAnsi="Arial" w:cs="Arial"/>
          <w:sz w:val="20"/>
          <w:szCs w:val="20"/>
        </w:rPr>
        <w:t xml:space="preserve"> </w:t>
      </w:r>
      <w:r w:rsidRPr="00221347">
        <w:rPr>
          <w:rFonts w:ascii="Arial" w:hAnsi="Arial" w:cs="Arial"/>
          <w:sz w:val="20"/>
          <w:szCs w:val="20"/>
        </w:rPr>
        <w:fldChar w:fldCharType="begin" w:fldLock="1"/>
      </w:r>
      <w:r w:rsidR="00EE25E6" w:rsidRPr="00221347">
        <w:rPr>
          <w:rFonts w:ascii="Arial" w:hAnsi="Arial" w:cs="Arial"/>
          <w:sz w:val="20"/>
          <w:szCs w:val="20"/>
        </w:rPr>
        <w:instrText>ADDIN CSL_CITATION {"citationItems":[{"id":"ITEM-1","itemData":{"DOI":"10.1056/NEJMra1713263","ISSN":"1533-4406 (Electronic)","PMID":"30970190","author":[{"dropping-particle":"","family":"Villanueva","given":"Augusto","non-dropping-particle":"","parse-names":false,"suffix":""}],"container-title":"The New England journal of medicine","id":"ITEM-1","issue":"15","issued":{"date-parts":[["2019","4"]]},"language":"eng","page":"1450-1462","publisher-place":"United States","title":"Hepatocellular Carcinoma.","type":"article-journal","volume":"380"},"uris":["http://www.mendeley.com/documents/?uuid=1a8b7c8f-e73b-4a87-b581-42dd355d118c"]}],"mendeley":{"formattedCitation":"(1)","plainTextFormattedCitation":"(1)","previouslyFormattedCitation":"(1)"},"properties":{"noteIndex":0},"schema":"https://github.com/citation-style-language/schema/raw/master/csl-citation.json"}</w:instrText>
      </w:r>
      <w:r w:rsidRPr="00221347">
        <w:rPr>
          <w:rFonts w:ascii="Arial" w:hAnsi="Arial" w:cs="Arial"/>
          <w:sz w:val="20"/>
          <w:szCs w:val="20"/>
        </w:rPr>
        <w:fldChar w:fldCharType="separate"/>
      </w:r>
      <w:r w:rsidR="00652ADC" w:rsidRPr="00221347">
        <w:rPr>
          <w:rFonts w:ascii="Arial" w:hAnsi="Arial" w:cs="Arial"/>
          <w:noProof/>
          <w:sz w:val="20"/>
          <w:szCs w:val="20"/>
        </w:rPr>
        <w:t>(1)</w:t>
      </w:r>
      <w:r w:rsidRPr="00221347">
        <w:rPr>
          <w:rFonts w:ascii="Arial" w:hAnsi="Arial" w:cs="Arial"/>
          <w:sz w:val="20"/>
          <w:szCs w:val="20"/>
        </w:rPr>
        <w:fldChar w:fldCharType="end"/>
      </w:r>
      <w:r w:rsidRPr="00221347">
        <w:rPr>
          <w:rFonts w:ascii="Arial" w:hAnsi="Arial" w:cs="Arial"/>
          <w:sz w:val="20"/>
          <w:szCs w:val="20"/>
        </w:rPr>
        <w:t>. O carcinoma hepatocelular (CHC)</w:t>
      </w:r>
      <w:r w:rsidRPr="00221347">
        <w:rPr>
          <w:rFonts w:ascii="Arial" w:eastAsia="Times New Roman" w:hAnsi="Arial" w:cs="Arial"/>
          <w:color w:val="000000" w:themeColor="text1"/>
          <w:sz w:val="20"/>
          <w:szCs w:val="20"/>
        </w:rPr>
        <w:t>, o</w:t>
      </w:r>
      <w:r w:rsidR="003451C2" w:rsidRPr="00221347">
        <w:rPr>
          <w:rFonts w:ascii="Arial" w:eastAsia="Times New Roman" w:hAnsi="Arial" w:cs="Arial"/>
          <w:color w:val="000000" w:themeColor="text1"/>
          <w:sz w:val="20"/>
          <w:szCs w:val="20"/>
        </w:rPr>
        <w:t xml:space="preserve"> tipo</w:t>
      </w:r>
      <w:r w:rsidRPr="00221347">
        <w:rPr>
          <w:rFonts w:ascii="Arial" w:eastAsia="Times New Roman" w:hAnsi="Arial" w:cs="Arial"/>
          <w:color w:val="000000" w:themeColor="text1"/>
          <w:sz w:val="20"/>
          <w:szCs w:val="20"/>
        </w:rPr>
        <w:t xml:space="preserve"> mais prevalente dos tumores hepáticos malignos primários, </w:t>
      </w:r>
      <w:r w:rsidRPr="00221347">
        <w:rPr>
          <w:rFonts w:ascii="Arial" w:hAnsi="Arial" w:cs="Arial"/>
          <w:sz w:val="20"/>
          <w:szCs w:val="20"/>
        </w:rPr>
        <w:t xml:space="preserve">é um dos maiores problemas de saúde </w:t>
      </w:r>
      <w:r w:rsidR="00A771E2" w:rsidRPr="00221347">
        <w:rPr>
          <w:rFonts w:ascii="Arial" w:hAnsi="Arial" w:cs="Arial"/>
          <w:sz w:val="20"/>
          <w:szCs w:val="20"/>
        </w:rPr>
        <w:t>a</w:t>
      </w:r>
      <w:r w:rsidR="000C6C06" w:rsidRPr="00221347">
        <w:rPr>
          <w:rFonts w:ascii="Arial" w:hAnsi="Arial" w:cs="Arial"/>
          <w:sz w:val="20"/>
          <w:szCs w:val="20"/>
        </w:rPr>
        <w:t xml:space="preserve"> nível mundial</w:t>
      </w:r>
      <w:r w:rsidR="00A771E2" w:rsidRPr="00221347">
        <w:rPr>
          <w:rFonts w:ascii="Arial" w:hAnsi="Arial" w:cs="Arial"/>
          <w:sz w:val="20"/>
          <w:szCs w:val="20"/>
        </w:rPr>
        <w:t xml:space="preserve"> e</w:t>
      </w:r>
      <w:r w:rsidRPr="00221347">
        <w:rPr>
          <w:rFonts w:ascii="Arial" w:hAnsi="Arial" w:cs="Arial"/>
          <w:sz w:val="20"/>
          <w:szCs w:val="20"/>
        </w:rPr>
        <w:t xml:space="preserve"> com incidência crescente</w:t>
      </w:r>
      <w:r w:rsidR="00F565E5" w:rsidRPr="00221347">
        <w:rPr>
          <w:rFonts w:ascii="Arial" w:hAnsi="Arial" w:cs="Arial"/>
          <w:sz w:val="20"/>
          <w:szCs w:val="20"/>
        </w:rPr>
        <w:t xml:space="preserve"> </w:t>
      </w:r>
      <w:r w:rsidRPr="00221347">
        <w:rPr>
          <w:rFonts w:ascii="Arial" w:hAnsi="Arial" w:cs="Arial"/>
          <w:sz w:val="20"/>
          <w:szCs w:val="20"/>
        </w:rPr>
        <w:fldChar w:fldCharType="begin" w:fldLock="1"/>
      </w:r>
      <w:r w:rsidR="00FB56FA">
        <w:rPr>
          <w:rFonts w:ascii="Arial" w:hAnsi="Arial" w:cs="Arial"/>
          <w:sz w:val="20"/>
          <w:szCs w:val="20"/>
        </w:rPr>
        <w:instrText>ADDIN CSL_CITATION {"citationItems":[{"id":"ITEM-1","itemData":{"DOI":"10.1002/hep.27388","ISSN":"15273350","PMID":"25142309","abstract":"The rise in incidence of hepatocellular carcinoma (HCC) in the United States has been well documented. The purpose of this analysis was to examine temporal trends in HCC incidence, mortality, and survival within the U.S. population. The Surveillance, Epidemiology, and End Results data were used to examine incidence and incidence-based (IB) mortality in HCC from 1973 to 2011. Secular trends in age-adjusted incidence and IB mortality by sex and cancer stage were characterized using the Joinpoint Regression program. In 1973, HCC incidence was 1.51 cases per 100,000, whereas in 2011, HCC incidence was 6.20 cases per 100,000. Although HCC incidence continues to increase, a slowing of the rate of increase occurs around 2006. In a sensitivity analysis, there was no significant increase in incidence and IB mortality from 2009 to 2011. There was a significant increase in overall median survival from the 1970s to 2000s (2 vs. 8 months; P&lt;0.001). On multivariable Cox's regression analysis, age, sex, race, tumor grade, stage at diagnosis, lymph/vascular invasion, number of primary tumors, tumor size, and liver transplant were independently associated with mortality. Conclusion: Our results indicate a deceleration in the incidence of HCC around 2006. Since 2009 and for the first time in four decades, there is no increase in IB mortality and incidence rates for HCC in the U.S. population. The nonsignificant increase in incidence and IB mortality in recent years suggest that the peak of the HCC epidemic may be near. A significant survival improvement in HCC was also noted from 1973 to 2010, which seems to be driven by earlier detection of HCC at a curative stage and greater utilization of curative modalities (especially transplant).","author":[{"dropping-particle":"","family":"Njei","given":"Basile","non-dropping-particle":"","parse-names":false,"suffix":""},{"dropping-particle":"","family":"Rotman","given":"Yaron","non-dropping-particle":"","parse-names":false,"suffix":""},{"dropping-particle":"","family":"Ditah","given":"Ivo","non-dropping-particle":"","parse-names":false,"suffix":""},{"dropping-particle":"","family":"Lim","given":"Joseph K","non-dropping-particle":"","parse-names":false,"suffix":""}],"container-title":"Hepatology","id":"ITEM-1","issue":"1","issued":{"date-parts":[["2015"]]},"page":"191-199","title":"Emerging trends in hepatocellular carcinoma incidence and mortality","type":"article-journal","volume":"61"},"uris":["http://www.mendeley.com/documents/?uuid=01ffa35c-371c-476e-a74f-956b1aa72507","http://www.mendeley.com/documents/?uuid=f4649e19-0b3f-4f8a-abfa-f9d5713e6700"]},{"id":"ITEM-2","itemData":{"DOI":"10.1038/aps.2010.142","ISSN":"16714083","PMID":"20953207","abstract":"Hepatocellular carcinoma (HCC) is a major health problem worldwide responsible for 500 000 deaths annually. A number of risk factors are associated with either the induction of the disease or its progression; these include infection with hepatitis B or C virus, alcohol consumption, non-alcoholic steatohepatitis and certain congenital disorders. In around 80% of the cases, HCC is associated with cirrhosis or advanced fibrosis and with inflammation and oxidative stress. In this review we focus firstly on the different risk factors for HCC and summarize the mechanisms by which each is considered to contribute to HCC. In the second part we look at the molecular processes involved in cancer progression. HCC development is recognized as a multistep process that normally develops over many years. Over this period several mutations accumulate in the cell and that stimulate malign transformation, growth, and metastatic behavior. Over the recent years it has become evident that not only the tumor cell itself but also the tumor microenviroment plays a major role in the development of a tumor. There is a direct link between the role of inflammation and cirrhosis with this microenviroment. Both in vitro and in vivo it has been shown that tumor formation and metastatic properties are linked to epithelial-mesenchymal transition (EMT), a process by which facillitates the tumor cell's attempts to migrate to a more favourable microenviroment. Several groups have analyzed the gene expression in HCC and its surrounding tissue by microarray and this has resulted in the molecular classification into a distinct number of classes. Here we also found a role for hypoxia induced gene expression leading to a clinically more aggressive gene expression in HCC. Molecular analysis also helped to identify important cellular pathways and possible therapeutic targets. The first molecule that in this way has shown clinical application for liver cancer is the multikinase inhibitor sorafenib, others are currently in different stages of clinical studies like the mTOR inhibitor everolimus. © 2010 CPS and SIMM All rights reserved.","author":[{"dropping-particle":"","family":"Severi","given":"Tamara","non-dropping-particle":"","parse-names":false,"suffix":""},{"dropping-particle":"","family":"Malenstein","given":"Hannah","non-dropping-particle":"Van","parse-names":false,"suffix":""},{"dropping-particle":"","family":"Verslype","given":"Chris","non-dropping-particle":"","parse-names":false,"suffix":""},{"dropping-particle":"","family":"Pelt","given":"Jos F.","non-dropping-particle":"Van","parse-names":false,"suffix":""}],"container-title":"Acta Pharmacologica Sinica","id":"ITEM-2","issue":"11","issued":{"date-parts":[["2010"]]},"page":"1409-1420","title":"Tumor initiation and progression in hepatocellular carcinoma: Risk factors, classification, and therapeutic targets","type":"article-journal","volume":"31"},"uris":["http://www.mendeley.com/documents/?uuid=32a2a2ab-7c5c-49cf-a192-a78a8427e0f0","http://www.mendeley.com/documents/?uuid=c22ec396-bb13-431b-a654-a96887aab8b1"]},{"id":"ITEM-3","itemData":{"DOI":"10.1053/j.gastro.2018.08.065","ISSN":"15280012","PMID":"30367835","abstract":"The major risk factors for hepatocellular carcinoma (HCC) in contemporary clinical practice are becoming increasingly related to sustained virological response after hepatitis C, suppressed hepatitis B virus during treatment, and alcoholic and nonalcoholic fatty liver disease. We review the emerging data on the risk and determinants of HCC in these conditions and the implications of HCC surveillance. However, from a public health perspective, active hepatitis C and B continue to drive most of the global burden of HCC. In United States, the age-adjusted incidence rates of HCC in Hispanics have surpassed those of HCC in Asians. Prognosis in HCC is complex because of the competing risk imposed by underlying cirrhosis and presence of malignancy. In addition to tumor burden, liver function and performance status; additional parameters including tumor biopsy, serum markers, and subclassification of current staging systems; and taking into account patterns of tumor progression may improve patient selection for therapy. Advancements in the treatment of HCC have included identification of patients who are most likely to derive a clinically significant benefit from the available therapeutic options. Additionally, the combination strategies of locoregional therapies and/or systemic therapy are being investigated.","author":[{"dropping-particle":"","family":"Kulik","given":"Laura","non-dropping-particle":"","parse-names":false,"suffix":""},{"dropping-particle":"","family":"El-Serag","given":"Hashem B.","non-dropping-particle":"","parse-names":false,"suffix":""}],"container-title":"Gastroenterology","id":"ITEM-3","issue":"2","issued":{"date-parts":[["2019"]]},"page":"477-491.e1","publisher":"Elsevier, Inc","title":"Epidemiology and Management of Hepatocellular Carcinoma","type":"article-journal","volume":"156"},"uris":["http://www.mendeley.com/documents/?uuid=e9395193-8345-4f99-b911-d0059230da4f","http://www.mendeley.com/documents/?uuid=e9d6c6ed-a20c-43df-acaf-4469a0032133"]}],"mendeley":{"formattedCitation":"(2–4)","plainTextFormattedCitation":"(2–4)","previouslyFormattedCitation":"(2–4)"},"properties":{"noteIndex":0},"schema":"https://github.com/citation-style-language/schema/raw/master/csl-citation.json"}</w:instrText>
      </w:r>
      <w:r w:rsidRPr="00221347">
        <w:rPr>
          <w:rFonts w:ascii="Arial" w:hAnsi="Arial" w:cs="Arial"/>
          <w:sz w:val="20"/>
          <w:szCs w:val="20"/>
        </w:rPr>
        <w:fldChar w:fldCharType="separate"/>
      </w:r>
      <w:r w:rsidR="002F4879" w:rsidRPr="00221347">
        <w:rPr>
          <w:rFonts w:ascii="Arial" w:hAnsi="Arial" w:cs="Arial"/>
          <w:noProof/>
          <w:sz w:val="20"/>
          <w:szCs w:val="20"/>
        </w:rPr>
        <w:t>(2–4)</w:t>
      </w:r>
      <w:r w:rsidRPr="00221347">
        <w:rPr>
          <w:rFonts w:ascii="Arial" w:hAnsi="Arial" w:cs="Arial"/>
          <w:sz w:val="20"/>
          <w:szCs w:val="20"/>
        </w:rPr>
        <w:fldChar w:fldCharType="end"/>
      </w:r>
      <w:r w:rsidR="002F4879" w:rsidRPr="00221347">
        <w:rPr>
          <w:rFonts w:ascii="Arial" w:hAnsi="Arial" w:cs="Arial"/>
          <w:sz w:val="20"/>
          <w:szCs w:val="20"/>
        </w:rPr>
        <w:t xml:space="preserve">. </w:t>
      </w:r>
      <w:r w:rsidR="00905B30" w:rsidRPr="00221347">
        <w:rPr>
          <w:rFonts w:ascii="Arial" w:hAnsi="Arial" w:cs="Arial"/>
          <w:sz w:val="20"/>
          <w:szCs w:val="20"/>
        </w:rPr>
        <w:t xml:space="preserve">Além </w:t>
      </w:r>
      <w:r w:rsidR="00203994" w:rsidRPr="00221347">
        <w:rPr>
          <w:rFonts w:ascii="Arial" w:hAnsi="Arial" w:cs="Arial"/>
          <w:sz w:val="20"/>
          <w:szCs w:val="20"/>
        </w:rPr>
        <w:t xml:space="preserve">de centenas de milhares de novos </w:t>
      </w:r>
      <w:r w:rsidR="006C025C" w:rsidRPr="00221347">
        <w:rPr>
          <w:rFonts w:ascii="Arial" w:hAnsi="Arial" w:cs="Arial"/>
          <w:sz w:val="20"/>
          <w:szCs w:val="20"/>
        </w:rPr>
        <w:t>diagnósticos a cada ano</w:t>
      </w:r>
      <w:r w:rsidR="00203994" w:rsidRPr="00221347">
        <w:rPr>
          <w:rFonts w:ascii="Arial" w:hAnsi="Arial" w:cs="Arial"/>
          <w:sz w:val="20"/>
          <w:szCs w:val="20"/>
        </w:rPr>
        <w:t>, e</w:t>
      </w:r>
      <w:r w:rsidR="00E169EA" w:rsidRPr="00221347">
        <w:rPr>
          <w:rFonts w:ascii="Arial" w:hAnsi="Arial" w:cs="Arial"/>
          <w:sz w:val="20"/>
          <w:szCs w:val="20"/>
        </w:rPr>
        <w:t>ssa neoplasia</w:t>
      </w:r>
      <w:r w:rsidR="005029FC" w:rsidRPr="00221347">
        <w:rPr>
          <w:rFonts w:ascii="Arial" w:hAnsi="Arial" w:cs="Arial"/>
          <w:sz w:val="20"/>
          <w:szCs w:val="20"/>
        </w:rPr>
        <w:t xml:space="preserve"> é responsável </w:t>
      </w:r>
      <w:r w:rsidRPr="00221347">
        <w:rPr>
          <w:rFonts w:ascii="Arial" w:eastAsia="Times New Roman" w:hAnsi="Arial" w:cs="Arial"/>
          <w:color w:val="000000" w:themeColor="text1"/>
          <w:sz w:val="20"/>
          <w:szCs w:val="20"/>
        </w:rPr>
        <w:t>por cerca de 85% dos casos</w:t>
      </w:r>
      <w:r w:rsidR="00F16CD8" w:rsidRPr="00221347">
        <w:rPr>
          <w:rFonts w:ascii="Arial" w:eastAsia="Times New Roman" w:hAnsi="Arial" w:cs="Arial"/>
          <w:color w:val="000000" w:themeColor="text1"/>
          <w:sz w:val="20"/>
          <w:szCs w:val="20"/>
        </w:rPr>
        <w:t xml:space="preserve"> em países emergentes</w:t>
      </w:r>
      <w:r w:rsidRPr="00221347">
        <w:rPr>
          <w:rFonts w:ascii="Arial" w:eastAsia="Times New Roman" w:hAnsi="Arial" w:cs="Arial"/>
          <w:color w:val="000000" w:themeColor="text1"/>
          <w:sz w:val="20"/>
          <w:szCs w:val="20"/>
        </w:rPr>
        <w:t>, notadamente naqueles endêmicos p</w:t>
      </w:r>
      <w:r w:rsidR="00ED6EB9" w:rsidRPr="00221347">
        <w:rPr>
          <w:rFonts w:ascii="Arial" w:eastAsia="Times New Roman" w:hAnsi="Arial" w:cs="Arial"/>
          <w:color w:val="000000" w:themeColor="text1"/>
          <w:sz w:val="20"/>
          <w:szCs w:val="20"/>
        </w:rPr>
        <w:t xml:space="preserve">ara o vírus da </w:t>
      </w:r>
      <w:r w:rsidRPr="00221347">
        <w:rPr>
          <w:rFonts w:ascii="Arial" w:eastAsia="Times New Roman" w:hAnsi="Arial" w:cs="Arial"/>
          <w:color w:val="000000" w:themeColor="text1"/>
          <w:sz w:val="20"/>
          <w:szCs w:val="20"/>
        </w:rPr>
        <w:t>hepatite B</w:t>
      </w:r>
      <w:r w:rsidR="00ED6EB9" w:rsidRPr="00221347">
        <w:rPr>
          <w:rFonts w:ascii="Arial" w:eastAsia="Times New Roman" w:hAnsi="Arial" w:cs="Arial"/>
          <w:color w:val="000000" w:themeColor="text1"/>
          <w:sz w:val="20"/>
          <w:szCs w:val="20"/>
        </w:rPr>
        <w:t xml:space="preserve"> (VHB)</w:t>
      </w:r>
      <w:r w:rsidR="00CE6300" w:rsidRPr="00221347">
        <w:rPr>
          <w:rFonts w:ascii="Arial" w:eastAsia="Times New Roman" w:hAnsi="Arial" w:cs="Arial"/>
          <w:color w:val="000000" w:themeColor="text1"/>
          <w:sz w:val="20"/>
          <w:szCs w:val="20"/>
        </w:rPr>
        <w:t xml:space="preserve"> </w:t>
      </w:r>
      <w:r w:rsidR="006D0D9D" w:rsidRPr="00221347">
        <w:rPr>
          <w:rFonts w:ascii="Arial" w:eastAsia="Times New Roman" w:hAnsi="Arial" w:cs="Arial"/>
          <w:color w:val="000000" w:themeColor="text1"/>
          <w:sz w:val="20"/>
          <w:szCs w:val="20"/>
        </w:rPr>
        <w:fldChar w:fldCharType="begin" w:fldLock="1"/>
      </w:r>
      <w:r w:rsidR="00FB56FA">
        <w:rPr>
          <w:rFonts w:ascii="Arial" w:eastAsia="Times New Roman" w:hAnsi="Arial" w:cs="Arial"/>
          <w:color w:val="000000" w:themeColor="text1"/>
          <w:sz w:val="20"/>
          <w:szCs w:val="20"/>
        </w:rPr>
        <w:instrText>ADDIN CSL_CITATION {"citationItems":[{"id":"ITEM-1","itemData":{"DOI":"10.1056/NEJMra1713263","ISSN":"1533-4406 (Electronic)","PMID":"30970190","author":[{"dropping-particle":"","family":"Villanueva","given":"Augusto","non-dropping-particle":"","parse-names":false,"suffix":""}],"container-title":"The New England journal of medicine","id":"ITEM-1","issue":"15","issued":{"date-parts":[["2019","4"]]},"language":"eng","page":"1450-1462","publisher-place":"United States","title":"Hepatocellular Carcinoma.","type":"article-journal","volume":"380"},"uris":["http://www.mendeley.com/documents/?uuid=1a8b7c8f-e73b-4a87-b581-42dd355d118c"]},{"id":"ITEM-2","itemData":{"DOI":"10.1056/NEJMra1001683","ISSN":"0028-4793","author":[{"dropping-particle":"","family":"El-Serag","given":"Hashem B.","non-dropping-particle":"","parse-names":false,"suffix":""}],"container-title":"New England Journal of Medicine","id":"ITEM-2","issue":"12","issued":{"date-parts":[["2011","9","22"]]},"page":"1118-1127","title":"Hepatocellular Carcinoma","type":"article-journal","volume":"365"},"uris":["http://www.mendeley.com/documents/?uuid=6c1f2720-f313-403a-bf48-ee62b3235c0c","http://www.mendeley.com/documents/?uuid=549ce161-ce59-4c3c-ae00-96ac9b6bc66b"]},{"id":"ITEM-3","itemData":{"DOI":"10.1056/NEJMoa1915745","ISSN":"15334406","PMID":"32402160","abstract":"BACKGROUND The combination of atezolizumab and bevacizumab showed encouraging antitumor activity and safety in a phase 1b trial involving patients with unresectable hepatocellular carcinoma. METHODS In a global, openlabel, phase 3 trial, patients with unresectable hepatocellular carcinoma who had not previously received systemic treatment were randomly assigned in a 2:1 ratio to receive either atezolizumab plus bevacizumab or sorafenib until unacceptable toxic effects occurred or there was a loss of clinical benefit. The coprimary end points were overall survival and progressionfree survival in the intentiontotreat population, as assessed at an independent review facility according to Response Evaluation Criteria in Solid Tumors, version 1.1 (RECIST 1.1). RESULTS The intentiontotreat population included 336 patients in the atezolizumab–bevacizumab group and 165 patients in the sorafenib group. At the time of the primary analysis (August 29, 2019), the hazard ratio for death with atezolizumab–bevacizumab as compared with sorafenib was 0.58 (95% confidence interval [CI], 0.42 to 0.79; P&lt;0.001). Overall survival at 12 months was 67.2% (95% CI, 61.3 to 73.1) with atezolizumab–bevacizumab and 54.6% (95% CI, 45.2 to 64.0) with sorafenib. Median progressionfree survival was 6.8 months (95% CI, 5.7 to 8.3) and 4.3 months (95% CI, 4.0 to 5.6) in the respective groups (hazard ratio for disease progression or death, 0.59; 95% CI, 0.47 to 0.76; P&lt;0.001). Grade 3 or 4 adverse events occurred in 56.5% of 329 patients who received at least one dose of atezolizumab–bevacizumab and in 55.1% of 156 patients who received at least one dose of sorafenib. Grade 3 or 4 hypertension occurred in 15.2% of patients in the atezolizumab–bevacizumab group; however, other highgrade toxic effects were infrequent. CONCLUSIONS In patients with unresectable hepatocellular carcinoma, atezolizumab combined with bevacizumab resulted in better overall and progressionfree survival outcomes than sorafenib.","author":[{"dropping-particle":"","family":"Finn","given":"Richard S.","non-dropping-particle":"","parse-names":false,"suffix":""},{"dropping-particle":"","family":"Qin","given":"Shukui","non-dropping-particle":"","parse-names":false,"suffix":""},{"dropping-particle":"","family":"Ikeda","given":"Masafumi","non-dropping-particle":"","parse-names":false,"suffix":""},{"dropping-particle":"","family":"Galle","given":"Peter R.","non-dropping-particle":"","parse-names":false,"suffix":""},{"dropping-particle":"","family":"Ducreux","given":"Michel","non-dropping-particle":"","parse-names":false,"suffix":""},{"dropping-particle":"","family":"Kim","given":"Tae You","non-dropping-particle":"","parse-names":false,"suffix":""},{"dropping-particle":"","family":"Kudo","given":"Masatoshi","non-dropping-particle":"","parse-names":false,"suffix":""},{"dropping-particle":"","family":"Breder","given":"Valeriy","non-dropping-particle":"","parse-names":false,"suffix":""},{"dropping-particle":"","family":"Merle","given":"Philippe","non-dropping-particle":"","parse-names":false,"suffix":""},{"dropping-particle":"","family":"Kaseb","given":"Ahmed O","non-dropping-particle":"","parse-names":false,"suffix":""},{"dropping-particle":"","family":"Li","given":"Daneng","non-dropping-particle":"","parse-names":false,"suffix":""},{"dropping-particle":"","family":"Verret","given":"Wendy","non-dropping-particle":"","parse-names":false,"suffix":""},{"dropping-particle":"","family":"Xu","given":"Derek Zhen","non-dropping-particle":"","parse-names":false,"suffix":""},{"dropping-particle":"","family":"Hernandez","given":"Sairy","non-dropping-particle":"","parse-names":false,"suffix":""},{"dropping-particle":"","family":"Liu","given":"Juan","non-dropping-particle":"","parse-names":false,"suffix":""},{"dropping-particle":"","family":"Huang","given":"Chen","non-dropping-particle":"","parse-names":false,"suffix":""},{"dropping-particle":"","family":"Mulla","given":"Sohail","non-dropping-particle":"","parse-names":false,"suffix":""},{"dropping-particle":"","family":"Wang","given":"Yulei","non-dropping-particle":"","parse-names":false,"suffix":""},{"dropping-particle":"","family":"Lim","given":"Ho Yeong","non-dropping-particle":"","parse-names":false,"suffix":""},{"dropping-particle":"","family":"Zhu","given":"Andrew X.","non-dropping-particle":"","parse-names":false,"suffix":""},{"dropping-particle":"","family":"Cheng","given":"Ann Lii","non-dropping-particle":"","parse-names":false,"suffix":""}],"container-title":"New England Journal of Medicine","id":"ITEM-3","issue":"20","issued":{"date-parts":[["2020"]]},"page":"1894-1905","title":"Atezolizumab plus bevacizumab in unresectable hepatocellular carcinoma","type":"article-journal","volume":"382"},"uris":["http://www.mendeley.com/documents/?uuid=12c81b6b-e820-404d-bed4-4497a415ba39","http://www.mendeley.com/documents/?uuid=c8dc63f3-7c57-47d8-a496-ba3f19414167"]}],"mendeley":{"formattedCitation":"(1,5,6)","plainTextFormattedCitation":"(1,5,6)","previouslyFormattedCitation":"(1,5,6)"},"properties":{"noteIndex":0},"schema":"https://github.com/citation-style-language/schema/raw/master/csl-citation.json"}</w:instrText>
      </w:r>
      <w:r w:rsidR="006D0D9D" w:rsidRPr="00221347">
        <w:rPr>
          <w:rFonts w:ascii="Arial" w:eastAsia="Times New Roman" w:hAnsi="Arial" w:cs="Arial"/>
          <w:color w:val="000000" w:themeColor="text1"/>
          <w:sz w:val="20"/>
          <w:szCs w:val="20"/>
        </w:rPr>
        <w:fldChar w:fldCharType="separate"/>
      </w:r>
      <w:r w:rsidR="006D0D9D" w:rsidRPr="00221347">
        <w:rPr>
          <w:rFonts w:ascii="Arial" w:eastAsia="Times New Roman" w:hAnsi="Arial" w:cs="Arial"/>
          <w:noProof/>
          <w:color w:val="000000" w:themeColor="text1"/>
          <w:sz w:val="20"/>
          <w:szCs w:val="20"/>
        </w:rPr>
        <w:t>(1,5,6)</w:t>
      </w:r>
      <w:r w:rsidR="006D0D9D" w:rsidRPr="00221347">
        <w:rPr>
          <w:rFonts w:ascii="Arial" w:eastAsia="Times New Roman" w:hAnsi="Arial" w:cs="Arial"/>
          <w:color w:val="000000" w:themeColor="text1"/>
          <w:sz w:val="20"/>
          <w:szCs w:val="20"/>
        </w:rPr>
        <w:fldChar w:fldCharType="end"/>
      </w:r>
      <w:r w:rsidR="006D0D9D" w:rsidRPr="00221347">
        <w:rPr>
          <w:rFonts w:ascii="Arial" w:eastAsia="Times New Roman" w:hAnsi="Arial" w:cs="Arial"/>
          <w:color w:val="000000" w:themeColor="text1"/>
          <w:sz w:val="20"/>
          <w:szCs w:val="20"/>
        </w:rPr>
        <w:t>.</w:t>
      </w:r>
      <w:r w:rsidRPr="00221347">
        <w:rPr>
          <w:rFonts w:ascii="Arial" w:eastAsia="Times New Roman" w:hAnsi="Arial" w:cs="Arial"/>
          <w:color w:val="000000" w:themeColor="text1"/>
          <w:sz w:val="20"/>
          <w:szCs w:val="20"/>
        </w:rPr>
        <w:t xml:space="preserve"> </w:t>
      </w:r>
      <w:r w:rsidR="0029534D" w:rsidRPr="00221347">
        <w:rPr>
          <w:rFonts w:ascii="Arial" w:hAnsi="Arial" w:cs="Arial"/>
          <w:sz w:val="20"/>
          <w:szCs w:val="20"/>
        </w:rPr>
        <w:t>Da mesma maneira</w:t>
      </w:r>
      <w:r w:rsidRPr="00221347">
        <w:rPr>
          <w:rFonts w:ascii="Arial" w:hAnsi="Arial" w:cs="Arial"/>
          <w:sz w:val="20"/>
          <w:szCs w:val="20"/>
        </w:rPr>
        <w:t xml:space="preserve">, </w:t>
      </w:r>
      <w:r w:rsidR="002F2E20" w:rsidRPr="00221347">
        <w:rPr>
          <w:rFonts w:ascii="Arial" w:hAnsi="Arial" w:cs="Arial"/>
          <w:sz w:val="20"/>
          <w:szCs w:val="20"/>
        </w:rPr>
        <w:t>o CHC</w:t>
      </w:r>
      <w:r w:rsidRPr="00221347">
        <w:rPr>
          <w:rFonts w:ascii="Arial" w:hAnsi="Arial" w:cs="Arial"/>
          <w:sz w:val="20"/>
          <w:szCs w:val="20"/>
        </w:rPr>
        <w:t xml:space="preserve"> é mais prevalente no sexo masculino, numa proporção de 2 para 1, e, nas crianças, na maior parte das vezes, está relacionado à infecção pelo</w:t>
      </w:r>
      <w:r w:rsidR="00ED6EB9" w:rsidRPr="00221347">
        <w:rPr>
          <w:rFonts w:ascii="Arial" w:hAnsi="Arial" w:cs="Arial"/>
          <w:sz w:val="20"/>
          <w:szCs w:val="20"/>
        </w:rPr>
        <w:t xml:space="preserve"> </w:t>
      </w:r>
      <w:r w:rsidRPr="00221347">
        <w:rPr>
          <w:rFonts w:ascii="Arial" w:hAnsi="Arial" w:cs="Arial"/>
          <w:sz w:val="20"/>
          <w:szCs w:val="20"/>
        </w:rPr>
        <w:t xml:space="preserve">VHB. Isso ocorre, principalmente, em </w:t>
      </w:r>
      <w:r w:rsidR="005E5B2D" w:rsidRPr="00221347">
        <w:rPr>
          <w:rFonts w:ascii="Arial" w:hAnsi="Arial" w:cs="Arial"/>
          <w:sz w:val="20"/>
          <w:szCs w:val="20"/>
        </w:rPr>
        <w:t>países</w:t>
      </w:r>
      <w:r w:rsidRPr="00221347">
        <w:rPr>
          <w:rFonts w:ascii="Arial" w:hAnsi="Arial" w:cs="Arial"/>
          <w:sz w:val="20"/>
          <w:szCs w:val="20"/>
        </w:rPr>
        <w:t xml:space="preserve"> como Ásia e África, onde </w:t>
      </w:r>
      <w:r w:rsidR="002F2E20" w:rsidRPr="00221347">
        <w:rPr>
          <w:rFonts w:ascii="Arial" w:hAnsi="Arial" w:cs="Arial"/>
          <w:sz w:val="20"/>
          <w:szCs w:val="20"/>
        </w:rPr>
        <w:t>há</w:t>
      </w:r>
      <w:r w:rsidRPr="00221347">
        <w:rPr>
          <w:rFonts w:ascii="Arial" w:hAnsi="Arial" w:cs="Arial"/>
          <w:sz w:val="20"/>
          <w:szCs w:val="20"/>
        </w:rPr>
        <w:t xml:space="preserve"> alta prevalência da transmissão vertical do vírus, nos quais cerca de 90%</w:t>
      </w:r>
      <w:r w:rsidR="00C77124" w:rsidRPr="00221347">
        <w:rPr>
          <w:rFonts w:ascii="Arial" w:hAnsi="Arial" w:cs="Arial"/>
          <w:sz w:val="20"/>
          <w:szCs w:val="20"/>
        </w:rPr>
        <w:t xml:space="preserve"> </w:t>
      </w:r>
      <w:r w:rsidR="002F2E20" w:rsidRPr="00221347">
        <w:rPr>
          <w:rFonts w:ascii="Arial" w:hAnsi="Arial" w:cs="Arial"/>
          <w:sz w:val="20"/>
          <w:szCs w:val="20"/>
        </w:rPr>
        <w:t>dos</w:t>
      </w:r>
      <w:r w:rsidR="00C77124" w:rsidRPr="00221347">
        <w:rPr>
          <w:rFonts w:ascii="Arial" w:hAnsi="Arial" w:cs="Arial"/>
          <w:sz w:val="20"/>
          <w:szCs w:val="20"/>
        </w:rPr>
        <w:t xml:space="preserve"> casos</w:t>
      </w:r>
      <w:r w:rsidR="00F31711" w:rsidRPr="00221347">
        <w:rPr>
          <w:rFonts w:ascii="Arial" w:hAnsi="Arial" w:cs="Arial"/>
          <w:sz w:val="20"/>
          <w:szCs w:val="20"/>
        </w:rPr>
        <w:t xml:space="preserve"> </w:t>
      </w:r>
      <w:r w:rsidR="00C77124" w:rsidRPr="00221347">
        <w:rPr>
          <w:rFonts w:ascii="Arial" w:hAnsi="Arial" w:cs="Arial"/>
          <w:sz w:val="20"/>
          <w:szCs w:val="20"/>
        </w:rPr>
        <w:t>irão evoluir para a</w:t>
      </w:r>
      <w:r w:rsidRPr="00221347">
        <w:rPr>
          <w:rFonts w:ascii="Arial" w:hAnsi="Arial" w:cs="Arial"/>
          <w:sz w:val="20"/>
          <w:szCs w:val="20"/>
        </w:rPr>
        <w:t xml:space="preserve"> forma crônica</w:t>
      </w:r>
      <w:r w:rsidR="00F31711" w:rsidRPr="00221347">
        <w:rPr>
          <w:rFonts w:ascii="Arial" w:hAnsi="Arial" w:cs="Arial"/>
          <w:sz w:val="20"/>
          <w:szCs w:val="20"/>
        </w:rPr>
        <w:t xml:space="preserve"> da doença</w:t>
      </w:r>
      <w:r w:rsidR="006D0D9D" w:rsidRPr="00221347">
        <w:rPr>
          <w:rFonts w:ascii="Arial" w:hAnsi="Arial" w:cs="Arial"/>
          <w:sz w:val="20"/>
          <w:szCs w:val="20"/>
        </w:rPr>
        <w:t xml:space="preserve"> </w:t>
      </w:r>
      <w:r w:rsidR="006D0D9D" w:rsidRPr="00221347">
        <w:rPr>
          <w:rFonts w:ascii="Arial" w:hAnsi="Arial" w:cs="Arial"/>
          <w:sz w:val="20"/>
          <w:szCs w:val="20"/>
        </w:rPr>
        <w:fldChar w:fldCharType="begin" w:fldLock="1"/>
      </w:r>
      <w:r w:rsidR="00FB56FA">
        <w:rPr>
          <w:rFonts w:ascii="Arial" w:hAnsi="Arial" w:cs="Arial"/>
          <w:sz w:val="20"/>
          <w:szCs w:val="20"/>
        </w:rPr>
        <w:instrText>ADDIN CSL_CITATION {"citationItems":[{"id":"ITEM-1","itemData":{"DOI":"10.1056/NEJMra1713263","ISSN":"1533-4406 (Electronic)","PMID":"30970190","author":[{"dropping-particle":"","family":"Villanueva","given":"Augusto","non-dropping-particle":"","parse-names":false,"suffix":""}],"container-title":"The New England journal of medicine","id":"ITEM-1","issue":"15","issued":{"date-parts":[["2019","4"]]},"language":"eng","page":"1450-1462","publisher-place":"United States","title":"Hepatocellular Carcinoma.","type":"article-journal","volume":"380"},"uris":["http://www.mendeley.com/documents/?uuid=1a8b7c8f-e73b-4a87-b581-42dd355d118c"]},{"id":"ITEM-2","itemData":{"DOI":"10.1056/NEJMra1001683","ISSN":"0028-4793","author":[{"dropping-particle":"","family":"El-Serag","given":"Hashem B.","non-dropping-particle":"","parse-names":false,"suffix":""}],"container-title":"New England Journal of Medicine","id":"ITEM-2","issue":"12","issued":{"date-parts":[["2011","9","22"]]},"page":"1118-1127","title":"Hepatocellular Carcinoma","type":"article-journal","volume":"365"},"uris":["http://www.mendeley.com/documents/?uuid=549ce161-ce59-4c3c-ae00-96ac9b6bc66b","http://www.mendeley.com/documents/?uuid=6c1f2720-f313-403a-bf48-ee62b3235c0c"]}],"mendeley":{"formattedCitation":"(1,5)","plainTextFormattedCitation":"(1,5)","previouslyFormattedCitation":"(1,5)"},"properties":{"noteIndex":0},"schema":"https://github.com/citation-style-language/schema/raw/master/csl-citation.json"}</w:instrText>
      </w:r>
      <w:r w:rsidR="006D0D9D" w:rsidRPr="00221347">
        <w:rPr>
          <w:rFonts w:ascii="Arial" w:hAnsi="Arial" w:cs="Arial"/>
          <w:sz w:val="20"/>
          <w:szCs w:val="20"/>
        </w:rPr>
        <w:fldChar w:fldCharType="separate"/>
      </w:r>
      <w:r w:rsidR="006D0D9D" w:rsidRPr="00221347">
        <w:rPr>
          <w:rFonts w:ascii="Arial" w:hAnsi="Arial" w:cs="Arial"/>
          <w:noProof/>
          <w:sz w:val="20"/>
          <w:szCs w:val="20"/>
        </w:rPr>
        <w:t>(1,5)</w:t>
      </w:r>
      <w:r w:rsidR="006D0D9D" w:rsidRPr="00221347">
        <w:rPr>
          <w:rFonts w:ascii="Arial" w:hAnsi="Arial" w:cs="Arial"/>
          <w:sz w:val="20"/>
          <w:szCs w:val="20"/>
        </w:rPr>
        <w:fldChar w:fldCharType="end"/>
      </w:r>
      <w:r w:rsidRPr="00221347">
        <w:rPr>
          <w:rFonts w:ascii="Arial" w:hAnsi="Arial" w:cs="Arial"/>
          <w:sz w:val="20"/>
          <w:szCs w:val="20"/>
        </w:rPr>
        <w:t>.</w:t>
      </w:r>
    </w:p>
    <w:p w14:paraId="3FAEA2A3" w14:textId="500B7B1C" w:rsidR="00005D47" w:rsidRPr="00221347" w:rsidRDefault="00005D47" w:rsidP="0068402D">
      <w:pPr>
        <w:spacing w:line="360" w:lineRule="auto"/>
        <w:ind w:firstLine="708"/>
        <w:jc w:val="both"/>
        <w:rPr>
          <w:rFonts w:ascii="Arial" w:hAnsi="Arial" w:cs="Arial"/>
          <w:sz w:val="20"/>
          <w:szCs w:val="20"/>
        </w:rPr>
      </w:pPr>
      <w:r w:rsidRPr="00221347">
        <w:rPr>
          <w:rFonts w:ascii="Arial" w:hAnsi="Arial" w:cs="Arial"/>
          <w:sz w:val="20"/>
          <w:szCs w:val="20"/>
        </w:rPr>
        <w:t xml:space="preserve">O desenvolvimento de CHC está diretamente relacionado a fatores de risco que, quando presentes, elevam substancialmente as chances de ocorrência deste câncer, </w:t>
      </w:r>
      <w:r w:rsidR="003C0EC4" w:rsidRPr="00221347">
        <w:rPr>
          <w:rFonts w:ascii="Arial" w:hAnsi="Arial" w:cs="Arial"/>
          <w:sz w:val="20"/>
          <w:szCs w:val="20"/>
        </w:rPr>
        <w:t>tais como</w:t>
      </w:r>
      <w:r w:rsidRPr="00221347">
        <w:rPr>
          <w:rFonts w:ascii="Arial" w:hAnsi="Arial" w:cs="Arial"/>
          <w:sz w:val="20"/>
          <w:szCs w:val="20"/>
        </w:rPr>
        <w:t>:</w:t>
      </w:r>
      <w:r w:rsidR="00FA6E1A" w:rsidRPr="00221347">
        <w:rPr>
          <w:rFonts w:ascii="Arial" w:hAnsi="Arial" w:cs="Arial"/>
          <w:sz w:val="20"/>
          <w:szCs w:val="20"/>
        </w:rPr>
        <w:t xml:space="preserve"> </w:t>
      </w:r>
      <w:r w:rsidRPr="00221347">
        <w:rPr>
          <w:rFonts w:ascii="Arial" w:hAnsi="Arial" w:cs="Arial"/>
          <w:sz w:val="20"/>
          <w:szCs w:val="20"/>
        </w:rPr>
        <w:t>VHB</w:t>
      </w:r>
      <w:r w:rsidR="0091442F" w:rsidRPr="00221347">
        <w:rPr>
          <w:rFonts w:ascii="Arial" w:hAnsi="Arial" w:cs="Arial"/>
          <w:sz w:val="20"/>
          <w:szCs w:val="20"/>
        </w:rPr>
        <w:t>, vírus da hepa</w:t>
      </w:r>
      <w:r w:rsidR="001A1F1E" w:rsidRPr="00221347">
        <w:rPr>
          <w:rFonts w:ascii="Arial" w:hAnsi="Arial" w:cs="Arial"/>
          <w:sz w:val="20"/>
          <w:szCs w:val="20"/>
        </w:rPr>
        <w:t>tite</w:t>
      </w:r>
      <w:r w:rsidRPr="00221347">
        <w:rPr>
          <w:rFonts w:ascii="Arial" w:hAnsi="Arial" w:cs="Arial"/>
          <w:sz w:val="20"/>
          <w:szCs w:val="20"/>
        </w:rPr>
        <w:t xml:space="preserve"> C (VHC), doença hepática alcoólica</w:t>
      </w:r>
      <w:r w:rsidR="001A1F1E" w:rsidRPr="00221347">
        <w:rPr>
          <w:rFonts w:ascii="Arial" w:hAnsi="Arial" w:cs="Arial"/>
          <w:sz w:val="20"/>
          <w:szCs w:val="20"/>
        </w:rPr>
        <w:t xml:space="preserve"> (DHA)</w:t>
      </w:r>
      <w:r w:rsidRPr="00221347">
        <w:rPr>
          <w:rFonts w:ascii="Arial" w:hAnsi="Arial" w:cs="Arial"/>
          <w:sz w:val="20"/>
          <w:szCs w:val="20"/>
        </w:rPr>
        <w:t xml:space="preserve"> e doença hepática gordurosa não</w:t>
      </w:r>
      <w:r w:rsidR="00BF1442" w:rsidRPr="00221347">
        <w:rPr>
          <w:rFonts w:ascii="Arial" w:hAnsi="Arial" w:cs="Arial"/>
          <w:sz w:val="20"/>
          <w:szCs w:val="20"/>
        </w:rPr>
        <w:t xml:space="preserve"> </w:t>
      </w:r>
      <w:r w:rsidRPr="00221347">
        <w:rPr>
          <w:rFonts w:ascii="Arial" w:hAnsi="Arial" w:cs="Arial"/>
          <w:sz w:val="20"/>
          <w:szCs w:val="20"/>
        </w:rPr>
        <w:t>alcoólica (DHGNA</w:t>
      </w:r>
      <w:r w:rsidR="00FA6E1A" w:rsidRPr="00221347">
        <w:rPr>
          <w:rFonts w:ascii="Arial" w:hAnsi="Arial" w:cs="Arial"/>
          <w:sz w:val="20"/>
          <w:szCs w:val="20"/>
        </w:rPr>
        <w:t>)</w:t>
      </w:r>
      <w:r w:rsidR="008D64B4" w:rsidRPr="00221347">
        <w:rPr>
          <w:rFonts w:ascii="Arial" w:hAnsi="Arial" w:cs="Arial"/>
          <w:sz w:val="20"/>
          <w:szCs w:val="20"/>
        </w:rPr>
        <w:t xml:space="preserve"> e cirrose por qualquer etiologia </w:t>
      </w:r>
      <w:r w:rsidR="002C4AAF" w:rsidRPr="00221347">
        <w:rPr>
          <w:rFonts w:ascii="Arial" w:hAnsi="Arial" w:cs="Arial"/>
          <w:sz w:val="20"/>
          <w:szCs w:val="20"/>
        </w:rPr>
        <w:fldChar w:fldCharType="begin" w:fldLock="1"/>
      </w:r>
      <w:r w:rsidR="00FB56FA">
        <w:rPr>
          <w:rFonts w:ascii="Arial" w:hAnsi="Arial" w:cs="Arial"/>
          <w:sz w:val="20"/>
          <w:szCs w:val="20"/>
        </w:rPr>
        <w:instrText>ADDIN CSL_CITATION {"citationItems":[{"id":"ITEM-1","itemData":{"DOI":"10.1053/j.gastro.2019.12.030","ISSN":"15280012","PMID":"31962125","author":[{"dropping-particle":"","family":"Shiels","given":"Meredith S","non-dropping-particle":"","parse-names":false,"suffix":""},{"dropping-particle":"","family":"O'Brien","given":"Thomas R.","non-dropping-particle":"","parse-names":false,"suffix":""}],"container-title":"Gastroenterology","id":"ITEM-1","issue":"5","issued":{"date-parts":[["2020"]]},"page":"1503-1505.e2","publisher":"The American Gastroenterological Association","title":"Recent Decline in Hepatocellular Carcinoma Rates in the United States","type":"article-journal","volume":"158"},"uris":["http://www.mendeley.com/documents/?uuid=6d169e47-965c-495b-9a79-f33b33c781f9","http://www.mendeley.com/documents/?uuid=4991b870-c64e-45f2-8da6-eb817eaa5dd4"]},{"id":"ITEM-2","itemData":{"DOI":"10.1056/NEJMra1001683","ISSN":"0028-4793","author":[{"dropping-particle":"","family":"El-Serag","given":"Hashem B.","non-dropping-particle":"","parse-names":false,"suffix":""}],"container-title":"New England Journal of Medicine","id":"ITEM-2","issue":"12","issued":{"date-parts":[["2011","9","22"]]},"page":"1118-1127","title":"Hepatocellular Carcinoma","type":"article-journal","volume":"365"},"uris":["http://www.mendeley.com/documents/?uuid=549ce161-ce59-4c3c-ae00-96ac9b6bc66b","http://www.mendeley.com/documents/?uuid=6c1f2720-f313-403a-bf48-ee62b3235c0c"]}],"mendeley":{"formattedCitation":"(5,7)","plainTextFormattedCitation":"(5,7)","previouslyFormattedCitation":"(5,7)"},"properties":{"noteIndex":0},"schema":"https://github.com/citation-style-language/schema/raw/master/csl-citation.json"}</w:instrText>
      </w:r>
      <w:r w:rsidR="002C4AAF" w:rsidRPr="00221347">
        <w:rPr>
          <w:rFonts w:ascii="Arial" w:hAnsi="Arial" w:cs="Arial"/>
          <w:sz w:val="20"/>
          <w:szCs w:val="20"/>
        </w:rPr>
        <w:fldChar w:fldCharType="separate"/>
      </w:r>
      <w:r w:rsidR="006D0D9D" w:rsidRPr="00221347">
        <w:rPr>
          <w:rFonts w:ascii="Arial" w:hAnsi="Arial" w:cs="Arial"/>
          <w:noProof/>
          <w:sz w:val="20"/>
          <w:szCs w:val="20"/>
        </w:rPr>
        <w:t>(5,7)</w:t>
      </w:r>
      <w:r w:rsidR="002C4AAF" w:rsidRPr="00221347">
        <w:rPr>
          <w:rFonts w:ascii="Arial" w:hAnsi="Arial" w:cs="Arial"/>
          <w:sz w:val="20"/>
          <w:szCs w:val="20"/>
        </w:rPr>
        <w:fldChar w:fldCharType="end"/>
      </w:r>
      <w:r w:rsidR="00FA6E1A" w:rsidRPr="00221347">
        <w:rPr>
          <w:rFonts w:ascii="Arial" w:hAnsi="Arial" w:cs="Arial"/>
          <w:sz w:val="20"/>
          <w:szCs w:val="20"/>
        </w:rPr>
        <w:t>.</w:t>
      </w:r>
      <w:r w:rsidR="009122C5" w:rsidRPr="00221347">
        <w:rPr>
          <w:rFonts w:ascii="Arial" w:hAnsi="Arial" w:cs="Arial"/>
          <w:sz w:val="20"/>
          <w:szCs w:val="20"/>
        </w:rPr>
        <w:t xml:space="preserve"> </w:t>
      </w:r>
      <w:r w:rsidRPr="00221347">
        <w:rPr>
          <w:rFonts w:ascii="Arial" w:hAnsi="Arial" w:cs="Arial"/>
          <w:sz w:val="20"/>
          <w:szCs w:val="20"/>
        </w:rPr>
        <w:t xml:space="preserve"> Geralmente, essas </w:t>
      </w:r>
      <w:r w:rsidR="009122C5" w:rsidRPr="00221347">
        <w:rPr>
          <w:rFonts w:ascii="Arial" w:hAnsi="Arial" w:cs="Arial"/>
          <w:sz w:val="20"/>
          <w:szCs w:val="20"/>
        </w:rPr>
        <w:t>doenças passam pelo estágio de f</w:t>
      </w:r>
      <w:r w:rsidRPr="00221347">
        <w:rPr>
          <w:rFonts w:ascii="Arial" w:hAnsi="Arial" w:cs="Arial"/>
          <w:sz w:val="20"/>
          <w:szCs w:val="20"/>
        </w:rPr>
        <w:t>ibrose hepática antes de culminarem em carcinoma hepatocelular, o que não exclui, entretanto, a possiblidade de evolução direta para CHC</w:t>
      </w:r>
      <w:r w:rsidR="00793D9B" w:rsidRPr="00221347">
        <w:rPr>
          <w:rFonts w:ascii="Arial" w:hAnsi="Arial" w:cs="Arial"/>
          <w:sz w:val="20"/>
          <w:szCs w:val="20"/>
        </w:rPr>
        <w:t xml:space="preserve"> </w:t>
      </w:r>
      <w:r w:rsidR="00793D9B" w:rsidRPr="00221347">
        <w:rPr>
          <w:rFonts w:ascii="Arial" w:hAnsi="Arial" w:cs="Arial"/>
          <w:sz w:val="20"/>
          <w:szCs w:val="20"/>
        </w:rPr>
        <w:fldChar w:fldCharType="begin" w:fldLock="1"/>
      </w:r>
      <w:r w:rsidR="006D0D9D" w:rsidRPr="00221347">
        <w:rPr>
          <w:rFonts w:ascii="Arial" w:hAnsi="Arial" w:cs="Arial"/>
          <w:sz w:val="20"/>
          <w:szCs w:val="20"/>
        </w:rPr>
        <w:instrText>ADDIN CSL_CITATION {"citationItems":[{"id":"ITEM-1","itemData":{"DOI":"10.1056/NEJMra1610570","author":[{"dropping-particle":"","family":"Article","given":"Review","non-dropping-particle":"","parse-names":false,"suffix":""}],"id":"ITEM-1","issued":{"date-parts":[["2017"]]},"title":"Use of Liver Imaging and Biopsy in Clinical Practice","type":"article-journal"},"uris":["http://www.mendeley.com/documents/?uuid=f2e3e8f9-24b9-4e76-aec2-6e02d34eb915"]}],"mendeley":{"formattedCitation":"(8)","plainTextFormattedCitation":"(8)","previouslyFormattedCitation":"(8)"},"properties":{"noteIndex":0},"schema":"https://github.com/citation-style-language/schema/raw/master/csl-citation.json"}</w:instrText>
      </w:r>
      <w:r w:rsidR="00793D9B" w:rsidRPr="00221347">
        <w:rPr>
          <w:rFonts w:ascii="Arial" w:hAnsi="Arial" w:cs="Arial"/>
          <w:sz w:val="20"/>
          <w:szCs w:val="20"/>
        </w:rPr>
        <w:fldChar w:fldCharType="separate"/>
      </w:r>
      <w:r w:rsidR="006D0D9D" w:rsidRPr="00221347">
        <w:rPr>
          <w:rFonts w:ascii="Arial" w:hAnsi="Arial" w:cs="Arial"/>
          <w:noProof/>
          <w:sz w:val="20"/>
          <w:szCs w:val="20"/>
        </w:rPr>
        <w:t>(8)</w:t>
      </w:r>
      <w:r w:rsidR="00793D9B" w:rsidRPr="00221347">
        <w:rPr>
          <w:rFonts w:ascii="Arial" w:hAnsi="Arial" w:cs="Arial"/>
          <w:sz w:val="20"/>
          <w:szCs w:val="20"/>
        </w:rPr>
        <w:fldChar w:fldCharType="end"/>
      </w:r>
      <w:r w:rsidR="005D4029" w:rsidRPr="00221347">
        <w:rPr>
          <w:rFonts w:ascii="Arial" w:hAnsi="Arial" w:cs="Arial"/>
          <w:sz w:val="20"/>
          <w:szCs w:val="20"/>
        </w:rPr>
        <w:t>.</w:t>
      </w:r>
      <w:r w:rsidRPr="00221347">
        <w:rPr>
          <w:rFonts w:ascii="Arial" w:hAnsi="Arial" w:cs="Arial"/>
          <w:sz w:val="20"/>
          <w:szCs w:val="20"/>
        </w:rPr>
        <w:t xml:space="preserve">  </w:t>
      </w:r>
    </w:p>
    <w:p w14:paraId="0CF4B40D" w14:textId="78D4287C" w:rsidR="00005D47" w:rsidRPr="00221347" w:rsidRDefault="00005D47" w:rsidP="00CF7C69">
      <w:pPr>
        <w:spacing w:line="360" w:lineRule="auto"/>
        <w:ind w:firstLine="708"/>
        <w:jc w:val="both"/>
        <w:rPr>
          <w:rFonts w:ascii="Arial" w:eastAsia="Raleway" w:hAnsi="Arial" w:cs="Arial"/>
          <w:sz w:val="20"/>
          <w:szCs w:val="20"/>
        </w:rPr>
      </w:pPr>
      <w:r w:rsidRPr="00221347">
        <w:rPr>
          <w:rFonts w:ascii="Arial" w:eastAsia="Raleway" w:hAnsi="Arial" w:cs="Arial"/>
          <w:sz w:val="20"/>
          <w:szCs w:val="20"/>
        </w:rPr>
        <w:t xml:space="preserve">A </w:t>
      </w:r>
      <w:r w:rsidR="00BF1442" w:rsidRPr="00221347">
        <w:rPr>
          <w:rFonts w:ascii="Arial" w:eastAsia="Raleway" w:hAnsi="Arial" w:cs="Arial"/>
          <w:sz w:val="20"/>
          <w:szCs w:val="20"/>
        </w:rPr>
        <w:t>DHGNA</w:t>
      </w:r>
      <w:r w:rsidRPr="00221347">
        <w:rPr>
          <w:rFonts w:ascii="Arial" w:eastAsia="Raleway" w:hAnsi="Arial" w:cs="Arial"/>
          <w:sz w:val="20"/>
          <w:szCs w:val="20"/>
        </w:rPr>
        <w:t xml:space="preserve"> apresenta prevalência global estimada em 25%  e tem-se tornado a causa subjacente mais comum </w:t>
      </w:r>
      <w:r w:rsidR="00C42837" w:rsidRPr="00221347">
        <w:rPr>
          <w:rFonts w:ascii="Arial" w:eastAsia="Raleway" w:hAnsi="Arial" w:cs="Arial"/>
          <w:sz w:val="20"/>
          <w:szCs w:val="20"/>
        </w:rPr>
        <w:t>de CHC</w:t>
      </w:r>
      <w:r w:rsidR="00071B93" w:rsidRPr="00221347">
        <w:rPr>
          <w:rFonts w:ascii="Arial" w:eastAsia="Raleway" w:hAnsi="Arial" w:cs="Arial"/>
          <w:sz w:val="20"/>
          <w:szCs w:val="20"/>
        </w:rPr>
        <w:t xml:space="preserve">, estando entre </w:t>
      </w:r>
      <w:r w:rsidRPr="00221347">
        <w:rPr>
          <w:rFonts w:ascii="Arial" w:eastAsia="Raleway" w:hAnsi="Arial" w:cs="Arial"/>
          <w:sz w:val="20"/>
          <w:szCs w:val="20"/>
        </w:rPr>
        <w:t>a segunda</w:t>
      </w:r>
      <w:r w:rsidR="00AC1135" w:rsidRPr="00221347">
        <w:rPr>
          <w:rFonts w:ascii="Arial" w:eastAsia="Raleway" w:hAnsi="Arial" w:cs="Arial"/>
          <w:sz w:val="20"/>
          <w:szCs w:val="20"/>
        </w:rPr>
        <w:t xml:space="preserve"> </w:t>
      </w:r>
      <w:r w:rsidR="00071B93" w:rsidRPr="00221347">
        <w:rPr>
          <w:rFonts w:ascii="Arial" w:eastAsia="Raleway" w:hAnsi="Arial" w:cs="Arial"/>
          <w:sz w:val="20"/>
          <w:szCs w:val="20"/>
        </w:rPr>
        <w:t xml:space="preserve">ou </w:t>
      </w:r>
      <w:r w:rsidRPr="00221347">
        <w:rPr>
          <w:rFonts w:ascii="Arial" w:eastAsia="Raleway" w:hAnsi="Arial" w:cs="Arial"/>
          <w:sz w:val="20"/>
          <w:szCs w:val="20"/>
        </w:rPr>
        <w:t xml:space="preserve">terceira indicação de transplante hepático </w:t>
      </w:r>
      <w:r w:rsidR="009D78BD"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10.1002/hep.25762","ISSN":"02709139","PMID":"22488764","author":[{"dropping-particle":"","family":"Chalasani","given":"Naga","non-dropping-particle":"","parse-names":false,"suffix":""},{"dropping-particle":"","family":"Younossi","given":"Zobair","non-dropping-particle":"","parse-names":false,"suffix":""},{"dropping-particle":"","family":"Lavine","given":"Joel E","non-dropping-particle":"","parse-names":false,"suffix":""},{"dropping-particle":"","family":"Diehl","given":"Anna Mae","non-dropping-particle":"","parse-names":false,"suffix":""},{"dropping-particle":"","family":"Brunt","given":"Elizabeth M","non-dropping-particle":"","parse-names":false,"suffix":""},{"dropping-particle":"","family":"Cusi","given":"Kenneth","non-dropping-particle":"","parse-names":false,"suffix":""},{"dropping-particle":"","family":"Charlton","given":"Michael","non-dropping-particle":"","parse-names":false,"suffix":""},{"dropping-particle":"","family":"Sanyal","given":"Arun J","non-dropping-particle":"","parse-names":false,"suffix":""}],"container-title":"Hepatology","id":"ITEM-1","issue":"6","issued":{"date-parts":[["2012"]]},"page":"2005-2023","title":"The diagnosis and management of non-alcoholic fatty liver disease: Practice Guideline by the American Association for the Study of Liver Diseases, American College of Gastroenterology, and the American Gastroenterological Association","type":"article-journal","volume":"55"},"uris":["http://www.mendeley.com/documents/?uuid=71b7233b-02ed-43ff-9121-791e6b9a4f3e","http://www.mendeley.com/documents/?uuid=3fdcbf08-12ab-4587-86ea-6a2148cdf44e"]},{"id":"ITEM-2","itemData":{"DOI":"10.1056/NEJMra1610570","ISSN":"15334406","PMID":"28834467","author":[{"dropping-particle":"","family":"Tapper","given":"Elliot B.","non-dropping-particle":"","parse-names":false,"suffix":""},{"dropping-particle":"","family":"Lok","given":"Anna S.F.","non-dropping-particle":"","parse-names":false,"suffix":""}],"container-title":"New England Journal of Medicine","id":"ITEM-2","issue":"8","issued":{"date-parts":[["2017"]]},"page":"756-768","title":"Use of liver imaging and biopsy in clinical practice","type":"article-journal","volume":"377"},"uris":["http://www.mendeley.com/documents/?uuid=b9efbd70-c0ed-465f-938c-cc97abf010fd","http://www.mendeley.com/documents/?uuid=6b766767-bc95-48a0-9b61-0bd112d6be44"]}],"mendeley":{"formattedCitation":"(9,10)","plainTextFormattedCitation":"(9,10)","previouslyFormattedCitation":"(9,10)"},"properties":{"noteIndex":0},"schema":"https://github.com/citation-style-language/schema/raw/master/csl-citation.json"}</w:instrText>
      </w:r>
      <w:r w:rsidR="009D78BD"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(9,10)</w:t>
      </w:r>
      <w:r w:rsidR="009D78BD" w:rsidRPr="00221347">
        <w:rPr>
          <w:rFonts w:ascii="Arial" w:eastAsia="Raleway" w:hAnsi="Arial" w:cs="Arial"/>
          <w:sz w:val="20"/>
          <w:szCs w:val="20"/>
        </w:rPr>
        <w:fldChar w:fldCharType="end"/>
      </w:r>
      <w:r w:rsidR="00AD1E71" w:rsidRPr="00221347">
        <w:rPr>
          <w:rFonts w:ascii="Arial" w:eastAsia="Raleway" w:hAnsi="Arial" w:cs="Arial"/>
          <w:sz w:val="20"/>
          <w:szCs w:val="20"/>
        </w:rPr>
        <w:t>.</w:t>
      </w:r>
      <w:r w:rsidRPr="00221347">
        <w:rPr>
          <w:rFonts w:ascii="Arial" w:eastAsia="Raleway" w:hAnsi="Arial" w:cs="Arial"/>
          <w:sz w:val="20"/>
          <w:szCs w:val="20"/>
        </w:rPr>
        <w:t xml:space="preserve"> Aproximadamente</w:t>
      </w:r>
      <w:r w:rsidR="00CF7C69" w:rsidRPr="00221347">
        <w:rPr>
          <w:rFonts w:ascii="Arial" w:eastAsia="Raleway" w:hAnsi="Arial" w:cs="Arial"/>
          <w:sz w:val="20"/>
          <w:szCs w:val="20"/>
        </w:rPr>
        <w:t>,</w:t>
      </w:r>
      <w:r w:rsidRPr="00221347">
        <w:rPr>
          <w:rFonts w:ascii="Arial" w:eastAsia="Raleway" w:hAnsi="Arial" w:cs="Arial"/>
          <w:sz w:val="20"/>
          <w:szCs w:val="20"/>
        </w:rPr>
        <w:t xml:space="preserve"> um quarto dos adultos com </w:t>
      </w:r>
      <w:r w:rsidR="00AE03C1" w:rsidRPr="00221347">
        <w:rPr>
          <w:rFonts w:ascii="Arial" w:eastAsia="Raleway" w:hAnsi="Arial" w:cs="Arial"/>
          <w:sz w:val="20"/>
          <w:szCs w:val="20"/>
        </w:rPr>
        <w:t>DHGNA</w:t>
      </w:r>
      <w:r w:rsidRPr="00221347">
        <w:rPr>
          <w:rFonts w:ascii="Arial" w:eastAsia="Raleway" w:hAnsi="Arial" w:cs="Arial"/>
          <w:sz w:val="20"/>
          <w:szCs w:val="20"/>
        </w:rPr>
        <w:t xml:space="preserve"> apresenta </w:t>
      </w:r>
      <w:proofErr w:type="spellStart"/>
      <w:r w:rsidRPr="00221347">
        <w:rPr>
          <w:rFonts w:ascii="Arial" w:eastAsia="Raleway" w:hAnsi="Arial" w:cs="Arial"/>
          <w:sz w:val="20"/>
          <w:szCs w:val="20"/>
        </w:rPr>
        <w:t>esteato</w:t>
      </w:r>
      <w:proofErr w:type="spellEnd"/>
      <w:r w:rsidRPr="00221347">
        <w:rPr>
          <w:rFonts w:ascii="Arial" w:eastAsia="Raleway" w:hAnsi="Arial" w:cs="Arial"/>
          <w:sz w:val="20"/>
          <w:szCs w:val="20"/>
        </w:rPr>
        <w:t>-hepatite não alcoólica (</w:t>
      </w:r>
      <w:r w:rsidR="00AE03C1" w:rsidRPr="00221347">
        <w:rPr>
          <w:rFonts w:ascii="Arial" w:eastAsia="Raleway" w:hAnsi="Arial" w:cs="Arial"/>
          <w:sz w:val="20"/>
          <w:szCs w:val="20"/>
        </w:rPr>
        <w:t>EHNA</w:t>
      </w:r>
      <w:r w:rsidRPr="00221347">
        <w:rPr>
          <w:rFonts w:ascii="Arial" w:eastAsia="Raleway" w:hAnsi="Arial" w:cs="Arial"/>
          <w:sz w:val="20"/>
          <w:szCs w:val="20"/>
        </w:rPr>
        <w:t>)</w:t>
      </w:r>
      <w:r w:rsidR="002F2E20" w:rsidRPr="00221347">
        <w:rPr>
          <w:rFonts w:ascii="Arial" w:eastAsia="Raleway" w:hAnsi="Arial" w:cs="Arial"/>
          <w:sz w:val="20"/>
          <w:szCs w:val="20"/>
        </w:rPr>
        <w:t>,</w:t>
      </w:r>
      <w:r w:rsidRPr="00221347">
        <w:rPr>
          <w:rFonts w:ascii="Arial" w:eastAsia="Raleway" w:hAnsi="Arial" w:cs="Arial"/>
          <w:sz w:val="20"/>
          <w:szCs w:val="20"/>
        </w:rPr>
        <w:t xml:space="preserve"> que </w:t>
      </w:r>
      <w:r w:rsidR="007B295A" w:rsidRPr="00221347">
        <w:rPr>
          <w:rFonts w:ascii="Arial" w:eastAsia="Raleway" w:hAnsi="Arial" w:cs="Arial"/>
          <w:sz w:val="20"/>
          <w:szCs w:val="20"/>
        </w:rPr>
        <w:t xml:space="preserve">usualmente </w:t>
      </w:r>
      <w:r w:rsidRPr="00221347">
        <w:rPr>
          <w:rFonts w:ascii="Arial" w:eastAsia="Raleway" w:hAnsi="Arial" w:cs="Arial"/>
          <w:sz w:val="20"/>
          <w:szCs w:val="20"/>
        </w:rPr>
        <w:t>leva à fibrose hepática progressiva</w:t>
      </w:r>
      <w:r w:rsidR="00A876F1" w:rsidRPr="00221347">
        <w:rPr>
          <w:rFonts w:ascii="Arial" w:eastAsia="Raleway" w:hAnsi="Arial" w:cs="Arial"/>
          <w:sz w:val="20"/>
          <w:szCs w:val="20"/>
        </w:rPr>
        <w:t>, pass</w:t>
      </w:r>
      <w:r w:rsidR="002F2E20" w:rsidRPr="00221347">
        <w:rPr>
          <w:rFonts w:ascii="Arial" w:eastAsia="Raleway" w:hAnsi="Arial" w:cs="Arial"/>
          <w:sz w:val="20"/>
          <w:szCs w:val="20"/>
        </w:rPr>
        <w:t>a</w:t>
      </w:r>
      <w:r w:rsidR="00A876F1" w:rsidRPr="00221347">
        <w:rPr>
          <w:rFonts w:ascii="Arial" w:eastAsia="Raleway" w:hAnsi="Arial" w:cs="Arial"/>
          <w:sz w:val="20"/>
          <w:szCs w:val="20"/>
        </w:rPr>
        <w:t xml:space="preserve"> pela </w:t>
      </w:r>
      <w:r w:rsidRPr="00221347">
        <w:rPr>
          <w:rFonts w:ascii="Arial" w:eastAsia="Raleway" w:hAnsi="Arial" w:cs="Arial"/>
          <w:sz w:val="20"/>
          <w:szCs w:val="20"/>
        </w:rPr>
        <w:t xml:space="preserve">cirrose e </w:t>
      </w:r>
      <w:r w:rsidR="00F81330" w:rsidRPr="00221347">
        <w:rPr>
          <w:rFonts w:ascii="Arial" w:eastAsia="Raleway" w:hAnsi="Arial" w:cs="Arial"/>
          <w:sz w:val="20"/>
          <w:szCs w:val="20"/>
        </w:rPr>
        <w:t xml:space="preserve">finalmente </w:t>
      </w:r>
      <w:r w:rsidR="00183D04" w:rsidRPr="00221347">
        <w:rPr>
          <w:rFonts w:ascii="Arial" w:eastAsia="Raleway" w:hAnsi="Arial" w:cs="Arial"/>
          <w:sz w:val="20"/>
          <w:szCs w:val="20"/>
        </w:rPr>
        <w:t>evolui p</w:t>
      </w:r>
      <w:r w:rsidRPr="00221347">
        <w:rPr>
          <w:rFonts w:ascii="Arial" w:eastAsia="Raleway" w:hAnsi="Arial" w:cs="Arial"/>
          <w:sz w:val="20"/>
          <w:szCs w:val="20"/>
        </w:rPr>
        <w:t>a</w:t>
      </w:r>
      <w:r w:rsidR="00183D04" w:rsidRPr="00221347">
        <w:rPr>
          <w:rFonts w:ascii="Arial" w:eastAsia="Raleway" w:hAnsi="Arial" w:cs="Arial"/>
          <w:sz w:val="20"/>
          <w:szCs w:val="20"/>
        </w:rPr>
        <w:t xml:space="preserve">ra </w:t>
      </w:r>
      <w:r w:rsidRPr="00221347">
        <w:rPr>
          <w:rFonts w:ascii="Arial" w:eastAsia="Raleway" w:hAnsi="Arial" w:cs="Arial"/>
          <w:sz w:val="20"/>
          <w:szCs w:val="20"/>
        </w:rPr>
        <w:t>o carcinoma hepatocelular</w:t>
      </w:r>
      <w:r w:rsidR="00C33861" w:rsidRPr="00221347">
        <w:rPr>
          <w:rFonts w:ascii="Arial" w:eastAsia="Raleway" w:hAnsi="Arial" w:cs="Arial"/>
          <w:sz w:val="20"/>
          <w:szCs w:val="20"/>
        </w:rPr>
        <w:t xml:space="preserve"> </w:t>
      </w:r>
      <w:r w:rsidR="00845B47"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{"citationItems":[{"id":"ITEM-1","itemData":{"DOI":"10.25122/jml-2018-1002","ISSN":"18443117","PMID":"30364513","abstract":"Nonalcoholic fatty liver disease (NAFLD) is characterized by hepatic steatosis in the absence of significant alcohol consumption (&lt;40 g/week). The essential metabolic trait is insulin resistance, which is why NAFLD is associated with obesity, diabetes mellitus (DM), hyperlipidemia. Approximately one-quarter of adults with NAFLD present nonalcoholic steatohepatitis (NASH) leading to progressive hepatic fibrosis and finally cirrhosis and hepatocellular carcinoma. If liver biopsy (LB) has traditionally been NAFLD's gold standard, over the past 15 years, its use has undergone an important transformation. In this review, the role of noninvasive tests (serological markers, imaging techniques) in the NAFLD evaluation is analyzed, starting from the low adherence of patients for LB, the complications of the technique, and the increased cost. LB is the only investigation that distinguishes between simple steatosis and NASH. However, in the medical practice, LB has gained lesser value; it is worth mentioning that NASH represents a small proportion compared to NAFLD. For this reason, most patients only show biopsy steatosis, which has a good prognosis. In addition, judging by the appearance of inflammation markers and fibrosis in the diagnosis technique, the use of LB has become increasingly rare in the definition of NASH.","author":[{"dropping-particle":"","family":"Isabela Andronescu","given":"Craita","non-dropping-particle":"","parse-names":false,"suffix":""},{"dropping-particle":"","family":"Roxana Purcarea","given":"Monica","non-dropping-particle":"","parse-names":false,"suffix":""},{"dropping-particle":"","family":"Aurel Babes","given":"Petru","non-dropping-particle":"","parse-names":false,"suffix":""}],"container-title":"Journal of medicine and life","id":"ITEM-1","issue":"3","issued":{"date-parts":[["2018"]]},"page":"243-246","title":"The role of noninvasive tests and liver biopsy in the diagnosis of nonalcoholic fatty liver disease","type":"article-journal","volume":"11"},"uris":["http://www.mendeley.com/documents/?uuid=56af2b12-c00c-4b55-b133-dd10c5d6109f","http://www.mendeley.com/documents/?uuid=d62fd121-6ab6-4d53-8b11-ab0957eeba15"]},{"id":"ITEM-2","itemData":{"DOI":"10.1038/nrgastro.2013.171","ISSN":"17595045","PMID":"24042449","abstract":"NAFLD is a clinical syndrome characterized by predominant macrovesicular steatosis of the liver. The clinical and histological phenotypes of NAFLD extend from a nonalcoholic fatty liver to NASH. Although the prevalence of NAFLD is increasing globally, and it is set to become the predominant cause of chronic liver disease in many parts of the world, the epidemiology and demographic characteristics of NAFLD vary worldwide. Indeed, the condition is associated with obesity and insulin resistance in most cases in the Western world, but the disease manifests at a lower BMI in Asian countries and many patients do not seem to have insulin resistance as determined using conventional methods. The similarities and differences in the epidemiology of NAFLD in different regions of the world are discussed and the potential role of genetics and insulin resistance in disease progression is also presented. © 2013 Macmillan Publishers Limited. All rights reserved.","author":[{"dropping-particle":"","family":"Loomba","given":"Rohit","non-dropping-particle":"","parse-names":false,"suffix":""},{"dropping-particle":"","family":"Sanyal","given":"Arun J","non-dropping-particle":"","parse-names":false,"suffix":""}],"container-title":"Nature Reviews Gastroenterology and Hepatology","id":"ITEM-2","issue":"11","issued":{"date-parts":[["2013"]]},"page":"686-690","publisher":"Nature Publishing Group","title":"The global NAFLD epidemic","type":"article-journal","volume":"10"},"uris":["http://www.mendeley.com/documents/?uuid=7d128127-5571-4f58-91f7-5e4bf52b509b","http://www.mendeley.com/documents/?uuid=fa2d044e-e187-45c8-966f-3f82dcba6481"]},{"id":"ITEM-3","itemData":{"DOI":"10.1055/s-0028-1091978","ISSN":"02728087","PMID":"18956290","abstract":"Nonalcoholic fatty liver disease (NAFLD) is an increasingly recognized cause of liver disease in the United States and worldwide. With obesity being an important risk factor universally, NAFLD is now receiving greater attention and is regarded as a public health issue. In addition, as a result of an aging population and the improving control of other major causes of chronic liver disease, such as hepatitis C and hepatitis B, the burden of NAFLD is expected to increase in years to come. Prevalence estimates of this disease vary widely across populations because of differences in methods for diagnosis and/or definition. New strategies for the prevention, diagnosis, and management will be required to alter the course of this disease. Copyright © 2008 by Thieme Medical Publishers, Inc.","author":[{"dropping-particle":"","family":"Lazo","given":"Mariana","non-dropping-particle":"","parse-names":false,"suffix":""},{"dropping-particle":"","family":"Clark","given":"Jeanne M","non-dropping-particle":"","parse-names":false,"suffix":""}],"container-title":"Seminars in Liver Disease","id":"ITEM-3","issue":"4","issued":{"date-parts":[["2008"]]},"page":"339-350","title":"The epidemiology of nonalcoholic fatty liver disease: A global perspective","type":"article-journal","volume":"28"},"uris":["http://www.mendeley.com/documents/?uuid=173a17be-7aec-4999-90dc-f8377e798f56","http://www.mendeley.com/documents/?uuid=a37210cb-30da-477f-9b9e-11bb567803e4"]}],"mendeley":{"formattedCitation":"(11–13)","plainTextFormattedCitation":"(11–13)","previouslyFormattedCitation":"(11–13)"},"properties":{"noteIndex":0},"schema":"https://github.com/citation-style-language/schema/raw/master/csl-citation.json"}</w:instrText>
      </w:r>
      <w:r w:rsidR="00845B47"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(11–13)</w:t>
      </w:r>
      <w:r w:rsidR="00845B47" w:rsidRPr="00221347">
        <w:rPr>
          <w:rFonts w:ascii="Arial" w:eastAsia="Raleway" w:hAnsi="Arial" w:cs="Arial"/>
          <w:sz w:val="20"/>
          <w:szCs w:val="20"/>
        </w:rPr>
        <w:fldChar w:fldCharType="end"/>
      </w:r>
      <w:r w:rsidR="00CF7C69" w:rsidRPr="00221347">
        <w:rPr>
          <w:rFonts w:ascii="Arial" w:eastAsia="Raleway" w:hAnsi="Arial" w:cs="Arial"/>
          <w:sz w:val="20"/>
          <w:szCs w:val="20"/>
        </w:rPr>
        <w:t>.</w:t>
      </w:r>
      <w:r w:rsidR="000F22B8" w:rsidRPr="00221347">
        <w:rPr>
          <w:rFonts w:ascii="Arial" w:eastAsia="Raleway" w:hAnsi="Arial" w:cs="Arial"/>
          <w:sz w:val="20"/>
          <w:szCs w:val="20"/>
        </w:rPr>
        <w:t xml:space="preserve"> As comorbidades metabólicas relacionadas à EHNA, como diabetes tipo 2, dislipidemia e obesidade, </w:t>
      </w:r>
      <w:r w:rsidR="00C55E2A" w:rsidRPr="00221347">
        <w:rPr>
          <w:rFonts w:ascii="Arial" w:eastAsia="Raleway" w:hAnsi="Arial" w:cs="Arial"/>
          <w:sz w:val="20"/>
          <w:szCs w:val="20"/>
        </w:rPr>
        <w:t xml:space="preserve">também </w:t>
      </w:r>
      <w:r w:rsidR="000F22B8" w:rsidRPr="00221347">
        <w:rPr>
          <w:rFonts w:ascii="Arial" w:eastAsia="Raleway" w:hAnsi="Arial" w:cs="Arial"/>
          <w:sz w:val="20"/>
          <w:szCs w:val="20"/>
        </w:rPr>
        <w:t>estão  associadas ao maior risco de progressão da doença hepática</w:t>
      </w:r>
      <w:r w:rsidR="008D2481"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{"citationItems":[{"id":"ITEM-1","itemData":{"DOI":"10.1016/j.cgh.2009.06.007","ISSN":"15423565","PMID":"19559819","abstract":"Background &amp; Aims: Nonalcoholic fatty liver disease (NAFLD) is a common cause of chronic liver disease. We investigated factors associated with advanced fibrosis in NAFLD. Methods: The study included 432 patients with histologically proven NAFLD (26.8% with nonalcoholic steatohepatitis [NASH] and 17.4% with moderate-to severe fibrosis). NASH was defined as steatosis, lobular inflammation, and ballooning degeneration with or without Mallory-Denk bodies and/or fibrosis. Fibrosis was classified into 2 groups: those with no or minimal fibrosis and those with moderate-to-severe fibrosis. Groups were compared using Mann-Whitney and chi-square method analyses. A model was constructed using a stepwise bidirectional method; its predictive power was measured using a 10-fold cross-validation technique. Results: Patients with NASH were more likely to be male (P &lt; .0001); have lower hip-to-waist ratios (P = .03); were less likely to be African American (P = .06); have higher levels of alanine aminotransferase (ALT; P &lt; .0001), aspartate aminotransferase (AST; P &lt; .0001), and serum triglycerides (P = .0154), but lower levels of high-density lipoprotein cholesterol (P &lt; .0001). Patients with moderate-to-severe fibrosis were older (P = .0245); more likely to be male (P = .0189), Caucasian (P = .0382), have diabetes mellitus (P = .0238), and hypertension (P = .0375); and have a lower hip-to-waist ratio (P = .0077) but higher serum AST (P &lt; .0001) and ALT (P &lt; .0001) levels. The multivariate analysis model to predict moderate-to-severe fibrosis included male sex, Caucasian ethnicity, diabetes mellitus, and increased AST and ALT levels (model P value &lt; .0001). Conclusions: In patients with NAFLD, diabetes mellitus and aminotransferase levels are independent predictors of moderate-to-severe fibrosis. They can be used to identify NAFLD patients at risk for advanced fibrosis. © 2009 AGA Institute.","author":[{"dropping-particle":"","family":"Hossain","given":"Noreen","non-dropping-particle":"","parse-names":false,"suffix":""},{"dropping-particle":"","family":"Afendy","given":"Arian","non-dropping-particle":"","parse-names":false,"suffix":""},{"dropping-particle":"","family":"Stepanova","given":"Maria","non-dropping-particle":"","parse-names":false,"suffix":""},{"dropping-particle":"","family":"Nader","given":"Fatema","non-dropping-particle":"","parse-names":false,"suffix":""},{"dropping-particle":"","family":"Srishord","given":"Manirath","non-dropping-particle":"","parse-names":false,"suffix":""},{"dropping-particle":"","family":"Rafiq","given":"Nila","non-dropping-particle":"","parse-names":false,"suffix":""},{"dropping-particle":"","family":"Goodman","given":"Zachary","non-dropping-particle":"","parse-names":false,"suffix":""},{"dropping-particle":"","family":"Younossi","given":"Zobair","non-dropping-particle":"","parse-names":false,"suffix":""}],"container-title":"Clinical Gastroenterology and Hepatology","id":"ITEM-1","issue":"11","issued":{"date-parts":[["2009"]]},"page":"1224-1229.e2","publisher":"Elsevier Inc.","title":"Independent Predictors of Fibrosis in Patients With Nonalcoholic Fatty Liver Disease","type":"article-journal","volume":"7"},"uris":["http://www.mendeley.com/documents/?uuid=6a2882ea-f6ca-4458-b18e-b60f88289f0f","http://www.mendeley.com/documents/?uuid=7467a89e-9d43-47ff-9fdb-664be301d98b"]},{"id":"ITEM-2","itemData":{"DOI":"10.1016/j.metabol.2012.08.005","ISSN":"00260495","PMID":"22999011","abstract":"Background and Aim: Non-alcoholic fatty liver disease (NAFLD) is a common cause of chronic liver disease and is strongly associated with metabolic syndrome. The aim of this study is to compare the clinical profile and long-term outcome in NAFLD patients with or without metabolic syndrome. Methods: The initial cohort (N = 6709) was identified from National Health and Nutrition Examination Survey-III (NHANES III, 1988-94) data. Laboratory profiles, body measurement examinations, and mortality data were linked to self-reported questionnaires of demographic and health risk information. NAFLD was defined as significant steatosis on hepatic ultrasound after exclusion of other chronic liver diseases (N = 1448). NAFLD patients were classified according to presence or absence of metabolic syndrome. Mortality was determined through December 31, 2006. Cox models were used to estimate hazard ratios and 95% confidence intervals for all-cause, cardiovascular and liver-specific mortality differences between two sub-cohorts of NAFLD with and without metabolic syndrome. Results: NAFLD participants with metabolic syndrome were more likely to be Non-Hispanic white, older, and have higher aminotransferase levels. All-cause mortality (P &lt;.001) and cardiovascular mortality (P &lt;.001) were higher in NAFLD patients with metabolic syndrome. Furthermore, the presence of metabolic syndrome was independently associated with overall mortality, liver-specific mortality, and cardiovascular mortality. Age was an independent predictor of both all-cause and cardiovascular mortality. Elevated liver enzymes and obesity were two other independent predictors of liver-specific mortality. There were no differences in all-cause, liver-related, or cardiovascular mortality between groups of individuals without liver disease and individuals with NAFLD without metabolic syndrome (metabolically-normal). Conclusions: Diagnosis of NAFLD with metabolic syndrome is an independent predictor of all-cause, liver-specific, and cardiovascular mortality. In contrast, mortality of metabolically-normal NAFLD patients is similar to the cohort without liver disease. © 2013 Elsevier Inc.","author":[{"dropping-particle":"","family":"Younossi","given":"Zobair M","non-dropping-particle":"","parse-names":false,"suffix":""},{"dropping-particle":"","family":"Otgonsuren","given":"Munkhzul","non-dropping-particle":"","parse-names":false,"suffix":""},{"dropping-particle":"","family":"Venkatesan","given":"Chapy","non-dropping-particle":"","parse-names":false,"suffix":""},{"dropping-particle":"","family":"Mishra","given":"Alita","non-dropping-particle":"","parse-names":false,"suffix":""}],"container-title":"Metabolism: Clinical and Experimental","id":"ITEM-2","issue":"3","issued":{"date-parts":[["2013"]]},"page":"352-360","publisher":"Elsevier Inc.","title":"In patients with non-alcoholic fatty liver disease, metabolically abnormal individuals are at a higher risk for mortality while metabolically normal individuals are not","type":"article-journal","volume":"62"},"uris":["http://www.mendeley.com/documents/?uuid=4173b747-e857-4819-9d9b-3ab158a0c645","http://www.mendeley.com/documents/?uuid=cd9037be-ae46-4c70-816c-f6eba5689be4"]}],"mendeley":{"formattedCitation":"(14,15)","plainTextFormattedCitation":"(14,15)","previouslyFormattedCitation":"(14,15)"},"properties":{"noteIndex":0},"schema":"https://github.com/citation-style-language/schema/raw/master/csl-citation.json"}</w:instrText>
      </w:r>
      <w:r w:rsidR="008D2481"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(14,15)</w:t>
      </w:r>
      <w:r w:rsidR="008D2481" w:rsidRPr="00221347">
        <w:rPr>
          <w:rFonts w:ascii="Arial" w:eastAsia="Raleway" w:hAnsi="Arial" w:cs="Arial"/>
          <w:sz w:val="20"/>
          <w:szCs w:val="20"/>
        </w:rPr>
        <w:fldChar w:fldCharType="end"/>
      </w:r>
      <w:r w:rsidRPr="00221347">
        <w:rPr>
          <w:rFonts w:ascii="Arial" w:eastAsia="Raleway" w:hAnsi="Arial" w:cs="Arial"/>
          <w:sz w:val="20"/>
          <w:szCs w:val="20"/>
        </w:rPr>
        <w:t>.</w:t>
      </w:r>
    </w:p>
    <w:p w14:paraId="33A2D3B3" w14:textId="4B317EF1" w:rsidR="00005D47" w:rsidRPr="00221347" w:rsidRDefault="00C67653" w:rsidP="00E34050">
      <w:pPr>
        <w:spacing w:line="360" w:lineRule="auto"/>
        <w:ind w:firstLine="708"/>
        <w:jc w:val="both"/>
        <w:rPr>
          <w:rFonts w:ascii="Arial" w:eastAsia="Raleway" w:hAnsi="Arial" w:cs="Arial"/>
          <w:sz w:val="20"/>
          <w:szCs w:val="20"/>
        </w:rPr>
      </w:pPr>
      <w:r w:rsidRPr="00221347">
        <w:rPr>
          <w:rFonts w:ascii="Arial" w:eastAsia="Raleway" w:hAnsi="Arial" w:cs="Arial"/>
          <w:sz w:val="20"/>
          <w:szCs w:val="20"/>
        </w:rPr>
        <w:t>A</w:t>
      </w:r>
      <w:r w:rsidR="0087667E" w:rsidRPr="00221347">
        <w:rPr>
          <w:rFonts w:ascii="Arial" w:eastAsia="Raleway" w:hAnsi="Arial" w:cs="Arial"/>
          <w:sz w:val="20"/>
          <w:szCs w:val="20"/>
        </w:rPr>
        <w:t>lém</w:t>
      </w:r>
      <w:r w:rsidR="002D1566" w:rsidRPr="00221347">
        <w:rPr>
          <w:rFonts w:ascii="Arial" w:eastAsia="Raleway" w:hAnsi="Arial" w:cs="Arial"/>
          <w:sz w:val="20"/>
          <w:szCs w:val="20"/>
        </w:rPr>
        <w:t xml:space="preserve"> disso, </w:t>
      </w:r>
      <w:r w:rsidR="008B44AF" w:rsidRPr="00221347">
        <w:rPr>
          <w:rFonts w:ascii="Arial" w:eastAsia="Raleway" w:hAnsi="Arial" w:cs="Arial"/>
          <w:sz w:val="20"/>
          <w:szCs w:val="20"/>
        </w:rPr>
        <w:t xml:space="preserve">estudos relatam aumento constante na prevalência e incidência de </w:t>
      </w:r>
      <w:proofErr w:type="spellStart"/>
      <w:r w:rsidR="008B44AF" w:rsidRPr="00221347">
        <w:rPr>
          <w:rFonts w:ascii="Arial" w:eastAsia="Raleway" w:hAnsi="Arial" w:cs="Arial"/>
          <w:sz w:val="20"/>
          <w:szCs w:val="20"/>
        </w:rPr>
        <w:t>hepatocarcinoma</w:t>
      </w:r>
      <w:proofErr w:type="spellEnd"/>
      <w:r w:rsidR="008B44AF" w:rsidRPr="00221347">
        <w:rPr>
          <w:rFonts w:ascii="Arial" w:eastAsia="Raleway" w:hAnsi="Arial" w:cs="Arial"/>
          <w:sz w:val="20"/>
          <w:szCs w:val="20"/>
        </w:rPr>
        <w:t xml:space="preserve"> relacionado </w:t>
      </w:r>
      <w:r w:rsidR="008D567D" w:rsidRPr="00221347">
        <w:rPr>
          <w:rFonts w:ascii="Arial" w:eastAsia="Raleway" w:hAnsi="Arial" w:cs="Arial"/>
          <w:sz w:val="20"/>
          <w:szCs w:val="20"/>
        </w:rPr>
        <w:t>à DHGNA</w:t>
      </w:r>
      <w:r w:rsidR="009E682B" w:rsidRPr="00221347">
        <w:rPr>
          <w:rFonts w:ascii="Arial" w:eastAsia="Raleway" w:hAnsi="Arial" w:cs="Arial"/>
          <w:sz w:val="20"/>
          <w:szCs w:val="20"/>
        </w:rPr>
        <w:t xml:space="preserve">. </w:t>
      </w:r>
      <w:r w:rsidR="00B61954" w:rsidRPr="00221347">
        <w:rPr>
          <w:rFonts w:ascii="Arial" w:eastAsia="Raleway" w:hAnsi="Arial" w:cs="Arial"/>
          <w:sz w:val="20"/>
          <w:szCs w:val="20"/>
        </w:rPr>
        <w:t xml:space="preserve">Em um futuro próximo, </w:t>
      </w:r>
      <w:r w:rsidR="000E0056" w:rsidRPr="00221347">
        <w:rPr>
          <w:rFonts w:ascii="Arial" w:eastAsia="Raleway" w:hAnsi="Arial" w:cs="Arial"/>
          <w:sz w:val="20"/>
          <w:szCs w:val="20"/>
        </w:rPr>
        <w:t xml:space="preserve">é provável que haja mais casos de CHC relacionado </w:t>
      </w:r>
      <w:r w:rsidR="00AE1AB4" w:rsidRPr="00221347">
        <w:rPr>
          <w:rFonts w:ascii="Arial" w:eastAsia="Raleway" w:hAnsi="Arial" w:cs="Arial"/>
          <w:sz w:val="20"/>
          <w:szCs w:val="20"/>
        </w:rPr>
        <w:t xml:space="preserve">à EHNA </w:t>
      </w:r>
      <w:r w:rsidR="00D079F9" w:rsidRPr="00221347">
        <w:rPr>
          <w:rFonts w:ascii="Arial" w:eastAsia="Raleway" w:hAnsi="Arial" w:cs="Arial"/>
          <w:sz w:val="20"/>
          <w:szCs w:val="20"/>
        </w:rPr>
        <w:t xml:space="preserve">quando </w:t>
      </w:r>
      <w:r w:rsidR="00235024" w:rsidRPr="00221347">
        <w:rPr>
          <w:rFonts w:ascii="Arial" w:eastAsia="Raleway" w:hAnsi="Arial" w:cs="Arial"/>
          <w:sz w:val="20"/>
          <w:szCs w:val="20"/>
        </w:rPr>
        <w:t>comparado</w:t>
      </w:r>
      <w:r w:rsidR="00AE1AB4" w:rsidRPr="00221347">
        <w:rPr>
          <w:rFonts w:ascii="Arial" w:eastAsia="Raleway" w:hAnsi="Arial" w:cs="Arial"/>
          <w:sz w:val="20"/>
          <w:szCs w:val="20"/>
        </w:rPr>
        <w:t xml:space="preserve"> </w:t>
      </w:r>
      <w:r w:rsidR="00223FCF" w:rsidRPr="00221347">
        <w:rPr>
          <w:rFonts w:ascii="Arial" w:eastAsia="Raleway" w:hAnsi="Arial" w:cs="Arial"/>
          <w:sz w:val="20"/>
          <w:szCs w:val="20"/>
        </w:rPr>
        <w:t xml:space="preserve">aos </w:t>
      </w:r>
      <w:r w:rsidR="008330E8" w:rsidRPr="00221347">
        <w:rPr>
          <w:rFonts w:ascii="Arial" w:eastAsia="Raleway" w:hAnsi="Arial" w:cs="Arial"/>
          <w:sz w:val="20"/>
          <w:szCs w:val="20"/>
        </w:rPr>
        <w:t>diagnósticos</w:t>
      </w:r>
      <w:r w:rsidR="00223FCF" w:rsidRPr="00221347">
        <w:rPr>
          <w:rFonts w:ascii="Arial" w:eastAsia="Raleway" w:hAnsi="Arial" w:cs="Arial"/>
          <w:sz w:val="20"/>
          <w:szCs w:val="20"/>
        </w:rPr>
        <w:t xml:space="preserve"> de</w:t>
      </w:r>
      <w:r w:rsidR="00AE1AB4" w:rsidRPr="00221347">
        <w:rPr>
          <w:rFonts w:ascii="Arial" w:eastAsia="Raleway" w:hAnsi="Arial" w:cs="Arial"/>
          <w:sz w:val="20"/>
          <w:szCs w:val="20"/>
        </w:rPr>
        <w:t xml:space="preserve"> </w:t>
      </w:r>
      <w:r w:rsidR="00B22C0B" w:rsidRPr="00221347">
        <w:rPr>
          <w:rFonts w:ascii="Arial" w:eastAsia="Raleway" w:hAnsi="Arial" w:cs="Arial"/>
          <w:sz w:val="20"/>
          <w:szCs w:val="20"/>
        </w:rPr>
        <w:t xml:space="preserve">hepatite C crônica. </w:t>
      </w:r>
      <w:r w:rsidR="004D607B" w:rsidRPr="00221347">
        <w:rPr>
          <w:rFonts w:ascii="Arial" w:eastAsia="Raleway" w:hAnsi="Arial" w:cs="Arial"/>
          <w:sz w:val="20"/>
          <w:szCs w:val="20"/>
        </w:rPr>
        <w:t>Isso será possível</w:t>
      </w:r>
      <w:r w:rsidR="00D041DC" w:rsidRPr="00221347">
        <w:rPr>
          <w:rFonts w:ascii="Arial" w:eastAsia="Raleway" w:hAnsi="Arial" w:cs="Arial"/>
          <w:sz w:val="20"/>
          <w:szCs w:val="20"/>
        </w:rPr>
        <w:t xml:space="preserve"> </w:t>
      </w:r>
      <w:r w:rsidR="00363E42" w:rsidRPr="00221347">
        <w:rPr>
          <w:rFonts w:ascii="Arial" w:eastAsia="Raleway" w:hAnsi="Arial" w:cs="Arial"/>
          <w:sz w:val="20"/>
          <w:szCs w:val="20"/>
        </w:rPr>
        <w:t xml:space="preserve">porque </w:t>
      </w:r>
      <w:r w:rsidR="00766412" w:rsidRPr="00221347">
        <w:rPr>
          <w:rFonts w:ascii="Arial" w:eastAsia="Raleway" w:hAnsi="Arial" w:cs="Arial"/>
          <w:sz w:val="20"/>
          <w:szCs w:val="20"/>
        </w:rPr>
        <w:t xml:space="preserve">o tratamento </w:t>
      </w:r>
      <w:r w:rsidR="00187429" w:rsidRPr="00221347">
        <w:rPr>
          <w:rFonts w:ascii="Arial" w:eastAsia="Raleway" w:hAnsi="Arial" w:cs="Arial"/>
          <w:sz w:val="20"/>
          <w:szCs w:val="20"/>
        </w:rPr>
        <w:t xml:space="preserve">para </w:t>
      </w:r>
      <w:r w:rsidR="0060195F" w:rsidRPr="00221347">
        <w:rPr>
          <w:rFonts w:ascii="Arial" w:eastAsia="Raleway" w:hAnsi="Arial" w:cs="Arial"/>
          <w:sz w:val="20"/>
          <w:szCs w:val="20"/>
        </w:rPr>
        <w:t>o vírus C</w:t>
      </w:r>
      <w:r w:rsidR="00187429" w:rsidRPr="00221347">
        <w:rPr>
          <w:rFonts w:ascii="Arial" w:eastAsia="Raleway" w:hAnsi="Arial" w:cs="Arial"/>
          <w:sz w:val="20"/>
          <w:szCs w:val="20"/>
        </w:rPr>
        <w:t xml:space="preserve"> </w:t>
      </w:r>
      <w:r w:rsidR="002C5334" w:rsidRPr="00221347">
        <w:rPr>
          <w:rFonts w:ascii="Arial" w:eastAsia="Raleway" w:hAnsi="Arial" w:cs="Arial"/>
          <w:sz w:val="20"/>
          <w:szCs w:val="20"/>
        </w:rPr>
        <w:t>é eficaz e pode atingir</w:t>
      </w:r>
      <w:r w:rsidR="00CF6A1A" w:rsidRPr="00221347">
        <w:rPr>
          <w:rFonts w:ascii="Arial" w:eastAsia="Raleway" w:hAnsi="Arial" w:cs="Arial"/>
          <w:sz w:val="20"/>
          <w:szCs w:val="20"/>
        </w:rPr>
        <w:t xml:space="preserve"> a erradicação viral em quase todos os pacientes</w:t>
      </w:r>
      <w:r w:rsidR="00B8787C">
        <w:rPr>
          <w:rFonts w:ascii="Arial" w:eastAsia="Raleway" w:hAnsi="Arial" w:cs="Arial"/>
          <w:sz w:val="20"/>
          <w:szCs w:val="20"/>
        </w:rPr>
        <w:t xml:space="preserve">, </w:t>
      </w:r>
      <w:r w:rsidR="0008192A" w:rsidRPr="00221347">
        <w:rPr>
          <w:rFonts w:ascii="Arial" w:eastAsia="Raleway" w:hAnsi="Arial" w:cs="Arial"/>
          <w:sz w:val="20"/>
          <w:szCs w:val="20"/>
        </w:rPr>
        <w:t xml:space="preserve">ao passo que a EHNA </w:t>
      </w:r>
      <w:r w:rsidR="00BD5943" w:rsidRPr="00221347">
        <w:rPr>
          <w:rFonts w:ascii="Arial" w:eastAsia="Raleway" w:hAnsi="Arial" w:cs="Arial"/>
          <w:sz w:val="20"/>
          <w:szCs w:val="20"/>
        </w:rPr>
        <w:t xml:space="preserve">é </w:t>
      </w:r>
      <w:r w:rsidR="00CB36E6" w:rsidRPr="00221347">
        <w:rPr>
          <w:rFonts w:ascii="Arial" w:eastAsia="Raleway" w:hAnsi="Arial" w:cs="Arial"/>
          <w:sz w:val="20"/>
          <w:szCs w:val="20"/>
        </w:rPr>
        <w:t xml:space="preserve">cada vez </w:t>
      </w:r>
      <w:r w:rsidR="00D06974" w:rsidRPr="00221347">
        <w:rPr>
          <w:rFonts w:ascii="Arial" w:eastAsia="Raleway" w:hAnsi="Arial" w:cs="Arial"/>
          <w:sz w:val="20"/>
          <w:szCs w:val="20"/>
        </w:rPr>
        <w:t xml:space="preserve">mais </w:t>
      </w:r>
      <w:r w:rsidR="00D94FCE" w:rsidRPr="00221347">
        <w:rPr>
          <w:rFonts w:ascii="Arial" w:eastAsia="Raleway" w:hAnsi="Arial" w:cs="Arial"/>
          <w:sz w:val="20"/>
          <w:szCs w:val="20"/>
        </w:rPr>
        <w:t>prevalente</w:t>
      </w:r>
      <w:r w:rsidR="00D06974" w:rsidRPr="00221347">
        <w:rPr>
          <w:rFonts w:ascii="Arial" w:eastAsia="Raleway" w:hAnsi="Arial" w:cs="Arial"/>
          <w:sz w:val="20"/>
          <w:szCs w:val="20"/>
        </w:rPr>
        <w:t>.</w:t>
      </w:r>
      <w:r w:rsidR="00E70E19" w:rsidRPr="00221347">
        <w:rPr>
          <w:rFonts w:ascii="Arial" w:eastAsia="Raleway" w:hAnsi="Arial" w:cs="Arial"/>
          <w:sz w:val="20"/>
          <w:szCs w:val="20"/>
        </w:rPr>
        <w:t xml:space="preserve"> </w:t>
      </w:r>
      <w:r w:rsidR="008A4357"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{"citationItems":[{"id":"ITEM-1","itemData":{"DOI":"10.1136/gut.2004.052167","ISSN":"00175749","PMID":"15753540","abstract":"Background: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HCC.","author":[{"dropping-particle":"","family":"Davila","given":"J A","non-dropping-particle":"","parse-names":false,"suffix":""},{"dropping-particle":"","family":"Morgan","given":"R O","non-dropping-particle":"","parse-names":false,"suffix":""},{"dropping-particle":"","family":"Shaib","given":"Y","non-dropping-particle":"","parse-names":false,"suffix":""},{"dropping-particle":"","family":"McGlynn","given":"K. A.","non-dropping-particle":"","parse-names":false,"suffix":""},{"dropping-particle":"","family":"El-Serag","given":"H. B.","non-dropping-particle":"","parse-names":false,"suffix":""}],"container-title":"Gut","id":"ITEM-1","issue":"4","issued":{"date-parts":[["2005"]]},"page":"533-539","title":"Diabetes increases the risk of hepatocellular carcinoma in the United States: A population based case control study","type":"article-journal","volume":"54"},"uris":["http://www.mendeley.com/documents/?uuid=e5f8c44e-08f8-47ee-80ce-f4fb270cbd5c","http://www.mendeley.com/documents/?uuid=59e16967-6754-46dd-be88-1a766ec15c61"]},{"id":"ITEM-2","itemData":{"DOI":"10.1111/apt.14261","ISSN":"13652036","PMID":"28857208","abstract":"Background: Non-alcoholic fatty liver disease (NAFLD) is an increasing cause of hepatocellular carcinoma (HCC) worldwide. NAFLD-HCC often occurs in noncirrhotic liver raising important surveillance issues. Aim: To determine the temporal trends for prevalence, clinical characteristics and outcomes of NAFLD-HCC in patients undergoing liver resection. Methods: Consecutive patients with histologically confirmed HCC who underwent liver resection over a 20-year period (1995-2014). NAFLD was diagnosed based on past or present exposure to obesity or diabetes without other causes of chronic liver disease. Results: A total of 323 HCC patients were included, 12% with NAFLD. From 1995-1999 to 2010-2014, the prevalence of NAFLD-HCC increased from 2.6% to 19.5%, respectively, P =.003, and followed the temporal trends in the prevalence of metabolic risk factors (28% vs 52%, P =.017), while hepatitis C-HCC decreased (from 43.6% to 19.5%, P =.003). NAFLD-HCC occurred more frequently in the absence of bridging fibrosis/cirrhosis (63% of cases, P &lt;.001 compared to other aetiologies). Within the NAFLD group, tumour characteristics were similar between F0-F2 and F3-F4 patients, except for a higher proportion of single nodules (95% vs 54%, P &lt;.01). A total of 53% patients had tumour recurrence and 40% died. NAFLD-HCC had similar time to recurrence and survival as HCCs of other aetiologies. Satellite nodules, tumour size, microvascular invasion and male sex but not the aetiology were independently associated with recurrence. Conclusion: Non-alcoholic fatty liver disease increased substantially over the past 20 years among resectable HCCs. It is now the leading cause of HCC occuring without/or with only minimal fibrosis. NAFLD patients are older, with larger tumours while survival and recurrence rates are as severe as in other aetiologies.","author":[{"dropping-particle":"","family":"Pais","given":"R","non-dropping-particle":"","parse-names":false,"suffix":""},{"dropping-particle":"","family":"Fartoux","given":"L.","non-dropping-particle":"","parse-names":false,"suffix":""},{"dropping-particle":"","family":"Goumard","given":"C.","non-dropping-particle":"","parse-names":false,"suffix":""},{"dropping-particle":"","family":"Scatton","given":"O.","non-dropping-particle":"","parse-names":false,"suffix":""},{"dropping-particle":"","family":"Wendum","given":"D.","non-dropping-particle":"","parse-names":false,"suffix":""},{"dropping-particle":"","family":"Rosmorduc","given":"O.","non-dropping-particle":"","parse-names":false,"suffix":""},{"dropping-particle":"","family":"Ratziu","given":"V.","non-dropping-particle":"","parse-names":false,"suffix":""}],"container-title":"Alimentary Pharmacology and Therapeutics","id":"ITEM-2","issue":"9","issued":{"date-parts":[["2017"]]},"page":"856-863","title":"Temporal trends, clinical patterns and outcomes of NAFLD-related HCC in patients undergoing liver resection over a 20-year period","type":"article-journal","volume":"46"},"uris":["http://www.mendeley.com/documents/?uuid=dfd5e2a6-990e-4a65-a031-2c0ac3c7782d","http://www.mendeley.com/documents/?uuid=8c9cea13-5dcc-4f0f-930b-b61815916196"]},{"id":"ITEM-3","itemData":{"DOI":"10.1053/j.gastro.2016.08.004","ISSN":"1528-0012 (Electronic)","PMID":"27565882","abstract":"BACKGROUND &amp; AIMS: The combination of ledipasvir and sofosbuvir has been approved  for treatment of genotype 1 hepatitis C virus (HCV) infection, including an 8-week regimen for treatment-naïve patients without cirrhosis and a baseline level of HCV RNA &lt;6 million IU/mL. We analyzed data from a multicenter, prospective, observational study to determine real-world sustained virologic responses 12 weeks after treatment (SVR12) with regimens containing ledipasvir and sofosbuvir and identify factors associated with treatment failure. METHODS: We collected data from 2099 participants in the HCV-TARGET study with complete virologic data (per-protocol population). We analyzed data from 1788 patients receiving ledipasvir-sofosbuvir (282 for 8 weeks, 910 for 12 weeks, 510 for 24 weeks, and 86 for a different duration) and 311 receiving ledipasvir-sofosbuvir plus ribavirin (212 for 12 weeks and 81 for 24 weeks, 18 for other duration) to estimate SVR12 (with 95% confidence interval [CI]), and logistic regression methods to identify factors that predicted an SVR12. RESULTS: The overall study population was 25% black, 66% with HCV genotype 1A infection, 41% with cirrhosis, 50% treatment-experienced, and 30% receiving proton pump inhibitors at start of treatment. In the per-protocol population, SVR12s were achieved by 96% of patients receiving ledipasvir-sofosbuvir for 8 weeks (95% CI, 93%-98%), 97% receiving the drugs for 12 weeks (95% CI, 96%-98%), and 95% receiving the drugs for 24 weeks (95% CI, 93%-97%). Among patients also receiving ribavirin, SVR12 was achieved by 97% of the patients receiving the drugs for 12 weeks (95% CI, 94%-99%) and 95% receiving the drugs for 24 weeks (95% CI, 88%-99%). Of the 586 patients who qualified for 8 weeks of treatment, only 255 (44%) received the drugs for 8 weeks. The rate of SVR12 among those who qualified for and received 8 weeks of therapy was similar in those who qualified for 8 weeks but received 12 weeks therapy (96%; 95% CI, 92%-99% vs 98%; 95% CI, 95%-99%). Factors that predicted SVR12 were higher albumin (≥3.5 g/dL), lower total bilirubin (≤1.2 g/dL), absence of cirrhosis, and absence of proton pump inhibitor use. CONCLUSIONS: Regimens containing ledipasvir and sofosbuvir are highly effective for a broad spectrum of patients with HCV genotype 1 infection treated in different clinical practice settings. Expanded use of 8-week treatment regimens for eligible patients is supported by these real-world results. Modification…","author":[{"dropping-particle":"","family":"Terrault","given":"Norah A","non-dropping-particle":"","parse-names":false,"suffix":""},{"dropping-particle":"","family":"Zeuzem","given":"Stefan","non-dropping-particle":"","parse-names":false,"suffix":""},{"dropping-particle":"","family":"Bisceglie","given":"Adrian M","non-dropping-particle":"Di","parse-names":false,"suffix":""},{"dropping-particle":"","family":"Lim","given":"Joseph K","non-dropping-particle":"","parse-names":false,"suffix":""},{"dropping-particle":"","family":"Pockros","given":"Paul J","non-dropping-particle":"","parse-names":false,"suffix":""},{"dropping-particle":"","family":"Frazier","given":"Lynn M","non-dropping-particle":"","parse-names":false,"suffix":""},{"dropping-particle":"","family":"Kuo","given":"Alexander","non-dropping-particle":"","parse-names":false,"suffix":""},{"dropping-particle":"","family":"Lok","given":"Anna S","non-dropping-particle":"","parse-names":false,"suffix":""},{"dropping-particle":"","family":"Shiffman","given":"Mitchell L","non-dropping-particle":"","parse-names":false,"suffix":""},{"dropping-particle":"","family":"Ari","given":"Ziv","non-dropping-particle":"Ben","parse-names":false,"suffix":""},{"dropping-particle":"","family":"Akushevich","given":"Lucy","non-dropping-particle":"","parse-names":false,"suffix":""},{"dropping-particle":"","family":"Vainorius","given":"Monika","non-dropping-particle":"","parse-names":false,"suffix":""},{"dropping-particle":"","family":"Sulkowski","given":"Mark S","non-dropping-particle":"","parse-names":false,"suffix":""},{"dropping-particle":"","family":"Fried","given":"Michael W","non-dropping-particle":"","parse-names":false,"suffix":""},{"dropping-particle":"","family":"Nelson","given":"David R","non-dropping-particle":"","parse-names":false,"suffix":""}],"container-title":"Gastroenterology","id":"ITEM-3","issue":"6","issued":{"date-parts":[["2016","12"]]},"language":"eng","page":"1131-1140.e5","title":"Effectiveness of Ledipasvir-Sofosbuvir Combination in Patients With Hepatitis C  Virus Infection and Factors Associated With Sustained Virologic Response.","type":"article-journal","volume":"151"},"uris":["http://www.mendeley.com/documents/?uuid=45253e8f-4226-4eb7-96b7-96177cce97bb"]}],"mendeley":{"formattedCitation":"(16–18)","plainTextFormattedCitation":"(16–18)","previouslyFormattedCitation":"(16–18)"},"properties":{"noteIndex":0},"schema":"https://github.com/citation-style-language/schema/raw/master/csl-citation.json"}</w:instrText>
      </w:r>
      <w:r w:rsidR="008A4357"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(16–18)</w:t>
      </w:r>
      <w:r w:rsidR="008A4357" w:rsidRPr="00221347">
        <w:rPr>
          <w:rFonts w:ascii="Arial" w:eastAsia="Raleway" w:hAnsi="Arial" w:cs="Arial"/>
          <w:sz w:val="20"/>
          <w:szCs w:val="20"/>
        </w:rPr>
        <w:fldChar w:fldCharType="end"/>
      </w:r>
      <w:r w:rsidR="00394353" w:rsidRPr="00221347">
        <w:rPr>
          <w:rFonts w:ascii="Arial" w:eastAsia="Raleway" w:hAnsi="Arial" w:cs="Arial"/>
          <w:sz w:val="20"/>
          <w:szCs w:val="20"/>
        </w:rPr>
        <w:t>.</w:t>
      </w:r>
      <w:r w:rsidR="006E071D" w:rsidRPr="00221347">
        <w:rPr>
          <w:rFonts w:ascii="Arial" w:eastAsia="Raleway" w:hAnsi="Arial" w:cs="Arial"/>
          <w:sz w:val="20"/>
          <w:szCs w:val="20"/>
        </w:rPr>
        <w:t xml:space="preserve"> </w:t>
      </w:r>
    </w:p>
    <w:p w14:paraId="18FCCA22" w14:textId="3DB9A202" w:rsidR="00DE7557" w:rsidRPr="00221347" w:rsidRDefault="003C1189">
      <w:pPr>
        <w:spacing w:line="360" w:lineRule="auto"/>
        <w:ind w:firstLine="708"/>
        <w:jc w:val="both"/>
        <w:rPr>
          <w:rFonts w:ascii="Arial" w:eastAsia="Raleway" w:hAnsi="Arial" w:cs="Arial"/>
          <w:color w:val="000000" w:themeColor="text1"/>
          <w:sz w:val="20"/>
          <w:szCs w:val="20"/>
        </w:rPr>
      </w:pPr>
      <w:r w:rsidRPr="00221347">
        <w:rPr>
          <w:rFonts w:ascii="Arial" w:eastAsia="Raleway" w:hAnsi="Arial" w:cs="Arial"/>
          <w:sz w:val="20"/>
          <w:szCs w:val="20"/>
        </w:rPr>
        <w:t xml:space="preserve">O </w:t>
      </w:r>
      <w:r w:rsidR="002B5C79" w:rsidRPr="00221347">
        <w:rPr>
          <w:rFonts w:ascii="Arial" w:eastAsia="Raleway" w:hAnsi="Arial" w:cs="Arial"/>
          <w:sz w:val="20"/>
          <w:szCs w:val="20"/>
        </w:rPr>
        <w:t xml:space="preserve">tratamento de escolha para </w:t>
      </w:r>
      <w:r w:rsidR="008F07AE" w:rsidRPr="00221347">
        <w:rPr>
          <w:rFonts w:ascii="Arial" w:eastAsia="Raleway" w:hAnsi="Arial" w:cs="Arial"/>
          <w:sz w:val="20"/>
          <w:szCs w:val="20"/>
        </w:rPr>
        <w:t xml:space="preserve">a </w:t>
      </w:r>
      <w:r w:rsidR="00EB3635" w:rsidRPr="00221347">
        <w:rPr>
          <w:rFonts w:ascii="Arial" w:eastAsia="Raleway" w:hAnsi="Arial" w:cs="Arial"/>
          <w:sz w:val="20"/>
          <w:szCs w:val="20"/>
        </w:rPr>
        <w:t xml:space="preserve">falência hepática </w:t>
      </w:r>
      <w:r w:rsidR="00A30488" w:rsidRPr="00221347">
        <w:rPr>
          <w:rFonts w:ascii="Arial" w:eastAsia="Raleway" w:hAnsi="Arial" w:cs="Arial"/>
          <w:sz w:val="20"/>
          <w:szCs w:val="20"/>
        </w:rPr>
        <w:t>avançada</w:t>
      </w:r>
      <w:r w:rsidR="00EB3635" w:rsidRPr="00221347">
        <w:rPr>
          <w:rFonts w:ascii="Arial" w:eastAsia="Raleway" w:hAnsi="Arial" w:cs="Arial"/>
          <w:sz w:val="20"/>
          <w:szCs w:val="20"/>
        </w:rPr>
        <w:t xml:space="preserve"> </w:t>
      </w:r>
      <w:r w:rsidR="00A30488" w:rsidRPr="00221347">
        <w:rPr>
          <w:rFonts w:ascii="Arial" w:eastAsia="Raleway" w:hAnsi="Arial" w:cs="Arial"/>
          <w:sz w:val="20"/>
          <w:szCs w:val="20"/>
        </w:rPr>
        <w:t>é o transplante de fígado humano</w:t>
      </w:r>
      <w:r w:rsidR="00D96F31">
        <w:rPr>
          <w:rFonts w:ascii="Arial" w:eastAsia="Raleway" w:hAnsi="Arial" w:cs="Arial"/>
          <w:sz w:val="20"/>
          <w:szCs w:val="20"/>
        </w:rPr>
        <w:t>, sendo e</w:t>
      </w:r>
      <w:r w:rsidR="00484C16" w:rsidRPr="00221347">
        <w:rPr>
          <w:rFonts w:ascii="Arial" w:eastAsia="Raleway" w:hAnsi="Arial" w:cs="Arial"/>
          <w:sz w:val="20"/>
          <w:szCs w:val="20"/>
        </w:rPr>
        <w:t xml:space="preserve">ssa modalidade </w:t>
      </w:r>
      <w:r w:rsidR="008F07AE" w:rsidRPr="00221347">
        <w:rPr>
          <w:rFonts w:ascii="Arial" w:eastAsia="Raleway" w:hAnsi="Arial" w:cs="Arial"/>
          <w:sz w:val="20"/>
          <w:szCs w:val="20"/>
        </w:rPr>
        <w:t>terapêutica</w:t>
      </w:r>
      <w:r w:rsidR="00484C16" w:rsidRPr="00221347">
        <w:rPr>
          <w:rFonts w:ascii="Arial" w:eastAsia="Raleway" w:hAnsi="Arial" w:cs="Arial"/>
          <w:sz w:val="20"/>
          <w:szCs w:val="20"/>
        </w:rPr>
        <w:t xml:space="preserve"> </w:t>
      </w:r>
      <w:r w:rsidR="002356A7" w:rsidRPr="00221347">
        <w:rPr>
          <w:rFonts w:ascii="Arial" w:eastAsia="Raleway" w:hAnsi="Arial" w:cs="Arial"/>
          <w:sz w:val="20"/>
          <w:szCs w:val="20"/>
        </w:rPr>
        <w:t xml:space="preserve">limitada em razão </w:t>
      </w:r>
      <w:r w:rsidR="001619F1" w:rsidRPr="00221347">
        <w:rPr>
          <w:rFonts w:ascii="Arial" w:eastAsia="Raleway" w:hAnsi="Arial" w:cs="Arial"/>
          <w:sz w:val="20"/>
          <w:szCs w:val="20"/>
        </w:rPr>
        <w:t xml:space="preserve">da demanda por esse órgão ser maior que a oferta. </w:t>
      </w:r>
      <w:r w:rsidR="00C25589" w:rsidRPr="00221347">
        <w:rPr>
          <w:rFonts w:ascii="Arial" w:eastAsia="Raleway" w:hAnsi="Arial" w:cs="Arial"/>
          <w:sz w:val="20"/>
          <w:szCs w:val="20"/>
        </w:rPr>
        <w:t xml:space="preserve">Por esse motivo, existe uma lista </w:t>
      </w:r>
      <w:r w:rsidR="008C544C" w:rsidRPr="00221347">
        <w:rPr>
          <w:rFonts w:ascii="Arial" w:eastAsia="Raleway" w:hAnsi="Arial" w:cs="Arial"/>
          <w:sz w:val="20"/>
          <w:szCs w:val="20"/>
        </w:rPr>
        <w:t>d</w:t>
      </w:r>
      <w:r w:rsidR="003E3B88" w:rsidRPr="00221347">
        <w:rPr>
          <w:rFonts w:ascii="Arial" w:eastAsia="Raleway" w:hAnsi="Arial" w:cs="Arial"/>
          <w:sz w:val="20"/>
          <w:szCs w:val="20"/>
        </w:rPr>
        <w:t>os</w:t>
      </w:r>
      <w:r w:rsidR="008C544C" w:rsidRPr="00221347">
        <w:rPr>
          <w:rFonts w:ascii="Arial" w:eastAsia="Raleway" w:hAnsi="Arial" w:cs="Arial"/>
          <w:sz w:val="20"/>
          <w:szCs w:val="20"/>
        </w:rPr>
        <w:t xml:space="preserve"> </w:t>
      </w:r>
      <w:r w:rsidR="00C25589" w:rsidRPr="00221347">
        <w:rPr>
          <w:rFonts w:ascii="Arial" w:eastAsia="Raleway" w:hAnsi="Arial" w:cs="Arial"/>
          <w:sz w:val="20"/>
          <w:szCs w:val="20"/>
        </w:rPr>
        <w:t xml:space="preserve">potenciais </w:t>
      </w:r>
      <w:r w:rsidR="00326AEE" w:rsidRPr="00221347">
        <w:rPr>
          <w:rFonts w:ascii="Arial" w:eastAsia="Raleway" w:hAnsi="Arial" w:cs="Arial"/>
          <w:sz w:val="20"/>
          <w:szCs w:val="20"/>
        </w:rPr>
        <w:t>receptores de transplante hepático, sendo a ordem definida por critérios</w:t>
      </w:r>
      <w:r w:rsidR="003B5EC6" w:rsidRPr="00221347">
        <w:rPr>
          <w:rFonts w:ascii="Arial" w:eastAsia="Raleway" w:hAnsi="Arial" w:cs="Arial"/>
          <w:sz w:val="20"/>
          <w:szCs w:val="20"/>
        </w:rPr>
        <w:t xml:space="preserve"> </w:t>
      </w:r>
      <w:r w:rsidR="00326AEE" w:rsidRPr="00221347">
        <w:rPr>
          <w:rFonts w:ascii="Arial" w:eastAsia="Raleway" w:hAnsi="Arial" w:cs="Arial"/>
          <w:sz w:val="20"/>
          <w:szCs w:val="20"/>
        </w:rPr>
        <w:t>clínicos</w:t>
      </w:r>
      <w:r w:rsidR="005B7478" w:rsidRPr="00221347">
        <w:rPr>
          <w:rFonts w:ascii="Arial" w:eastAsia="Raleway" w:hAnsi="Arial" w:cs="Arial"/>
          <w:sz w:val="20"/>
          <w:szCs w:val="20"/>
        </w:rPr>
        <w:t xml:space="preserve"> que avaliam o risco de mortalidade</w:t>
      </w:r>
      <w:r w:rsidR="00295383">
        <w:rPr>
          <w:rFonts w:ascii="Arial" w:eastAsia="Raleway" w:hAnsi="Arial" w:cs="Arial"/>
          <w:sz w:val="20"/>
          <w:szCs w:val="20"/>
        </w:rPr>
        <w:t xml:space="preserve"> na fila do transplante</w:t>
      </w:r>
      <w:r w:rsidR="00326AEE" w:rsidRPr="00221347">
        <w:rPr>
          <w:rFonts w:ascii="Arial" w:eastAsia="Raleway" w:hAnsi="Arial" w:cs="Arial"/>
          <w:sz w:val="20"/>
          <w:szCs w:val="20"/>
        </w:rPr>
        <w:t xml:space="preserve">, como o </w:t>
      </w:r>
      <w:proofErr w:type="spellStart"/>
      <w:r w:rsidR="008857B6" w:rsidRPr="00221347">
        <w:rPr>
          <w:rFonts w:ascii="Arial" w:eastAsia="Raleway" w:hAnsi="Arial" w:cs="Arial"/>
          <w:sz w:val="20"/>
          <w:szCs w:val="20"/>
        </w:rPr>
        <w:t>Model</w:t>
      </w:r>
      <w:proofErr w:type="spellEnd"/>
      <w:r w:rsidR="008857B6" w:rsidRPr="00221347">
        <w:rPr>
          <w:rFonts w:ascii="Arial" w:eastAsia="Raleway" w:hAnsi="Arial" w:cs="Arial"/>
          <w:sz w:val="20"/>
          <w:szCs w:val="20"/>
        </w:rPr>
        <w:t xml:space="preserve"> </w:t>
      </w:r>
      <w:proofErr w:type="spellStart"/>
      <w:r w:rsidR="008857B6" w:rsidRPr="00221347">
        <w:rPr>
          <w:rFonts w:ascii="Arial" w:eastAsia="Raleway" w:hAnsi="Arial" w:cs="Arial"/>
          <w:sz w:val="20"/>
          <w:szCs w:val="20"/>
        </w:rPr>
        <w:t>End-Stage</w:t>
      </w:r>
      <w:proofErr w:type="spellEnd"/>
      <w:r w:rsidR="008857B6" w:rsidRPr="00221347">
        <w:rPr>
          <w:rFonts w:ascii="Arial" w:eastAsia="Raleway" w:hAnsi="Arial" w:cs="Arial"/>
          <w:sz w:val="20"/>
          <w:szCs w:val="20"/>
        </w:rPr>
        <w:t xml:space="preserve"> </w:t>
      </w:r>
      <w:proofErr w:type="spellStart"/>
      <w:r w:rsidR="008857B6" w:rsidRPr="00221347">
        <w:rPr>
          <w:rFonts w:ascii="Arial" w:eastAsia="Raleway" w:hAnsi="Arial" w:cs="Arial"/>
          <w:sz w:val="20"/>
          <w:szCs w:val="20"/>
        </w:rPr>
        <w:t>Liver</w:t>
      </w:r>
      <w:proofErr w:type="spellEnd"/>
      <w:r w:rsidR="008857B6" w:rsidRPr="00221347">
        <w:rPr>
          <w:rFonts w:ascii="Arial" w:eastAsia="Raleway" w:hAnsi="Arial" w:cs="Arial"/>
          <w:sz w:val="20"/>
          <w:szCs w:val="20"/>
        </w:rPr>
        <w:t xml:space="preserve"> </w:t>
      </w:r>
      <w:proofErr w:type="spellStart"/>
      <w:r w:rsidR="008857B6" w:rsidRPr="00221347">
        <w:rPr>
          <w:rFonts w:ascii="Arial" w:eastAsia="Raleway" w:hAnsi="Arial" w:cs="Arial"/>
          <w:sz w:val="20"/>
          <w:szCs w:val="20"/>
        </w:rPr>
        <w:t>Disease</w:t>
      </w:r>
      <w:proofErr w:type="spellEnd"/>
      <w:r w:rsidR="008857B6" w:rsidRPr="00221347">
        <w:rPr>
          <w:rFonts w:ascii="Arial" w:eastAsia="Raleway" w:hAnsi="Arial" w:cs="Arial"/>
          <w:sz w:val="20"/>
          <w:szCs w:val="20"/>
        </w:rPr>
        <w:t xml:space="preserve"> (MELD), adotado no Brasil</w:t>
      </w:r>
      <w:r w:rsidR="007F1B8E" w:rsidRPr="00221347">
        <w:rPr>
          <w:rFonts w:ascii="Arial" w:eastAsia="Raleway" w:hAnsi="Arial" w:cs="Arial"/>
          <w:sz w:val="20"/>
          <w:szCs w:val="20"/>
        </w:rPr>
        <w:t xml:space="preserve"> </w:t>
      </w:r>
      <w:r w:rsidR="0085088A" w:rsidRPr="00221347">
        <w:rPr>
          <w:rFonts w:ascii="Arial" w:eastAsia="Raleway" w:hAnsi="Arial" w:cs="Arial"/>
          <w:sz w:val="20"/>
          <w:szCs w:val="20"/>
        </w:rPr>
        <w:t xml:space="preserve">em 2006 </w:t>
      </w:r>
      <w:r w:rsidR="00404AF9"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{"citationItems":[{"id":"ITEM-1","itemData":{"DOI":"10.1590/s0004-2803.201700000-35","ISSN":"1678-4219","abstract":"ABSTRACT BACKGROUND: The pre-transplant period is complex and includes lots of procedures. The severity of liver disease predisposes to a high number of hospitalizations and high costs procedures. Economic evaluation studies are important tools to handle costs on the waiting list for liver transplantation. OBJECTIVE: The objective of the present study was to evaluate the total cost of the patient on the waiting list for liver transplantation and the main resources related to higher costs. METHODS: A cost study in a cohort of 482 patients registered on waiting list for liver transplantation was carried out. In 24 months follow-up, we evaluated all costs of materials, medicines, consultations, procedures, hospital admissions, laboratorial tests and image exams, hemocomponents replacements, and nutrition. The total amount of each resource or component used was aggregated and multiplied by the unitary cost, and thus individual cost for each patient was obtained. RESULTS: The total expenditure of the 482 patients was US$ 6,064,986.51. Outpatient and impatient costs correspond to 32.4% of total cost (US$ 1,965,045.52) and 67.6% (US$ 4,099,940.99) respectively. Main cost drivers in outpatient were: medicines (44.31%), laboratorial tests and image exams (31.68%). Main cost drivers regarding hospitalizations were: medicines (35.20%), bed use in ward and ICU (26.38%) and laboratorial tests (13.72%). Patients with MELD score between 25-30 were the most expensive on the waiting list (US$ 16,686.74 ± 16,105.02) and the less expensive were those with MELD below 17 (US$ 5,703.22 ± 9,318.68). CONCLUSION: Total costs on the waiting list for liver transplantation increased according to the patient’s severity. Individually, hospitalizations, hemocomponents reposition and hepatocellular carcinoma treatment were the main cost drivers to the patient on the waiting list. The longer the waiting time, the higher the total cost on list, causing greater impact on health systems.","author":[{"dropping-particle":"","family":"TURRI","given":"Jose Antonio Orellana","non-dropping-particle":"","parse-names":false,"suffix":""},{"dropping-particle":"","family":"DECIMONI","given":"Tassia Cristina","non-dropping-particle":"","parse-names":false,"suffix":""},{"dropping-particle":"","family":"FERREIRA","given":"Leandro Augusto","non-dropping-particle":"","parse-names":false,"suffix":""},{"dropping-particle":"","family":"DINIZ","given":"Marcio Augusto","non-dropping-particle":"","parse-names":false,"suffix":""},{"dropping-particle":"","family":"HADDAD","given":"Luciana Bertocco de Paiva","non-dropping-particle":"","parse-names":false,"suffix":""},{"dropping-particle":"","family":"CAMPOLINA","given":"Alessandro Gonçalves","non-dropping-particle":"","parse-names":false,"suffix":""}],"container-title":"Arquivos de Gastroenterologia","id":"ITEM-1","issue":"3","issued":{"date-parts":[["2017","7","13"]]},"page":"238-245","publisher":"scielo","title":"Higher MELD score increases the overall cost on the waiting list for liver transplantation: a micro-costing analysis based study","type":"article-journal","volume":"54"},"uris":["http://www.mendeley.com/documents/?uuid=14523017-0d2c-4b35-a9cd-267ccaa85867","http://www.mendeley.com/documents/?uuid=d4b691b2-4592-475d-867e-9b61ec7d465e"]},{"id":"ITEM-2","itemData":{"DOI":"10.1590/0102-672020190001e1460","ISSN":"23176326","PMID":"31826087","abstract":"Background: Serum sodium was incorporated to MELD score for the allocation of liver transplantation In the USA in 2016. Hyponatremia significantly increased the efficacy of the score to predict mortality on the waiting list. Such modification was not adopted in Brazil. Aim: To carry out a simulation using MELD-Na as waiting list ordering criteria in the state of Paraná and to compare to the list ordered according to MELD score. Methods: The study used data of 122 patients waiting for hepatic transplantation and listed at Parana´s Transplantation Central. Two classificatory lists were set up, one with MELD, the current qualifying criteria, and another with MELD-Na. We analyzed the changes on classification comparing these two lists. Results: Among all patients, 95.1% of the participants changed position, 30.3% showed improvement, 64.8% presented worsening and 4.9% maintained their position. There were 19 patients with hyponatremia, of whom 94.7% presented a change of position, and in all of them there was an improvement of position. One hundred and one patients presented sodium within the normal range and 95% of them presented a change of position: Improved placement was observed in 18.8%, and worsened placement in 76.2%. Two patients presented hypernatremia and changed their position, both worsening the placement. There was a significant different behavior on waiting list according to sodium serum level when MELDNa was applied. Conclusion: The inclusion of serum sodium caused a great impact in the classification, bringing benefit to patients with hyponatremia.","author":[{"dropping-particle":"","family":"FREITAS","given":"Alexandre Coutinho Teixeira","non-dropping-particle":"de","parse-names":false,"suffix":""},{"dropping-particle":"","family":"Rampim","given":"Aline Tatiane","non-dropping-particle":"","parse-names":false,"suffix":""},{"dropping-particle":"","family":"Nunes","given":"Carolline Popovicz","non-dropping-particle":"","parse-names":false,"suffix":""},{"dropping-particle":"","family":"Coelho","given":"Júlio Cezar Uili","non-dropping-particle":"","parse-names":false,"suffix":""}],"container-title":"Arquivos Brasileiros de Cirurgia Digestiva","id":"ITEM-2","issue":"3","issued":{"date-parts":[["2019"]]},"language":"eng","page":"e1460","title":"Impact of meld sodium on liver transplantation waiting list","type":"article-journal","volume":"32"},"uris":["http://www.mendeley.com/documents/?uuid=4c9985d8-d502-4f2d-beaa-a2a435c003b0","http://www.mendeley.com/documents/?uuid=ea564e72-b148-44db-967e-88c95976e645"]}],"mendeley":{"formattedCitation":"(19,20)","plainTextFormattedCitation":"(19,20)","previouslyFormattedCitation":"(19,20)"},"properties":{"noteIndex":0},"schema":"https://github.com/citation-style-language/schema/raw/master/csl-citation.json"}</w:instrText>
      </w:r>
      <w:r w:rsidR="00404AF9"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(19,20)</w:t>
      </w:r>
      <w:r w:rsidR="00404AF9" w:rsidRPr="00221347">
        <w:rPr>
          <w:rFonts w:ascii="Arial" w:eastAsia="Raleway" w:hAnsi="Arial" w:cs="Arial"/>
          <w:sz w:val="20"/>
          <w:szCs w:val="20"/>
        </w:rPr>
        <w:fldChar w:fldCharType="end"/>
      </w:r>
      <w:r w:rsidR="008857B6" w:rsidRPr="00221347">
        <w:rPr>
          <w:rFonts w:ascii="Arial" w:eastAsia="Raleway" w:hAnsi="Arial" w:cs="Arial"/>
          <w:sz w:val="20"/>
          <w:szCs w:val="20"/>
        </w:rPr>
        <w:t>.</w:t>
      </w:r>
      <w:r w:rsidR="00DC01F2" w:rsidRPr="00221347">
        <w:rPr>
          <w:rFonts w:ascii="Arial" w:eastAsia="Raleway" w:hAnsi="Arial" w:cs="Arial"/>
          <w:sz w:val="20"/>
          <w:szCs w:val="20"/>
        </w:rPr>
        <w:t xml:space="preserve"> </w:t>
      </w:r>
      <w:r w:rsidR="00C03D4A" w:rsidRPr="00221347">
        <w:rPr>
          <w:rFonts w:ascii="Arial" w:eastAsia="Raleway" w:hAnsi="Arial" w:cs="Arial"/>
          <w:sz w:val="20"/>
          <w:szCs w:val="20"/>
        </w:rPr>
        <w:t xml:space="preserve">Considerando uma melhor </w:t>
      </w:r>
      <w:r w:rsidR="00C03D4A" w:rsidRPr="00221347">
        <w:rPr>
          <w:rFonts w:ascii="Arial" w:eastAsia="Raleway" w:hAnsi="Arial" w:cs="Arial"/>
          <w:sz w:val="20"/>
          <w:szCs w:val="20"/>
        </w:rPr>
        <w:lastRenderedPageBreak/>
        <w:t>sensibilidade, os</w:t>
      </w:r>
      <w:r w:rsidR="0031795F" w:rsidRPr="00221347">
        <w:rPr>
          <w:rFonts w:ascii="Arial" w:eastAsia="Raleway" w:hAnsi="Arial" w:cs="Arial"/>
          <w:sz w:val="20"/>
          <w:szCs w:val="20"/>
        </w:rPr>
        <w:t xml:space="preserve"> Estados Unidos</w:t>
      </w:r>
      <w:r w:rsidR="00485603">
        <w:rPr>
          <w:rFonts w:ascii="Arial" w:eastAsia="Raleway" w:hAnsi="Arial" w:cs="Arial"/>
          <w:sz w:val="20"/>
          <w:szCs w:val="20"/>
        </w:rPr>
        <w:t xml:space="preserve"> </w:t>
      </w:r>
      <w:r w:rsidR="0031795F" w:rsidRPr="00221347">
        <w:rPr>
          <w:rFonts w:ascii="Arial" w:eastAsia="Raleway" w:hAnsi="Arial" w:cs="Arial"/>
          <w:sz w:val="20"/>
          <w:szCs w:val="20"/>
        </w:rPr>
        <w:t>adotaram</w:t>
      </w:r>
      <w:r w:rsidR="00A216E3" w:rsidRPr="00221347">
        <w:rPr>
          <w:rFonts w:ascii="Arial" w:eastAsia="Raleway" w:hAnsi="Arial" w:cs="Arial"/>
          <w:sz w:val="20"/>
          <w:szCs w:val="20"/>
        </w:rPr>
        <w:t>, em 2016,</w:t>
      </w:r>
      <w:r w:rsidR="0031795F" w:rsidRPr="00221347">
        <w:rPr>
          <w:rFonts w:ascii="Arial" w:eastAsia="Raleway" w:hAnsi="Arial" w:cs="Arial"/>
          <w:sz w:val="20"/>
          <w:szCs w:val="20"/>
        </w:rPr>
        <w:t xml:space="preserve"> a variante </w:t>
      </w:r>
      <w:r w:rsidR="00FF2087" w:rsidRPr="00221347">
        <w:rPr>
          <w:rFonts w:ascii="Arial" w:eastAsia="Raleway" w:hAnsi="Arial" w:cs="Arial"/>
          <w:sz w:val="20"/>
          <w:szCs w:val="20"/>
        </w:rPr>
        <w:t xml:space="preserve">do MELD score que considera os valores de natremia do paciente, ficando </w:t>
      </w:r>
      <w:proofErr w:type="spellStart"/>
      <w:r w:rsidR="00FF2087" w:rsidRPr="00221347">
        <w:rPr>
          <w:rFonts w:ascii="Arial" w:eastAsia="Raleway" w:hAnsi="Arial" w:cs="Arial"/>
          <w:sz w:val="20"/>
          <w:szCs w:val="20"/>
        </w:rPr>
        <w:t>MELD-Na</w:t>
      </w:r>
      <w:proofErr w:type="spellEnd"/>
      <w:r w:rsidR="00D930FB" w:rsidRPr="00221347">
        <w:rPr>
          <w:rFonts w:ascii="Arial" w:eastAsia="Raleway" w:hAnsi="Arial" w:cs="Arial"/>
          <w:sz w:val="20"/>
          <w:szCs w:val="20"/>
        </w:rPr>
        <w:t xml:space="preserve"> </w:t>
      </w:r>
      <w:r w:rsidR="008D03B4" w:rsidRPr="00221347">
        <w:rPr>
          <w:rFonts w:ascii="Arial" w:eastAsia="Raleway" w:hAnsi="Arial" w:cs="Arial"/>
          <w:sz w:val="20"/>
          <w:szCs w:val="20"/>
        </w:rPr>
        <w:fldChar w:fldCharType="begin" w:fldLock="1"/>
      </w:r>
      <w:r w:rsidR="0035699C">
        <w:rPr>
          <w:rFonts w:ascii="Arial" w:eastAsia="Raleway" w:hAnsi="Arial" w:cs="Arial"/>
          <w:sz w:val="20"/>
          <w:szCs w:val="20"/>
        </w:rPr>
        <w:instrText>ADDIN CSL_CITATION {"citationItems":[{"id":"ITEM-1","itemData":{"DOI":"10.1002/hep.20405","ISSN":"0270-9139","PMID":"15382176","abstract":"Despite the adoption of \"sickest first\" liver transplantation, pretransplant death remains common, and many early deaths occur despite initially low Model for End-stage Liver Disease (MELD) scores. From 1997-2003, we studied 507 cirrhotic United States veterans referred for consideration of liver transplantation to identify additional predictors of early mortality. Most of the patients were male (98%) with cirrhosis caused by hepatitis C and/or alcohol (88%). Data for 296 patients referred prior to February 27, 2002 (training group), were analyzed; findings were validated in 211 patients referred subsequently (validation group). In the training group, 61 patients (21%) died within 180 days without transplantation; their median initial MELD score was 21. MELD score, persistent ascites, and low serum sodium (&lt;135 meq/L) were independent predictors of early mortality. In patients with a MELD score of less than 21, only low serum sodium and persistent ascites were independent predictors of mortality; for MELD scores above 21, only MELD was independently predictive. Prognostic significance of persistent ascites and low serum sodium for low MELD score patients was confirmed in the validation group. Risk varied continuously with worsening hyponatremia. Modifying MELD, by including points for persistent ascites and low serum sodium, improved prediction of early pretransplant mortality in low MELD score patients. In conclusion, persistent ascites and low serum sodium identify patients with cirrhosis with high mortality risk despite low MELD scores. Ascites, hyponatremia, and other findings indicative of hemodynamic decompensation merit further prospective study as prognostic indicators in patients awaiting liver transplantation, and should be considered in setting minimal listing criteria.","author":[{"dropping-particle":"","family":"Heuman","given":"Douglas M","non-dropping-particle":"","parse-names":false,"suffix":""},{"dropping-particle":"","family":"Abou-assi","given":"Souheil G.","non-dropping-particle":"","parse-names":false,"suffix":""},{"dropping-particle":"","family":"Habib","given":"Adil","non-dropping-particle":"","parse-names":false,"suffix":""},{"dropping-particle":"","family":"Williams","given":"Leslie M","non-dropping-particle":"","parse-names":false,"suffix":""},{"dropping-particle":"","family":"Stravitz","given":"R Todd","non-dropping-particle":"","parse-names":false,"suffix":""},{"dropping-particle":"","family":"Sanyal","given":"Arun J","non-dropping-particle":"","parse-names":false,"suffix":""},{"dropping-particle":"","family":"Fisher","given":"Robert A","non-dropping-particle":"","parse-names":false,"suffix":""},{"dropping-particle":"","family":"Mihas","given":"Anastasios A","non-dropping-particle":"","parse-names":false,"suffix":""}],"container-title":"Hepatology","id":"ITEM-1","issue":"4","issued":{"date-parts":[["2004","10"]]},"language":"eng","page":"802-810","publisher-place":"United States","title":"Persistent ascites and low serum sodium identify patients with cirrhosis and low MELD scores who are at high risk for early death","type":"article-journal","volume":"40"},"uris":["http://www.mendeley.com/documents/?uuid=7b35f17e-935b-4cd8-9e5a-7d3ff68d45ba","http://www.mendeley.com/documents/?uuid=1345f10e-5002-487b-a302-bff2792dffaf"]},{"id":"ITEM-2","itemData":{"DOI":"10.1590/0102-672020190001e1460","ISSN":"23176326","PMID":"31826087","abstract":"Background: Serum sodium was incorporated to MELD score for the allocation of liver transplantation In the USA in 2016. Hyponatremia significantly increased the efficacy of the score to predict mortality on the waiting list. Such modification was not adopted in Brazil. Aim: To carry out a simulation using MELD-Na as waiting list ordering criteria in the state of Paraná and to compare to the list ordered according to MELD score. Methods: The study used data of 122 patients waiting for hepatic transplantation and listed at Parana´s Transplantation Central. Two classificatory lists were set up, one with MELD, the current qualifying criteria, and another with MELD-Na. We analyzed the changes on classification comparing these two lists. Results: Among all patients, 95.1% of the participants changed position, 30.3% showed improvement, 64.8% presented worsening and 4.9% maintained their position. There were 19 patients with hyponatremia, of whom 94.7% presented a change of position, and in all of them there was an improvement of position. One hundred and one patients presented sodium within the normal range and 95% of them presented a change of position: Improved placement was observed in 18.8%, and worsened placement in 76.2%. Two patients presented hypernatremia and changed their position, both worsening the placement. There was a significant different behavior on waiting list according to sodium serum level when MELDNa was applied. Conclusion: The inclusion of serum sodium caused a great impact in the classification, bringing benefit to patients with hyponatremia.","author":[{"dropping-particle":"","family":"FREITAS","given":"Alexandre Coutinho Teixeira","non-dropping-particle":"de","parse-names":false,"suffix":""},{"dropping-particle":"","family":"Rampim","given":"Aline Tatiane","non-dropping-particle":"","parse-names":false,"suffix":""},{"dropping-particle":"","family":"Nunes","given":"Carolline Popovicz","non-dropping-particle":"","parse-names":false,"suffix":""},{"dropping-particle":"","family":"Coelho","given":"Júlio Cezar Uili","non-dropping-particle":"","parse-names":false,"suffix":""}],"container-title":"Arquivos Brasileiros de Cirurgia Digestiva","id":"ITEM-2","issue":"3","issued":{"date-parts":[["2019"]]},"language":"eng","page":"e1460","title":"Impact of meld sodium on liver transplantation waiting list","type":"article-journal","volume":"32"},"uris":["http://www.mendeley.com/documents/?uuid=ea564e72-b148-44db-967e-88c95976e645","http://www.mendeley.com/documents/?uuid=4c9985d8-d502-4f2d-beaa-a2a435c003b0"]}],"mendeley":{"formattedCitation":"(20,21)","plainTextFormattedCitation":"(20,21)","previouslyFormattedCitation":"(20,21)"},"properties":{"noteIndex":0},"schema":"https://github.com/citation-style-language/schema/raw/master/csl-citation.json"}</w:instrText>
      </w:r>
      <w:r w:rsidR="008D03B4" w:rsidRPr="00221347">
        <w:rPr>
          <w:rFonts w:ascii="Arial" w:eastAsia="Raleway" w:hAnsi="Arial" w:cs="Arial"/>
          <w:sz w:val="20"/>
          <w:szCs w:val="20"/>
        </w:rPr>
        <w:fldChar w:fldCharType="separate"/>
      </w:r>
      <w:r w:rsidR="00FB56FA" w:rsidRPr="00FB56FA">
        <w:rPr>
          <w:rFonts w:ascii="Arial" w:eastAsia="Raleway" w:hAnsi="Arial" w:cs="Arial"/>
          <w:noProof/>
          <w:sz w:val="20"/>
          <w:szCs w:val="20"/>
        </w:rPr>
        <w:t>(20,21)</w:t>
      </w:r>
      <w:r w:rsidR="008D03B4" w:rsidRPr="00221347">
        <w:rPr>
          <w:rFonts w:ascii="Arial" w:eastAsia="Raleway" w:hAnsi="Arial" w:cs="Arial"/>
          <w:sz w:val="20"/>
          <w:szCs w:val="20"/>
        </w:rPr>
        <w:fldChar w:fldCharType="end"/>
      </w:r>
      <w:r w:rsidR="008D03B4" w:rsidRPr="00221347">
        <w:rPr>
          <w:rFonts w:ascii="Arial" w:eastAsia="Raleway" w:hAnsi="Arial" w:cs="Arial"/>
          <w:sz w:val="20"/>
          <w:szCs w:val="20"/>
        </w:rPr>
        <w:t>.</w:t>
      </w:r>
      <w:r w:rsidR="000D1194">
        <w:rPr>
          <w:rFonts w:ascii="Arial" w:eastAsia="Raleway" w:hAnsi="Arial" w:cs="Arial"/>
          <w:color w:val="000000" w:themeColor="text1"/>
          <w:sz w:val="20"/>
          <w:szCs w:val="20"/>
        </w:rPr>
        <w:t xml:space="preserve"> </w:t>
      </w:r>
      <w:r w:rsidR="00281D21" w:rsidRPr="00221347">
        <w:rPr>
          <w:rFonts w:ascii="Arial" w:eastAsia="Raleway" w:hAnsi="Arial" w:cs="Arial"/>
          <w:color w:val="000000" w:themeColor="text1"/>
          <w:sz w:val="20"/>
          <w:szCs w:val="20"/>
        </w:rPr>
        <w:t xml:space="preserve">No entanto, apesar de sua vasta evidência estatística e sua efetividade comprovada em predizer mortalidade a curto prazo na fila de transplante, a associação do escore MELD com sobrevida pós-transplante é incerta. Se o MELD e sua variação </w:t>
      </w:r>
      <w:proofErr w:type="spellStart"/>
      <w:r w:rsidR="00281D21" w:rsidRPr="00221347">
        <w:rPr>
          <w:rFonts w:ascii="Arial" w:eastAsia="Raleway" w:hAnsi="Arial" w:cs="Arial"/>
          <w:color w:val="000000" w:themeColor="text1"/>
          <w:sz w:val="20"/>
          <w:szCs w:val="20"/>
        </w:rPr>
        <w:t>MELD-Na</w:t>
      </w:r>
      <w:proofErr w:type="spellEnd"/>
      <w:r w:rsidR="00281D21" w:rsidRPr="00221347">
        <w:rPr>
          <w:rFonts w:ascii="Arial" w:eastAsia="Raleway" w:hAnsi="Arial" w:cs="Arial"/>
          <w:color w:val="000000" w:themeColor="text1"/>
          <w:sz w:val="20"/>
          <w:szCs w:val="20"/>
        </w:rPr>
        <w:t xml:space="preserve"> pudessem predizer o risco de morte pós-transplante, a utilidade do uso destes escores aumentaria bastante</w:t>
      </w:r>
      <w:r w:rsidR="00CE5F67">
        <w:rPr>
          <w:rFonts w:ascii="Arial" w:eastAsia="Raleway" w:hAnsi="Arial" w:cs="Arial"/>
          <w:color w:val="000000" w:themeColor="text1"/>
          <w:sz w:val="20"/>
          <w:szCs w:val="20"/>
        </w:rPr>
        <w:t xml:space="preserve"> </w:t>
      </w:r>
      <w:r w:rsidR="0035699C">
        <w:rPr>
          <w:rFonts w:ascii="Arial" w:eastAsia="Raleway" w:hAnsi="Arial" w:cs="Arial"/>
          <w:color w:val="000000" w:themeColor="text1"/>
          <w:sz w:val="20"/>
          <w:szCs w:val="20"/>
        </w:rPr>
        <w:fldChar w:fldCharType="begin" w:fldLock="1"/>
      </w:r>
      <w:r w:rsidR="00DB0085">
        <w:rPr>
          <w:rFonts w:ascii="Arial" w:eastAsia="Raleway" w:hAnsi="Arial" w:cs="Arial"/>
          <w:color w:val="000000" w:themeColor="text1"/>
          <w:sz w:val="20"/>
          <w:szCs w:val="20"/>
        </w:rPr>
        <w:instrText>ADDIN CSL_CITATION {"citationItems":[{"id":"ITEM-1","itemData":{"DOI":"10.6061/clinics/2015(06)05","ISSN":"18075932","PMID":"26106959","abstract":"Objectives: Liver transplantation has not increased with the number of patients requiring this treatment, increasing deaths among those on the waiting list. Models predicting post-transplantation survival, including the Model for Liver Transplantation Survival and the Donor Risk Index, have been created. Our aim was to compare the performance of the Model for End-Stage Liver Disease, the Model for Liver Transplantation Survival and the Donor Risk Index as prognostic models for survival after liver transplantation. Method: We retrospectively analyzed the data from 1,270 patients who received a liver transplant from a deceased donor in the state of São Paulo, Brazil, between July 2006 and July 2009. All data obtained from the Health Department of the State of São Paulo at the 15 registered transplant centers were analyzed. Patients younger than 13 years of age or with acute liver failure were excluded. Results: The majority of the recipients had Child-Pugh class B or C cirrhosis (63.5%). Among the 1,006 patients included, 274 (27%) died. Univariate survival analysis using a Cox proportional hazards model showed hazard ratios of 1.02 and 1.43 for the Model for End-Stage Liver Disease and the Model for Liver Transplantation Survival, respectively (p&lt;0.001). The areas under the ROC curve for the Donor Risk Index were always less than 0.5, whereas those for the Model for End-Stage Liver Disease and the Model for Liver Transplantation Survival were significantly greater than 0.5 (p&lt;0.001). The cutoff values for the Model for End-Stage Liver Disease (≥29.5; sensitivity: 39.1%; specificity: 75.4%) and the Model for Liver Transplantation Survival (≥1.9; sensitivity 63.9%, specificity 54.5%), which were calculated using data available before liver transplantation, were good predictors of survival after liver transplantation (p&lt;0.001). Conclusions: The Model for Liver Transplantation Survival displayed similar death prediction performance to that of the Model for End-Stage Liver Disease. A simpler model involving fewer variables, such as the Model for End-Stage Liver Disease, is preferred over a complex model involving more variables, such as the Model for Liver Transplantation Survival. The Donor Risk Index had no significance in post-transplantation survival in our patients.","author":[{"dropping-particle":"","family":"Camargo Aranzana","given":"Elisa Maria","non-dropping-particle":"de","parse-names":false,"suffix":""},{"dropping-particle":"","family":"Coppini","given":"Adriana Zuolo","non-dropping-particle":"","parse-names":false,"suffix":""},{"dropping-particle":"","family":"Ribeiro","given":"Maurício Alves","non-dropping-particle":"","parse-names":false,"suffix":""},{"dropping-particle":"","family":"Massarollo","given":"Paulo Celso Bosco","non-dropping-particle":"","parse-names":false,"suffix":""},{"dropping-particle":"","family":"Szutan","given":"Luiz Arnaldo","non-dropping-particle":"","parse-names":false,"suffix":""},{"dropping-particle":"","family":"Ferreira","given":"Fabio Gonçalves","non-dropping-particle":"","parse-names":false,"suffix":""}],"container-title":"Clinics","id":"ITEM-1","issue":"6","issued":{"date-parts":[["2015"]]},"page":"413-418","title":"Model for end-stage liver disease, model for liver transplantation survival and donor risk index as predictive models of survival after liver transplantation in 1,006 patients","type":"article-journal","volume":"70"},"uris":["http://www.mendeley.com/documents/?uuid=669b30b4-c7de-4e77-b970-a865b264a2c9"]}],"mendeley":{"formattedCitation":"(22)","plainTextFormattedCitation":"(22)","previouslyFormattedCitation":"(22)"},"properties":{"noteIndex":0},"schema":"https://github.com/citation-style-language/schema/raw/master/csl-citation.json"}</w:instrText>
      </w:r>
      <w:r w:rsidR="0035699C">
        <w:rPr>
          <w:rFonts w:ascii="Arial" w:eastAsia="Raleway" w:hAnsi="Arial" w:cs="Arial"/>
          <w:color w:val="000000" w:themeColor="text1"/>
          <w:sz w:val="20"/>
          <w:szCs w:val="20"/>
        </w:rPr>
        <w:fldChar w:fldCharType="separate"/>
      </w:r>
      <w:r w:rsidR="0035699C" w:rsidRPr="0035699C">
        <w:rPr>
          <w:rFonts w:ascii="Arial" w:eastAsia="Raleway" w:hAnsi="Arial" w:cs="Arial"/>
          <w:noProof/>
          <w:color w:val="000000" w:themeColor="text1"/>
          <w:sz w:val="20"/>
          <w:szCs w:val="20"/>
        </w:rPr>
        <w:t>(22)</w:t>
      </w:r>
      <w:r w:rsidR="0035699C">
        <w:rPr>
          <w:rFonts w:ascii="Arial" w:eastAsia="Raleway" w:hAnsi="Arial" w:cs="Arial"/>
          <w:color w:val="000000" w:themeColor="text1"/>
          <w:sz w:val="20"/>
          <w:szCs w:val="20"/>
        </w:rPr>
        <w:fldChar w:fldCharType="end"/>
      </w:r>
      <w:r w:rsidR="00281D21" w:rsidRPr="00221347">
        <w:rPr>
          <w:rFonts w:ascii="Arial" w:eastAsia="Raleway" w:hAnsi="Arial" w:cs="Arial"/>
          <w:color w:val="000000" w:themeColor="text1"/>
          <w:sz w:val="20"/>
          <w:szCs w:val="20"/>
        </w:rPr>
        <w:t>.</w:t>
      </w:r>
    </w:p>
    <w:p w14:paraId="7998E8AF" w14:textId="05BCC22F" w:rsidR="00D33F98" w:rsidRPr="00221347" w:rsidRDefault="008310BE" w:rsidP="00D33F98">
      <w:pPr>
        <w:spacing w:line="360" w:lineRule="auto"/>
        <w:ind w:firstLine="708"/>
        <w:jc w:val="both"/>
        <w:rPr>
          <w:rFonts w:ascii="Arial" w:hAnsi="Arial" w:cs="Arial"/>
          <w:sz w:val="20"/>
          <w:szCs w:val="20"/>
        </w:rPr>
      </w:pPr>
      <w:r w:rsidRPr="00221347">
        <w:rPr>
          <w:rFonts w:ascii="Arial" w:eastAsia="Raleway" w:hAnsi="Arial" w:cs="Arial"/>
          <w:sz w:val="20"/>
          <w:szCs w:val="20"/>
        </w:rPr>
        <w:t>Além disso, a</w:t>
      </w:r>
      <w:r w:rsidR="00062B78" w:rsidRPr="00221347">
        <w:rPr>
          <w:rFonts w:ascii="Arial" w:eastAsia="Raleway" w:hAnsi="Arial" w:cs="Arial"/>
          <w:sz w:val="20"/>
          <w:szCs w:val="20"/>
        </w:rPr>
        <w:t xml:space="preserve">lgumas características histológicas do CHC estão diretamente relacionadas </w:t>
      </w:r>
      <w:r w:rsidR="00456331" w:rsidRPr="00221347">
        <w:rPr>
          <w:rFonts w:ascii="Arial" w:eastAsia="Raleway" w:hAnsi="Arial" w:cs="Arial"/>
          <w:sz w:val="20"/>
          <w:szCs w:val="20"/>
        </w:rPr>
        <w:t xml:space="preserve">com </w:t>
      </w:r>
      <w:r w:rsidR="00A96A00" w:rsidRPr="00221347">
        <w:rPr>
          <w:rFonts w:ascii="Arial" w:eastAsia="Raleway" w:hAnsi="Arial" w:cs="Arial"/>
          <w:sz w:val="20"/>
          <w:szCs w:val="20"/>
        </w:rPr>
        <w:t xml:space="preserve">a </w:t>
      </w:r>
      <w:r w:rsidR="007F4AB5" w:rsidRPr="00221347">
        <w:rPr>
          <w:rFonts w:ascii="Arial" w:eastAsia="Raleway" w:hAnsi="Arial" w:cs="Arial"/>
          <w:sz w:val="20"/>
          <w:szCs w:val="20"/>
        </w:rPr>
        <w:t>evolução</w:t>
      </w:r>
      <w:r w:rsidR="00456331" w:rsidRPr="00221347">
        <w:rPr>
          <w:rFonts w:ascii="Arial" w:eastAsia="Raleway" w:hAnsi="Arial" w:cs="Arial"/>
          <w:sz w:val="20"/>
          <w:szCs w:val="20"/>
        </w:rPr>
        <w:t xml:space="preserve"> da doença</w:t>
      </w:r>
      <w:r w:rsidR="00456E66" w:rsidRPr="00221347">
        <w:rPr>
          <w:rFonts w:ascii="Arial" w:eastAsia="Raleway" w:hAnsi="Arial" w:cs="Arial"/>
          <w:sz w:val="20"/>
          <w:szCs w:val="20"/>
        </w:rPr>
        <w:t xml:space="preserve">, como a ocorrência de invasão </w:t>
      </w:r>
      <w:r w:rsidR="00AB5DC3" w:rsidRPr="00221347">
        <w:rPr>
          <w:rFonts w:ascii="Arial" w:eastAsia="Raleway" w:hAnsi="Arial" w:cs="Arial"/>
          <w:sz w:val="20"/>
          <w:szCs w:val="20"/>
        </w:rPr>
        <w:t>microvascular</w:t>
      </w:r>
      <w:r w:rsidR="00456E66" w:rsidRPr="00221347">
        <w:rPr>
          <w:rFonts w:ascii="Arial" w:eastAsia="Raleway" w:hAnsi="Arial" w:cs="Arial"/>
          <w:sz w:val="20"/>
          <w:szCs w:val="20"/>
        </w:rPr>
        <w:t xml:space="preserve"> (IMV)</w:t>
      </w:r>
      <w:r w:rsidR="00D9425F" w:rsidRPr="00221347">
        <w:rPr>
          <w:rFonts w:ascii="Arial" w:eastAsia="Raleway" w:hAnsi="Arial" w:cs="Arial"/>
          <w:sz w:val="20"/>
          <w:szCs w:val="20"/>
        </w:rPr>
        <w:t xml:space="preserve">. </w:t>
      </w:r>
      <w:r w:rsidR="00C30489" w:rsidRPr="00221347">
        <w:rPr>
          <w:rFonts w:ascii="Arial" w:eastAsia="Raleway" w:hAnsi="Arial" w:cs="Arial"/>
          <w:sz w:val="20"/>
          <w:szCs w:val="20"/>
        </w:rPr>
        <w:t>Estudos mostra</w:t>
      </w:r>
      <w:r w:rsidR="00B53707" w:rsidRPr="00221347">
        <w:rPr>
          <w:rFonts w:ascii="Arial" w:eastAsia="Raleway" w:hAnsi="Arial" w:cs="Arial"/>
          <w:sz w:val="20"/>
          <w:szCs w:val="20"/>
        </w:rPr>
        <w:t>ra</w:t>
      </w:r>
      <w:r w:rsidR="00C30489" w:rsidRPr="00221347">
        <w:rPr>
          <w:rFonts w:ascii="Arial" w:eastAsia="Raleway" w:hAnsi="Arial" w:cs="Arial"/>
          <w:sz w:val="20"/>
          <w:szCs w:val="20"/>
        </w:rPr>
        <w:t xml:space="preserve">m que </w:t>
      </w:r>
      <w:r w:rsidR="001E5146" w:rsidRPr="00221347">
        <w:rPr>
          <w:rFonts w:ascii="Arial" w:eastAsia="Raleway" w:hAnsi="Arial" w:cs="Arial"/>
          <w:sz w:val="20"/>
          <w:szCs w:val="20"/>
        </w:rPr>
        <w:t xml:space="preserve">a presença de </w:t>
      </w:r>
      <w:r w:rsidR="00C30489" w:rsidRPr="00221347">
        <w:rPr>
          <w:rFonts w:ascii="Arial" w:eastAsia="Raleway" w:hAnsi="Arial" w:cs="Arial"/>
          <w:sz w:val="20"/>
          <w:szCs w:val="20"/>
        </w:rPr>
        <w:t xml:space="preserve">IMV </w:t>
      </w:r>
      <w:r w:rsidR="001E5146" w:rsidRPr="00221347">
        <w:rPr>
          <w:rFonts w:ascii="Arial" w:eastAsia="Raleway" w:hAnsi="Arial" w:cs="Arial"/>
          <w:sz w:val="20"/>
          <w:szCs w:val="20"/>
        </w:rPr>
        <w:t>relacion</w:t>
      </w:r>
      <w:r w:rsidR="00B4454F" w:rsidRPr="00221347">
        <w:rPr>
          <w:rFonts w:ascii="Arial" w:eastAsia="Raleway" w:hAnsi="Arial" w:cs="Arial"/>
          <w:sz w:val="20"/>
          <w:szCs w:val="20"/>
        </w:rPr>
        <w:t>ou</w:t>
      </w:r>
      <w:r w:rsidR="001E5146" w:rsidRPr="00221347">
        <w:rPr>
          <w:rFonts w:ascii="Arial" w:eastAsia="Raleway" w:hAnsi="Arial" w:cs="Arial"/>
          <w:sz w:val="20"/>
          <w:szCs w:val="20"/>
        </w:rPr>
        <w:t xml:space="preserve">-se intimamente </w:t>
      </w:r>
      <w:r w:rsidR="006F54F2" w:rsidRPr="00221347">
        <w:rPr>
          <w:rFonts w:ascii="Arial" w:eastAsia="Raleway" w:hAnsi="Arial" w:cs="Arial"/>
          <w:sz w:val="20"/>
          <w:szCs w:val="20"/>
        </w:rPr>
        <w:t xml:space="preserve">com a recorrência do CHC, </w:t>
      </w:r>
      <w:r w:rsidR="00B4454F" w:rsidRPr="00221347">
        <w:rPr>
          <w:rFonts w:ascii="Arial" w:eastAsia="Raleway" w:hAnsi="Arial" w:cs="Arial"/>
          <w:sz w:val="20"/>
          <w:szCs w:val="20"/>
        </w:rPr>
        <w:t xml:space="preserve">com </w:t>
      </w:r>
      <w:r w:rsidR="006F54F2" w:rsidRPr="00221347">
        <w:rPr>
          <w:rFonts w:ascii="Arial" w:eastAsia="Raleway" w:hAnsi="Arial" w:cs="Arial"/>
          <w:sz w:val="20"/>
          <w:szCs w:val="20"/>
        </w:rPr>
        <w:t xml:space="preserve">o pior prognóstico e </w:t>
      </w:r>
      <w:r w:rsidR="00B4454F" w:rsidRPr="00221347">
        <w:rPr>
          <w:rFonts w:ascii="Arial" w:eastAsia="Raleway" w:hAnsi="Arial" w:cs="Arial"/>
          <w:sz w:val="20"/>
          <w:szCs w:val="20"/>
        </w:rPr>
        <w:t xml:space="preserve">com </w:t>
      </w:r>
      <w:r w:rsidR="006F54F2" w:rsidRPr="00221347">
        <w:rPr>
          <w:rFonts w:ascii="Arial" w:eastAsia="Raleway" w:hAnsi="Arial" w:cs="Arial"/>
          <w:sz w:val="20"/>
          <w:szCs w:val="20"/>
        </w:rPr>
        <w:t>a menor sobrevida do paciente</w:t>
      </w:r>
      <w:r w:rsidR="00DD7105" w:rsidRPr="00221347">
        <w:rPr>
          <w:rFonts w:ascii="Arial" w:eastAsia="Raleway" w:hAnsi="Arial" w:cs="Arial"/>
          <w:sz w:val="20"/>
          <w:szCs w:val="20"/>
        </w:rPr>
        <w:t xml:space="preserve">, </w:t>
      </w:r>
      <w:r w:rsidR="00F41945" w:rsidRPr="00221347">
        <w:rPr>
          <w:rFonts w:ascii="Arial" w:eastAsia="Raleway" w:hAnsi="Arial" w:cs="Arial"/>
          <w:sz w:val="20"/>
          <w:szCs w:val="20"/>
        </w:rPr>
        <w:t>restringindo</w:t>
      </w:r>
      <w:r w:rsidR="00DD7105" w:rsidRPr="00221347">
        <w:rPr>
          <w:rFonts w:ascii="Arial" w:eastAsia="Raleway" w:hAnsi="Arial" w:cs="Arial"/>
          <w:sz w:val="20"/>
          <w:szCs w:val="20"/>
        </w:rPr>
        <w:t xml:space="preserve">, assim, </w:t>
      </w:r>
      <w:r w:rsidR="00B2697E" w:rsidRPr="00221347">
        <w:rPr>
          <w:rFonts w:ascii="Arial" w:eastAsia="Raleway" w:hAnsi="Arial" w:cs="Arial"/>
          <w:sz w:val="20"/>
          <w:szCs w:val="20"/>
        </w:rPr>
        <w:t>as</w:t>
      </w:r>
      <w:r w:rsidR="00E45E10" w:rsidRPr="00221347">
        <w:rPr>
          <w:rFonts w:ascii="Arial" w:eastAsia="Raleway" w:hAnsi="Arial" w:cs="Arial"/>
          <w:sz w:val="20"/>
          <w:szCs w:val="20"/>
        </w:rPr>
        <w:t xml:space="preserve"> opções de</w:t>
      </w:r>
      <w:r w:rsidR="00B2697E" w:rsidRPr="00221347">
        <w:rPr>
          <w:rFonts w:ascii="Arial" w:eastAsia="Raleway" w:hAnsi="Arial" w:cs="Arial"/>
          <w:sz w:val="20"/>
          <w:szCs w:val="20"/>
        </w:rPr>
        <w:t xml:space="preserve"> </w:t>
      </w:r>
      <w:r w:rsidR="00F3270B" w:rsidRPr="00221347">
        <w:rPr>
          <w:rFonts w:ascii="Arial" w:eastAsia="Raleway" w:hAnsi="Arial" w:cs="Arial"/>
          <w:sz w:val="20"/>
          <w:szCs w:val="20"/>
        </w:rPr>
        <w:t>abordage</w:t>
      </w:r>
      <w:r w:rsidR="003E2836" w:rsidRPr="00221347">
        <w:rPr>
          <w:rFonts w:ascii="Arial" w:eastAsia="Raleway" w:hAnsi="Arial" w:cs="Arial"/>
          <w:sz w:val="20"/>
          <w:szCs w:val="20"/>
        </w:rPr>
        <w:t>m</w:t>
      </w:r>
      <w:r w:rsidR="00F3270B" w:rsidRPr="00221347">
        <w:rPr>
          <w:rFonts w:ascii="Arial" w:eastAsia="Raleway" w:hAnsi="Arial" w:cs="Arial"/>
          <w:sz w:val="20"/>
          <w:szCs w:val="20"/>
        </w:rPr>
        <w:t xml:space="preserve"> </w:t>
      </w:r>
      <w:r w:rsidR="00B2697E" w:rsidRPr="00221347">
        <w:rPr>
          <w:rFonts w:ascii="Arial" w:eastAsia="Raleway" w:hAnsi="Arial" w:cs="Arial"/>
          <w:sz w:val="20"/>
          <w:szCs w:val="20"/>
        </w:rPr>
        <w:t>terapêutica</w:t>
      </w:r>
      <w:r w:rsidR="00C97545" w:rsidRPr="00221347">
        <w:rPr>
          <w:rFonts w:ascii="Arial" w:eastAsia="Raleway" w:hAnsi="Arial" w:cs="Arial"/>
          <w:sz w:val="20"/>
          <w:szCs w:val="20"/>
        </w:rPr>
        <w:t xml:space="preserve"> </w:t>
      </w:r>
      <w:r w:rsidR="00C97545" w:rsidRPr="00221347">
        <w:rPr>
          <w:rFonts w:ascii="Arial" w:eastAsia="Raleway" w:hAnsi="Arial" w:cs="Arial"/>
          <w:sz w:val="20"/>
          <w:szCs w:val="20"/>
        </w:rPr>
        <w:fldChar w:fldCharType="begin" w:fldLock="1"/>
      </w:r>
      <w:r w:rsidR="00DB0085">
        <w:rPr>
          <w:rFonts w:ascii="Arial" w:eastAsia="Raleway" w:hAnsi="Arial" w:cs="Arial"/>
          <w:sz w:val="20"/>
          <w:szCs w:val="20"/>
        </w:rPr>
        <w:instrText>ADDIN CSL_CITATION {"citationItems":[{"id":"ITEM-1","itemData":{"DOI":"10.1002/jso.21631","ISSN":"1096-9098 (Electronic)","PMID":"20872949","abstract":"BACKGROUND AND OBJECTIVES: Microvascular invasion (MVI) is difficult to detect  before resection of hepatocellular carcinoma (HCC). METHODS: Clinicopathological and outcome data were retrospectively compared between 213 HCC patients with MVI and 221 patients without MVI who underwent hepatectomy. RESULTS: MVI risk was selected as an independent prognostic indicator for both disease-free and overall survival in our 434 HCC patients. Univariate and multivariate analyses showed that an age under 65 years, a protein induced by vitamin K absence/antagonism II (PIVKA-II) level ≥200 mAU/ml, a preoperative tumor size ≥5.0 cm, and poorly differentiated carcinoma were independent predictors of MVI. When age, PIVKA-II level, and tumor size (data available before surgery) were scored as a combined index, the total score demonstrated a significant correlation with the extent of vascular invasion and with survival after hepatic resection. CONCLUSIONS: An age under 65 years, increase of PIVKA-II, and larger tumor size were preoperative predictors of MVI in HCC patients undergoing potentially curative resection. Our combined score based on the age, serum PIVKA-II, and preoperative tumor size is a reliable predictor of MVI and survival in patients with HCC.","author":[{"dropping-particle":"","family":"Kaibori","given":"Masaki","non-dropping-particle":"","parse-names":false,"suffix":""},{"dropping-particle":"","family":"Ishizaki","given":"Morihiko","non-dropping-particle":"","parse-names":false,"suffix":""},{"dropping-particle":"","family":"Matsui","given":"Kosuke","non-dropping-particle":"","parse-names":false,"suffix":""},{"dropping-particle":"","family":"Kwon","given":"A-Hon","non-dropping-particle":"","parse-names":false,"suffix":""}],"container-title":"Journal of surgical oncology","id":"ITEM-1","issue":"5","issued":{"date-parts":[["2010","10"]]},"language":"eng","page":"462-468","publisher-place":"United States","title":"Predictors of microvascular invasion before hepatectomy for hepatocellular  carcinoma.","type":"article-journal","volume":"102"},"uris":["http://www.mendeley.com/documents/?uuid=32e1ccff-6364-431d-a067-766126f28e98","http://www.mendeley.com/documents/?uuid=919fddce-d812-4ec7-987d-4010935c7997"]}],"mendeley":{"formattedCitation":"(23)","plainTextFormattedCitation":"(23)","previouslyFormattedCitation":"(23)"},"properties":{"noteIndex":0},"schema":"https://github.com/citation-style-language/schema/raw/master/csl-citation.json"}</w:instrText>
      </w:r>
      <w:r w:rsidR="00C97545" w:rsidRPr="00221347">
        <w:rPr>
          <w:rFonts w:ascii="Arial" w:eastAsia="Raleway" w:hAnsi="Arial" w:cs="Arial"/>
          <w:sz w:val="20"/>
          <w:szCs w:val="20"/>
        </w:rPr>
        <w:fldChar w:fldCharType="separate"/>
      </w:r>
      <w:r w:rsidR="0035699C" w:rsidRPr="0035699C">
        <w:rPr>
          <w:rFonts w:ascii="Arial" w:eastAsia="Raleway" w:hAnsi="Arial" w:cs="Arial"/>
          <w:noProof/>
          <w:sz w:val="20"/>
          <w:szCs w:val="20"/>
        </w:rPr>
        <w:t>(23)</w:t>
      </w:r>
      <w:r w:rsidR="00C97545" w:rsidRPr="00221347">
        <w:rPr>
          <w:rFonts w:ascii="Arial" w:eastAsia="Raleway" w:hAnsi="Arial" w:cs="Arial"/>
          <w:sz w:val="20"/>
          <w:szCs w:val="20"/>
        </w:rPr>
        <w:fldChar w:fldCharType="end"/>
      </w:r>
      <w:r w:rsidR="00B2697E" w:rsidRPr="00221347">
        <w:rPr>
          <w:rFonts w:ascii="Arial" w:eastAsia="Raleway" w:hAnsi="Arial" w:cs="Arial"/>
          <w:sz w:val="20"/>
          <w:szCs w:val="20"/>
        </w:rPr>
        <w:t xml:space="preserve">. </w:t>
      </w:r>
      <w:r w:rsidR="000F1343" w:rsidRPr="00221347">
        <w:rPr>
          <w:rFonts w:ascii="Arial" w:eastAsia="Raleway" w:hAnsi="Arial" w:cs="Arial"/>
          <w:sz w:val="20"/>
          <w:szCs w:val="20"/>
        </w:rPr>
        <w:t>No entanto,</w:t>
      </w:r>
      <w:r w:rsidR="00B47A9D" w:rsidRPr="00221347">
        <w:rPr>
          <w:rFonts w:ascii="Arial" w:eastAsia="Raleway" w:hAnsi="Arial" w:cs="Arial"/>
          <w:sz w:val="20"/>
          <w:szCs w:val="20"/>
        </w:rPr>
        <w:t xml:space="preserve"> a </w:t>
      </w:r>
      <w:r w:rsidR="00AB4EDA" w:rsidRPr="00221347">
        <w:rPr>
          <w:rFonts w:ascii="Arial" w:eastAsia="Raleway" w:hAnsi="Arial" w:cs="Arial"/>
          <w:sz w:val="20"/>
          <w:szCs w:val="20"/>
        </w:rPr>
        <w:t>IMV é de difícil detecção</w:t>
      </w:r>
      <w:r w:rsidR="00E21C70" w:rsidRPr="00D80D14">
        <w:rPr>
          <w:rFonts w:ascii="Arial" w:eastAsia="Raleway" w:hAnsi="Arial" w:cs="Arial"/>
          <w:sz w:val="20"/>
          <w:szCs w:val="20"/>
        </w:rPr>
        <w:t xml:space="preserve"> por métodos de imagem </w:t>
      </w:r>
      <w:r w:rsidR="00133042" w:rsidRPr="00D80D14">
        <w:rPr>
          <w:rFonts w:ascii="Arial" w:eastAsia="Raleway" w:hAnsi="Arial" w:cs="Arial"/>
          <w:sz w:val="20"/>
          <w:szCs w:val="20"/>
        </w:rPr>
        <w:t>e laboratoriais</w:t>
      </w:r>
      <w:r w:rsidR="00AB4EDA" w:rsidRPr="00221347">
        <w:rPr>
          <w:rFonts w:ascii="Arial" w:eastAsia="Raleway" w:hAnsi="Arial" w:cs="Arial"/>
          <w:sz w:val="20"/>
          <w:szCs w:val="20"/>
        </w:rPr>
        <w:t xml:space="preserve">, </w:t>
      </w:r>
      <w:r w:rsidR="00037EC7" w:rsidRPr="00221347">
        <w:rPr>
          <w:rFonts w:ascii="Arial" w:eastAsia="Raleway" w:hAnsi="Arial" w:cs="Arial"/>
          <w:sz w:val="20"/>
          <w:szCs w:val="20"/>
        </w:rPr>
        <w:t xml:space="preserve">sendo necessária avaliação histopatológica </w:t>
      </w:r>
      <w:r w:rsidR="00144CAE" w:rsidRPr="00221347">
        <w:rPr>
          <w:rFonts w:ascii="Arial" w:eastAsia="Raleway" w:hAnsi="Arial" w:cs="Arial"/>
          <w:sz w:val="20"/>
          <w:szCs w:val="20"/>
        </w:rPr>
        <w:t>do explante hepático</w:t>
      </w:r>
      <w:r w:rsidR="00A51254" w:rsidRPr="00221347">
        <w:rPr>
          <w:rFonts w:ascii="Arial" w:eastAsia="Raleway" w:hAnsi="Arial" w:cs="Arial"/>
          <w:sz w:val="20"/>
          <w:szCs w:val="20"/>
        </w:rPr>
        <w:t xml:space="preserve">, o que </w:t>
      </w:r>
      <w:r w:rsidR="007E6D55" w:rsidRPr="00221347">
        <w:rPr>
          <w:rFonts w:ascii="Arial" w:eastAsia="Raleway" w:hAnsi="Arial" w:cs="Arial"/>
          <w:sz w:val="20"/>
          <w:szCs w:val="20"/>
        </w:rPr>
        <w:t xml:space="preserve">restringe </w:t>
      </w:r>
      <w:r w:rsidR="00A51254" w:rsidRPr="00221347">
        <w:rPr>
          <w:rFonts w:ascii="Arial" w:eastAsia="Raleway" w:hAnsi="Arial" w:cs="Arial"/>
          <w:sz w:val="20"/>
          <w:szCs w:val="20"/>
        </w:rPr>
        <w:t xml:space="preserve">a utilidade dessa informação </w:t>
      </w:r>
      <w:r w:rsidR="00245E2D" w:rsidRPr="00221347">
        <w:rPr>
          <w:rFonts w:ascii="Arial" w:eastAsia="Raleway" w:hAnsi="Arial" w:cs="Arial"/>
          <w:sz w:val="20"/>
          <w:szCs w:val="20"/>
        </w:rPr>
        <w:t>no pré-operatório</w:t>
      </w:r>
      <w:r w:rsidR="00E16A43" w:rsidRPr="00221347">
        <w:rPr>
          <w:rFonts w:ascii="Arial" w:eastAsia="Raleway" w:hAnsi="Arial" w:cs="Arial"/>
          <w:sz w:val="20"/>
          <w:szCs w:val="20"/>
        </w:rPr>
        <w:t xml:space="preserve">. Assim, </w:t>
      </w:r>
      <w:r w:rsidR="00CB58C8" w:rsidRPr="00221347">
        <w:rPr>
          <w:rFonts w:ascii="Arial" w:eastAsia="Raleway" w:hAnsi="Arial" w:cs="Arial"/>
          <w:sz w:val="20"/>
          <w:szCs w:val="20"/>
        </w:rPr>
        <w:t xml:space="preserve">o médico assistente </w:t>
      </w:r>
      <w:r w:rsidR="00802FCF" w:rsidRPr="00221347">
        <w:rPr>
          <w:rFonts w:ascii="Arial" w:eastAsia="Raleway" w:hAnsi="Arial" w:cs="Arial"/>
          <w:sz w:val="20"/>
          <w:szCs w:val="20"/>
        </w:rPr>
        <w:t xml:space="preserve">poderá ter informações </w:t>
      </w:r>
      <w:r w:rsidR="007C1E64" w:rsidRPr="00221347">
        <w:rPr>
          <w:rFonts w:ascii="Arial" w:eastAsia="Raleway" w:hAnsi="Arial" w:cs="Arial"/>
          <w:sz w:val="20"/>
          <w:szCs w:val="20"/>
        </w:rPr>
        <w:t xml:space="preserve">limitadas </w:t>
      </w:r>
      <w:r w:rsidR="00802FCF" w:rsidRPr="00221347">
        <w:rPr>
          <w:rFonts w:ascii="Arial" w:eastAsia="Raleway" w:hAnsi="Arial" w:cs="Arial"/>
          <w:sz w:val="20"/>
          <w:szCs w:val="20"/>
        </w:rPr>
        <w:t xml:space="preserve">necessárias para ponderar </w:t>
      </w:r>
      <w:r w:rsidR="00FD4568" w:rsidRPr="00221347">
        <w:rPr>
          <w:rFonts w:ascii="Arial" w:eastAsia="Raleway" w:hAnsi="Arial" w:cs="Arial"/>
          <w:sz w:val="20"/>
          <w:szCs w:val="20"/>
        </w:rPr>
        <w:t>sobre as terapias disponíveis</w:t>
      </w:r>
      <w:r w:rsidR="00D33F98" w:rsidRPr="00221347">
        <w:rPr>
          <w:rFonts w:ascii="Arial" w:eastAsia="Raleway" w:hAnsi="Arial" w:cs="Arial"/>
          <w:sz w:val="20"/>
          <w:szCs w:val="20"/>
        </w:rPr>
        <w:t xml:space="preserve"> </w:t>
      </w:r>
      <w:r w:rsidR="00B545E9" w:rsidRPr="00221347">
        <w:rPr>
          <w:rFonts w:ascii="Arial" w:hAnsi="Arial" w:cs="Arial"/>
          <w:b/>
          <w:sz w:val="20"/>
          <w:szCs w:val="20"/>
        </w:rPr>
        <w:fldChar w:fldCharType="begin" w:fldLock="1"/>
      </w:r>
      <w:r w:rsidR="00DB0085">
        <w:rPr>
          <w:rFonts w:ascii="Arial" w:hAnsi="Arial" w:cs="Arial"/>
          <w:b/>
          <w:sz w:val="20"/>
          <w:szCs w:val="20"/>
        </w:rPr>
        <w:instrText>ADDIN CSL_CITATION {"citationItems":[{"id":"ITEM-1","itemData":{"DOI":"10.1245/s10434-008-9846-9","author":[{"dropping-particle":"","family":"Sumie","given":"Shuji","non-dropping-particle":"","parse-names":false,"suffix":""},{"dropping-particle":"","family":"Kuromatsu","given":"Ryoko","non-dropping-particle":"","parse-names":false,"suffix":""},{"dropping-particle":"","family":"Okuda","given":"Koji","non-dropping-particle":"","parse-names":false,"suffix":""},{"dropping-particle":"","family":"Ando","given":"Eiji","non-dropping-particle":"","parse-names":false,"suffix":""},{"dropping-particle":"","family":"Takata","given":"Akio","non-dropping-particle":"","parse-names":false,"suffix":""},{"dropping-particle":"","family":"Fukushima","given":"Nobuyoshi","non-dropping-particle":"","parse-names":false,"suffix":""},{"dropping-particle":"","family":"Watanabe","given":"Yasutomo","non-dropping-particle":"","parse-names":false,"suffix":""},{"dropping-particle":"","family":"Kojiro","given":"Masamichi","non-dropping-particle":"","parse-names":false,"suffix":""},{"dropping-particle":"","family":"Sata","given":"Michio","non-dropping-particle":"","parse-names":false,"suffix":""}],"id":"ITEM-1","issue":"5","issued":{"date-parts":[["2008"]]},"page":"1375-1382","title":"Microvascular Invasion in Patients with Hepatocellular Carcinoma and Its Predictable Clinicopathological Factors","type":"article-journal","volume":"15"},"uris":["http://www.mendeley.com/documents/?uuid=a8f652b7-bd37-4c10-918e-250be0a49f9a"]},{"id":"ITEM-2","itemData":{"DOI":"10.1016/j.ejso.2013.04.003","ISSN":"15322157","PMID":"23669199","abstract":"Background The preoperative predictors of microvascular invasion (MVI) in multinodular hepatocellular carcinoma (HCC) are currently unclear. Methods We retrospectively analyzed 266 patients who underwent potentially curative resection of multinodular HCC. MVI was diagnosed on pathological examination in 64 patients. Preoperative risk factors for MVI were identified and survival curves were analyzed. Results Patients with MVI had significantly lower overall and recurrence-free survival rates than those without MVI (overall survival, 1 year: 86% vs. 71%, 3 years: 58% vs. 16%; recurrence-free survival, 1 year: 69% vs. 12%; 3 years: 48% vs. 12%; both P &lt; 0.001). Multivariate analysis showed that serum alpha-fetoprotein (AFP) level &gt;400 μg/L (odds ratio [OR] = 3.732, P = 0.016), serum gamma-glutamyltransferase (GGT) level &gt;130 U/L (OR = 19.779, P &lt; 0.001), total tumor diameter &gt;8 cm (OR = 5.545, P = 0.010), and tumor number &gt;3 (OR = 11.566, P = 0.007) were independent predictors of MVI. A scoring system was constructed, and the MVI rate was significantly higher in patients with a score of ≥3 than those with a score of &lt;3 (64.1% vs. 10.9%, P &lt; 0.001). Overall and recurrence-free survival rates were significantly lower in patients with a score of ≥3 (both P &lt; 0.001). Conclusions Serum AFP level &gt;400 μg/L, serum GGT level &gt;130 U/L, total tumor diameter &gt;8 cm, and tumor number &gt;3 were preoperative predictors of MVI in patients with multinodular HCC. In patients with a high risk of MVI and well-preserved liver function, anatomic resection may be worth considering. © 2013 Elsevier Ltd. All rights reserved.","author":[{"dropping-particle":"","family":"Zhao","given":"W. C.","non-dropping-particle":"","parse-names":false,"suffix":""},{"dropping-particle":"","family":"Fan","given":"L. F.","non-dropping-particle":"","parse-names":false,"suffix":""},{"dropping-particle":"","family":"Yang","given":"N.","non-dropping-particle":"","parse-names":false,"suffix":""},{"dropping-particle":"","family":"Zhang","given":"H. B.","non-dropping-particle":"","parse-names":false,"suffix":""},{"dropping-particle":"","family":"Chen","given":"B. D.","non-dropping-particle":"","parse-names":false,"suffix":""},{"dropping-particle":"","family":"Yang","given":"G. S.","non-dropping-particle":"","parse-names":false,"suffix":""}],"container-title":"European Journal of Surgical Oncology","id":"ITEM-2","issue":"8","issued":{"date-parts":[["2013","8"]]},"language":"eng","page":"858-864","publisher-place":"England","title":"Preoperative predictors of microvascular invasion in multinodular hepatocellular carcinoma","type":"article-journal","volume":"39"},"uris":["http://www.mendeley.com/documents/?uuid=bf824945-1a03-4bb4-babf-28d651bb7d98","http://www.mendeley.com/documents/?uuid=b61c8a92-626f-464e-999b-d7c81984e26c"]},{"id":"ITEM-3","itemData":{"DOI":"10.1111/j.1440-1746.2011.06780.x","ISSN":"14401746","PMID":"21592228","abstract":"Background and Aim: Despite improvements of treatment in hepatocellular carcinoma (HCC), the recurrence rate after curative hepatic resection still remains remarkably high. An immediate recurrence of HCC after surgery is frustrating. We tried to clarify risks of immediate postoperative recurrence of HCC; that is, within 4months after curative hepatic resection. Methods: A total of 167 patients with HCC underwent hepatic resection; 60 had immediate postoperative recurrences (IPR group), and 107 had disease-free survival for more than 5years (DFS group). Variables were compared between the two groups. Results: Univariate analysis showed the following variables were significant risk factors for immediate postoperative recurrence of HCC: male sex, elevated serum aspartate aminotransferase level, greater amount of blood loss, longer operation time, worse tumor differentiation, higher tumor node metastasis stage, and presence of any of the following: intrahepatic metastasis, tumor-rupture, portal venous invasion, or microvascular invasion. In multivariate analysis, only portal venous invasion was a significant risk factor (odds ratio=3.2, P=0.03, standard error=0.5, Logistic regression analysis). Conclusions: Portal venous invasion may be the most significant risk factor for immediate postoperative recurrence of HCC. However, accurate assessment of this risk factor may require histological examination, limiting its utility as a preoperative predictor. Further research is necessary to definitively identify preoperative predictors. © 2011 Journal of Gastroenterology and Hepatology Foundation and Blackwell Publishing Asia Pty Ltd.","author":[{"dropping-particle":"","family":"Choi","given":"Kang Kook","non-dropping-particle":"","parse-names":false,"suffix":""},{"dropping-particle":"","family":"Kim","given":"Sung Hoon","non-dropping-particle":"","parse-names":false,"suffix":""},{"dropping-particle":"","family":"Choi","given":"Sae Byeol","non-dropping-particle":"","parse-names":false,"suffix":""},{"dropping-particle":"","family":"Lim","given":"Jin Hong","non-dropping-particle":"","parse-names":false,"suffix":""},{"dropping-particle":"","family":"Choi","given":"Gi Hong","non-dropping-particle":"","parse-names":false,"suffix":""},{"dropping-particle":"","family":"Choi","given":"Jin Sub","non-dropping-particle":"","parse-names":false,"suffix":""},{"dropping-particle":"","family":"Kim","given":"Kyung Sik","non-dropping-particle":"","parse-names":false,"suffix":""}],"container-title":"Journal of Gastroenterology and Hepatology (Australia)","id":"ITEM-3","issue":"11","issued":{"date-parts":[["2011","11"]]},"language":"eng","page":"1646-1651","publisher-place":"Australia","title":"Portal venous invasion: The single most independent risk factor for immediate postoperative recurrence of hepatocellular carcinoma","type":"article-journal","volume":"26"},"uris":["http://www.mendeley.com/documents/?uuid=e995fa5d-e875-429a-9e85-e2b97db20fe0","http://www.mendeley.com/documents/?uuid=0db2e4c4-9a5f-4a4d-92b0-c18cae2c842c"]}],"mendeley":{"formattedCitation":"(24–26)","plainTextFormattedCitation":"(24–26)","previouslyFormattedCitation":"(24–26)"},"properties":{"noteIndex":0},"schema":"https://github.com/citation-style-language/schema/raw/master/csl-citation.json"}</w:instrText>
      </w:r>
      <w:r w:rsidR="00B545E9" w:rsidRPr="00221347">
        <w:rPr>
          <w:rFonts w:ascii="Arial" w:hAnsi="Arial" w:cs="Arial"/>
          <w:b/>
          <w:sz w:val="20"/>
          <w:szCs w:val="20"/>
        </w:rPr>
        <w:fldChar w:fldCharType="separate"/>
      </w:r>
      <w:r w:rsidR="0035699C" w:rsidRPr="0035699C">
        <w:rPr>
          <w:rFonts w:ascii="Arial" w:hAnsi="Arial" w:cs="Arial"/>
          <w:noProof/>
          <w:sz w:val="20"/>
          <w:szCs w:val="20"/>
        </w:rPr>
        <w:t>(24–26)</w:t>
      </w:r>
      <w:r w:rsidR="00B545E9" w:rsidRPr="00221347">
        <w:rPr>
          <w:rFonts w:ascii="Arial" w:hAnsi="Arial" w:cs="Arial"/>
          <w:b/>
          <w:sz w:val="20"/>
          <w:szCs w:val="20"/>
        </w:rPr>
        <w:fldChar w:fldCharType="end"/>
      </w:r>
      <w:r w:rsidR="00005D47" w:rsidRPr="00221347">
        <w:rPr>
          <w:rFonts w:ascii="Arial" w:hAnsi="Arial" w:cs="Arial"/>
          <w:sz w:val="20"/>
          <w:szCs w:val="20"/>
        </w:rPr>
        <w:t>.</w:t>
      </w:r>
    </w:p>
    <w:p w14:paraId="12BD80BF" w14:textId="028E38CB" w:rsidR="00B3402C" w:rsidRPr="00221347" w:rsidRDefault="001B43FF" w:rsidP="00D33F98">
      <w:pPr>
        <w:spacing w:line="360" w:lineRule="auto"/>
        <w:ind w:firstLine="708"/>
        <w:jc w:val="both"/>
        <w:rPr>
          <w:rFonts w:ascii="Arial" w:eastAsia="Raleway" w:hAnsi="Arial" w:cs="Arial"/>
          <w:sz w:val="20"/>
          <w:szCs w:val="20"/>
        </w:rPr>
      </w:pPr>
      <w:r w:rsidRPr="00221347">
        <w:rPr>
          <w:rFonts w:ascii="Arial" w:hAnsi="Arial" w:cs="Arial"/>
          <w:sz w:val="20"/>
          <w:szCs w:val="20"/>
        </w:rPr>
        <w:t>Embora a</w:t>
      </w:r>
      <w:r w:rsidR="00D75653" w:rsidRPr="00221347">
        <w:rPr>
          <w:rFonts w:ascii="Arial" w:hAnsi="Arial" w:cs="Arial"/>
          <w:sz w:val="20"/>
          <w:szCs w:val="20"/>
        </w:rPr>
        <w:t xml:space="preserve"> ocorrência</w:t>
      </w:r>
      <w:r w:rsidR="002E4C7A" w:rsidRPr="00221347">
        <w:rPr>
          <w:rFonts w:ascii="Arial" w:hAnsi="Arial" w:cs="Arial"/>
          <w:sz w:val="20"/>
          <w:szCs w:val="20"/>
        </w:rPr>
        <w:t xml:space="preserve"> de</w:t>
      </w:r>
      <w:r w:rsidR="00110512" w:rsidRPr="00221347">
        <w:rPr>
          <w:rFonts w:ascii="Arial" w:hAnsi="Arial" w:cs="Arial"/>
          <w:sz w:val="20"/>
          <w:szCs w:val="20"/>
        </w:rPr>
        <w:t xml:space="preserve"> IMV </w:t>
      </w:r>
      <w:r w:rsidR="001F33D9" w:rsidRPr="00221347">
        <w:rPr>
          <w:rFonts w:ascii="Arial" w:hAnsi="Arial" w:cs="Arial"/>
          <w:sz w:val="20"/>
          <w:szCs w:val="20"/>
        </w:rPr>
        <w:t xml:space="preserve">ainda </w:t>
      </w:r>
      <w:r w:rsidRPr="00221347">
        <w:rPr>
          <w:rFonts w:ascii="Arial" w:hAnsi="Arial" w:cs="Arial"/>
          <w:sz w:val="20"/>
          <w:szCs w:val="20"/>
        </w:rPr>
        <w:t>seja um fenômeno</w:t>
      </w:r>
      <w:r w:rsidR="002E4C7A" w:rsidRPr="00221347">
        <w:rPr>
          <w:rFonts w:ascii="Arial" w:hAnsi="Arial" w:cs="Arial"/>
          <w:sz w:val="20"/>
          <w:szCs w:val="20"/>
        </w:rPr>
        <w:t xml:space="preserve"> </w:t>
      </w:r>
      <w:r w:rsidRPr="00221347">
        <w:rPr>
          <w:rFonts w:ascii="Arial" w:hAnsi="Arial" w:cs="Arial"/>
          <w:sz w:val="20"/>
          <w:szCs w:val="20"/>
        </w:rPr>
        <w:t xml:space="preserve">pouco </w:t>
      </w:r>
      <w:r w:rsidR="00D00D0F" w:rsidRPr="00221347">
        <w:rPr>
          <w:rFonts w:ascii="Arial" w:hAnsi="Arial" w:cs="Arial"/>
          <w:sz w:val="20"/>
          <w:szCs w:val="20"/>
        </w:rPr>
        <w:t>elucidado</w:t>
      </w:r>
      <w:r w:rsidR="00D75653" w:rsidRPr="00221347">
        <w:rPr>
          <w:rFonts w:ascii="Arial" w:hAnsi="Arial" w:cs="Arial"/>
          <w:sz w:val="20"/>
          <w:szCs w:val="20"/>
        </w:rPr>
        <w:t xml:space="preserve">, </w:t>
      </w:r>
      <w:r w:rsidR="002E4C7A" w:rsidRPr="00221347">
        <w:rPr>
          <w:rFonts w:ascii="Arial" w:hAnsi="Arial" w:cs="Arial"/>
          <w:sz w:val="20"/>
          <w:szCs w:val="20"/>
        </w:rPr>
        <w:t>diversas pesquisas estão sendo feitas a fim</w:t>
      </w:r>
      <w:r w:rsidR="00E5342F" w:rsidRPr="00221347">
        <w:rPr>
          <w:rFonts w:ascii="Arial" w:hAnsi="Arial" w:cs="Arial"/>
          <w:sz w:val="20"/>
          <w:szCs w:val="20"/>
        </w:rPr>
        <w:t xml:space="preserve"> de compreender sua relação com</w:t>
      </w:r>
      <w:r w:rsidR="007E13DB" w:rsidRPr="00221347">
        <w:rPr>
          <w:rFonts w:ascii="Arial" w:hAnsi="Arial" w:cs="Arial"/>
          <w:sz w:val="20"/>
          <w:szCs w:val="20"/>
        </w:rPr>
        <w:t xml:space="preserve"> </w:t>
      </w:r>
      <w:r w:rsidR="00EB5E4A" w:rsidRPr="00221347">
        <w:rPr>
          <w:rFonts w:ascii="Arial" w:hAnsi="Arial" w:cs="Arial"/>
          <w:sz w:val="20"/>
          <w:szCs w:val="20"/>
        </w:rPr>
        <w:t>outros dados clínicos</w:t>
      </w:r>
      <w:r w:rsidR="00970D15" w:rsidRPr="00221347">
        <w:rPr>
          <w:rFonts w:ascii="Arial" w:hAnsi="Arial" w:cs="Arial"/>
          <w:sz w:val="20"/>
          <w:szCs w:val="20"/>
        </w:rPr>
        <w:t xml:space="preserve"> e </w:t>
      </w:r>
      <w:r w:rsidR="00EB5E4A" w:rsidRPr="00221347">
        <w:rPr>
          <w:rFonts w:ascii="Arial" w:hAnsi="Arial" w:cs="Arial"/>
          <w:sz w:val="20"/>
          <w:szCs w:val="20"/>
        </w:rPr>
        <w:t>epidemio</w:t>
      </w:r>
      <w:r w:rsidR="00970D15" w:rsidRPr="00221347">
        <w:rPr>
          <w:rFonts w:ascii="Arial" w:hAnsi="Arial" w:cs="Arial"/>
          <w:sz w:val="20"/>
          <w:szCs w:val="20"/>
        </w:rPr>
        <w:t>lógicos</w:t>
      </w:r>
      <w:r w:rsidR="001412A7" w:rsidRPr="00221347">
        <w:rPr>
          <w:rFonts w:ascii="Arial" w:hAnsi="Arial" w:cs="Arial"/>
          <w:sz w:val="20"/>
          <w:szCs w:val="20"/>
        </w:rPr>
        <w:t xml:space="preserve"> </w:t>
      </w:r>
      <w:r w:rsidR="000F0DF1"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{"citationItems":[{"id":"ITEM-1","itemData":{"DOI":"10.1002/jso.21631","ISSN":"1096-9098 (Electronic)","PMID":"20872949","abstract":"BACKGROUND AND OBJECTIVES: Microvascular invasion (MVI) is difficult to detect  before resection of hepatocellular carcinoma (HCC). METHODS: Clinicopathological and outcome data were retrospectively compared between 213 HCC patients with MVI and 221 patients without MVI who underwent hepatectomy. RESULTS: MVI risk was selected as an independent prognostic indicator for both disease-free and overall survival in our 434 HCC patients. Univariate and multivariate analyses showed that an age under 65 years, a protein induced by vitamin K absence/antagonism II (PIVKA-II) level ≥200 mAU/ml, a preoperative tumor size ≥5.0 cm, and poorly differentiated carcinoma were independent predictors of MVI. When age, PIVKA-II level, and tumor size (data available before surgery) were scored as a combined index, the total score demonstrated a significant correlation with the extent of vascular invasion and with survival after hepatic resection. CONCLUSIONS: An age under 65 years, increase of PIVKA-II, and larger tumor size were preoperative predictors of MVI in HCC patients undergoing potentially curative resection. Our combined score based on the age, serum PIVKA-II, and preoperative tumor size is a reliable predictor of MVI and survival in patients with HCC.","author":[{"dropping-particle":"","family":"Kaibori","given":"Masaki","non-dropping-particle":"","parse-names":false,"suffix":""},{"dropping-particle":"","family":"Ishizaki","given":"Morihiko","non-dropping-particle":"","parse-names":false,"suffix":""},{"dropping-particle":"","family":"Matsui","given":"Kosuke","non-dropping-particle":"","parse-names":false,"suffix":""},{"dropping-particle":"","family":"Kwon","given":"A-Hon","non-dropping-particle":"","parse-names":false,"suffix":""}],"container-title":"Journal of surgical oncology","id":"ITEM-1","issue":"5","issued":{"date-parts":[["2010","10"]]},"language":"eng","page":"462-468","publisher-place":"United States","title":"Predictors of microvascular invasion before hepatectomy for hepatocellular  carcinoma.","type":"article-journal","volume":"102"},"uris":["http://www.mendeley.com/documents/?uuid=507dbdd2-d74a-492d-884c-96ef7cd93e99"]},{"id":"ITEM-2","itemData":{"DOI":"10.1245/s10434-008-9846-9","ISSN":"1534-4681 (Electronic)","PMID":"18324443","abstract":"BACKGROUND: Macroscopic vascular invasion is known to be a poor prognostic factor in  hepatocellular carcinoma (HCC). The aim of this study was to determine the outcomes and predictive factors after hepatic resection for HCC with microvascular invasion (MVI). METHODS: One hundred ten patients who underwent curative resection for HCC without macroscopic vascular invasion were included in this retrospective study. The risk factors of these patients for recurrence-free and disease-specific survival were investigated, and the clinicopathological factors predicting the presence of MVI were also determined. RESULTS: Of the 110 resected specimens, 49 (45%) had evidence of MVI. By univariate analysis, MVI was found to be statistically significantly associated with greater tumor size, gross classification, histological grade, and intrahepatic micrometastasis. Gross classification proved to be the only independent predictive factor for MVI by multiple logistic regression analysis. By multivariate analysis, cirrhosis and MVI were identified as independent risk factors for recurrence-free survival. The 5-year recurrence-free survival rates for patients with and without MVI were 20.8% and 52.6%, respectively. By multivariate analysis, the number of tumors, presence of MVI, and intrahepatic micrometastasis were identified as independent predictors of disease-specific survival. The 5-year disease-specific survival rates for patients with and without MVI were 59.3% and 92.0%, respectively. CONCLUSIONS: The presence of MVI was the most important risk factor affecting recurrence and survival in HCC patients after curative resection. Furthermore, this study showed that gross classification of HCC can be very helpful in predicting the presence of MVI.","author":[{"dropping-particle":"","family":"Sumie","given":"Shuji","non-dropping-particle":"","parse-names":false,"suffix":""},{"dropping-particle":"","family":"Kuromatsu","given":"Ryoko","non-dropping-particle":"","parse-names":false,"suffix":""},{"dropping-particle":"","family":"Okuda","given":"Koji","non-dropping-particle":"","parse-names":false,"suffix":""},{"dropping-particle":"","family":"Ando","given":"Eiji","non-dropping-particle":"","parse-names":false,"suffix":""},{"dropping-particle":"","family":"Takata","given":"Akio","non-dropping-particle":"","parse-names":false,"suffix":""},{"dropping-particle":"","family":"Fukushima","given":"Nobuyoshi","non-dropping-particle":"","parse-names":false,"suffix":""},{"dropping-particle":"","family":"Watanabe","given":"Yasutomo","non-dropping-particle":"","parse-names":false,"suffix":""},{"dropping-particle":"","family":"Kojiro","given":"Masamichi","non-dropping-particle":"","parse-names":false,"suffix":""},{"dropping-particle":"","family":"Sata","given":"Michio","non-dropping-particle":"","parse-names":false,"suffix":""}],"container-title":"Annals of surgical oncology","id":"ITEM-2","issue":"5","issued":{"date-parts":[["2008","5"]]},"language":"eng","page":"1375-1382","publisher-place":"United States","title":"Microvascular invasion in patients with hepatocellular carcinoma and its predictable  clinicopathological factors.","type":"article-journal","volume":"15"},"uris":["http://www.mendeley.com/documents/?uuid=0fd70265-c4e3-4dc2-80d7-edc184419d9a"]},{"id":"ITEM-3","itemData":{"DOI":"10.1016/j.ejso.2013.04.003","ISSN":"15322157","PMID":"23669199","abstract":"Background The preoperative predictors of microvascular invasion (MVI) in multinodular hepatocellular carcinoma (HCC) are currently unclear. Methods We retrospectively analyzed 266 patients who underwent potentially curative resection of multinodular HCC. MVI was diagnosed on pathological examination in 64 patients. Preoperative risk factors for MVI were identified and survival curves were analyzed. Results Patients with MVI had significantly lower overall and recurrence-free survival rates than those without MVI (overall survival, 1 year: 86% vs. 71%, 3 years: 58% vs. 16%; recurrence-free survival, 1 year: 69% vs. 12%; 3 years: 48% vs. 12%; both P &lt; 0.001). Multivariate analysis showed that serum alpha-fetoprotein (AFP) level &gt;400 μg/L (odds ratio [OR] = 3.732, P = 0.016), serum gamma-glutamyltransferase (GGT) level &gt;130 U/L (OR = 19.779, P &lt; 0.001), total tumor diameter &gt;8 cm (OR = 5.545, P = 0.010), and tumor number &gt;3 (OR = 11.566, P = 0.007) were independent predictors of MVI. A scoring system was constructed, and the MVI rate was significantly higher in patients with a score of ≥3 than those with a score of &lt;3 (64.1% vs. 10.9%, P &lt; 0.001). Overall and recurrence-free survival rates were significantly lower in patients with a score of ≥3 (both P &lt; 0.001). Conclusions Serum AFP level &gt;400 μg/L, serum GGT level &gt;130 U/L, total tumor diameter &gt;8 cm, and tumor number &gt;3 were preoperative predictors of MVI in patients with multinodular HCC. In patients with a high risk of MVI and well-preserved liver function, anatomic resection may be worth considering. © 2013 Elsevier Ltd. All rights reserved.","author":[{"dropping-particle":"","family":"Zhao","given":"W. C.","non-dropping-particle":"","parse-names":false,"suffix":""},{"dropping-particle":"","family":"Fan","given":"L. F.","non-dropping-particle":"","parse-names":false,"suffix":""},{"dropping-particle":"","family":"Yang","given":"N.","non-dropping-particle":"","parse-names":false,"suffix":""},{"dropping-particle":"","family":"Zhang","given":"H. B.","non-dropping-particle":"","parse-names":false,"suffix":""},{"dropping-particle":"","family":"Chen","given":"B. D.","non-dropping-particle":"","parse-names":false,"suffix":""},{"dropping-particle":"","family":"Yang","given":"G. S.","non-dropping-particle":"","parse-names":false,"suffix":""}],"container-title":"European Journal of Surgical Oncology","id":"ITEM-3","issue":"8","issued":{"date-parts":[["2013","8"]]},"language":"eng","page":"858-864","publisher-place":"England","title":"Preoperative predictors of microvascular invasion in multinodular hepatocellular carcinoma","type":"article-journal","volume":"39"},"uris":["http://www.mendeley.com/documents/?uuid=b61c8a92-626f-464e-999b-d7c81984e26c","http://www.mendeley.com/documents/?uuid=9625abe2-bf43-460b-a7fe-3c44135f5224"]},{"id":"ITEM-4","itemData":{"DOI":"10.1111/jgh.13843","ISSN":"1440-1746 (Electronic)","PMID":"28589639","abstract":"Partial hepatectomy and liver transplantation are potentially curative treatments in  selected patients with hepatocellular carcinoma (HCC). Unfortunately, a high postoperative tumor recurrence rate significantly decreases long-term survival outcomes. Among multiple prognostic factors, the presence of microvascular invasion (MVI) has increasingly been recognized to reflect enhanced abilities of local invasion and distant metastasis of HCC. Unfortunately, MVI can only currently be identified through histopathological studies on resected surgical specimens. Accurate preoperative tests to predict the presence of MVI are urgently needed. This paper reviews the current studies on incidence, pathological diagnosis, and classification of MVI; possible mechanisms of MVI formation; and preoperative prediction of the presence of MVI. Furthermore, focusing on how the postoperative management can be improved on histopathologically confirmed patients with HCC with MVI, and the potential roles of using predictive tests to estimate the risk of presence of MVI, helps in preoperative therapeutic decision-making in patients with HCC.","author":[{"dropping-particle":"","family":"Zhang","given":"Xiaofeng","non-dropping-particle":"","parse-names":false,"suffix":""},{"dropping-particle":"","family":"Li","given":"Jun","non-dropping-particle":"","parse-names":false,"suffix":""},{"dropping-particle":"","family":"Shen","given":"Feng","non-dropping-particle":"","parse-names":false,"suffix":""},{"dropping-particle":"","family":"Lau","given":"Wan Yee","non-dropping-particle":"","parse-names":false,"suffix":""}],"container-title":"Journal of gastroenterology and hepatology","id":"ITEM-4","issue":"2","issued":{"date-parts":[["2018","2"]]},"language":"eng","page":"347-354","publisher-place":"Australia","title":"Significance of presence of microvascular invasion in specimens obtained after  surgical treatment of hepatocellular carcinoma.","type":"article-journal","volume":"33"},"uris":["http://www.mendeley.com/documents/?uuid=42215c7e-eec1-41cf-bd33-0291289ca527"]}],"mendeley":{"formattedCitation":"(23,25,27,28)","plainTextFormattedCitation":"(23,25,27,28)","previouslyFormattedCitation":"(23,25,27,28)"},"properties":{"noteIndex":0},"schema":"https://github.com/citation-style-language/schema/raw/master/csl-citation.json"}</w:instrText>
      </w:r>
      <w:r w:rsidR="000F0DF1" w:rsidRPr="00221347">
        <w:rPr>
          <w:rFonts w:ascii="Arial" w:hAnsi="Arial" w:cs="Arial"/>
          <w:sz w:val="20"/>
          <w:szCs w:val="20"/>
        </w:rPr>
        <w:fldChar w:fldCharType="separate"/>
      </w:r>
      <w:r w:rsidR="0035699C" w:rsidRPr="0035699C">
        <w:rPr>
          <w:rFonts w:ascii="Arial" w:hAnsi="Arial" w:cs="Arial"/>
          <w:noProof/>
          <w:sz w:val="20"/>
          <w:szCs w:val="20"/>
        </w:rPr>
        <w:t>(23,25,27,28)</w:t>
      </w:r>
      <w:r w:rsidR="000F0DF1" w:rsidRPr="00221347">
        <w:rPr>
          <w:rFonts w:ascii="Arial" w:hAnsi="Arial" w:cs="Arial"/>
          <w:sz w:val="20"/>
          <w:szCs w:val="20"/>
        </w:rPr>
        <w:fldChar w:fldCharType="end"/>
      </w:r>
      <w:r w:rsidR="00EB5E4A" w:rsidRPr="00221347">
        <w:rPr>
          <w:rFonts w:ascii="Arial" w:hAnsi="Arial" w:cs="Arial"/>
          <w:sz w:val="20"/>
          <w:szCs w:val="20"/>
        </w:rPr>
        <w:t>.</w:t>
      </w:r>
      <w:r w:rsidR="001412A7" w:rsidRPr="00221347">
        <w:rPr>
          <w:rFonts w:ascii="Arial" w:hAnsi="Arial" w:cs="Arial"/>
          <w:sz w:val="20"/>
          <w:szCs w:val="20"/>
        </w:rPr>
        <w:t xml:space="preserve"> </w:t>
      </w:r>
      <w:r w:rsidR="002B4C7D" w:rsidRPr="00221347">
        <w:rPr>
          <w:rFonts w:ascii="Arial" w:hAnsi="Arial" w:cs="Arial"/>
          <w:sz w:val="20"/>
          <w:szCs w:val="20"/>
        </w:rPr>
        <w:t>A análise por tomografia computadorizada (TC)</w:t>
      </w:r>
      <w:r w:rsidR="00A05746" w:rsidRPr="00221347">
        <w:rPr>
          <w:rFonts w:ascii="Arial" w:hAnsi="Arial" w:cs="Arial"/>
          <w:sz w:val="20"/>
          <w:szCs w:val="20"/>
        </w:rPr>
        <w:t>, por exemplo,</w:t>
      </w:r>
      <w:r w:rsidR="002B4C7D" w:rsidRPr="00221347">
        <w:rPr>
          <w:rFonts w:ascii="Arial" w:hAnsi="Arial" w:cs="Arial"/>
          <w:sz w:val="20"/>
          <w:szCs w:val="20"/>
        </w:rPr>
        <w:t xml:space="preserve"> não conferiu predição à IMV e, até o momento, não existem outros métodos</w:t>
      </w:r>
      <w:r w:rsidR="007E6D55" w:rsidRPr="00221347">
        <w:rPr>
          <w:rFonts w:ascii="Arial" w:hAnsi="Arial" w:cs="Arial"/>
          <w:sz w:val="20"/>
          <w:szCs w:val="20"/>
        </w:rPr>
        <w:t xml:space="preserve"> comprovadamente</w:t>
      </w:r>
      <w:r w:rsidR="002B4C7D" w:rsidRPr="00221347">
        <w:rPr>
          <w:rFonts w:ascii="Arial" w:hAnsi="Arial" w:cs="Arial"/>
          <w:sz w:val="20"/>
          <w:szCs w:val="20"/>
        </w:rPr>
        <w:t xml:space="preserve"> capazes </w:t>
      </w:r>
      <w:r w:rsidR="00D26683" w:rsidRPr="00221347">
        <w:rPr>
          <w:rFonts w:ascii="Arial" w:hAnsi="Arial" w:cs="Arial"/>
          <w:sz w:val="20"/>
          <w:szCs w:val="20"/>
        </w:rPr>
        <w:t>de</w:t>
      </w:r>
      <w:r w:rsidR="002B4C7D" w:rsidRPr="00221347">
        <w:rPr>
          <w:rFonts w:ascii="Arial" w:hAnsi="Arial" w:cs="Arial"/>
          <w:sz w:val="20"/>
          <w:szCs w:val="20"/>
        </w:rPr>
        <w:t xml:space="preserve"> predizer a ocorrência de IMV</w:t>
      </w:r>
      <w:r w:rsidR="00EF6C48" w:rsidRPr="00221347">
        <w:rPr>
          <w:rFonts w:ascii="Arial" w:hAnsi="Arial" w:cs="Arial"/>
          <w:sz w:val="20"/>
          <w:szCs w:val="20"/>
        </w:rPr>
        <w:t xml:space="preserve"> de forma geral</w:t>
      </w:r>
      <w:r w:rsidR="002B4C7D" w:rsidRPr="00221347">
        <w:rPr>
          <w:rFonts w:ascii="Arial" w:hAnsi="Arial" w:cs="Arial"/>
          <w:sz w:val="20"/>
          <w:szCs w:val="20"/>
        </w:rPr>
        <w:t xml:space="preserve"> </w:t>
      </w:r>
      <w:r w:rsidR="002B4C7D"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{"citationItems":[{"id":"ITEM-1","itemData":{"DOI":"10.1590/0100-3984.2018.0123","ISBN":"0000000346917","ISSN":"01003984","abstract":"Objective: To investigate whether quantitative computed tomography (CT) measurements can predict microvascular invasion (MVI) in hepatocellular carcinoma (HCC). Materials and Methods: This was a retrospective analysis of 200 cases of surgically proven HCCs in 125 consecutive patients evaluated between March 2010 and November 2017. We quantitatively measured regions of interest in lesions and adjacent areas of the liver on unenhanced CT scans, as well as in the arterial, portal venous, and equilibrium phases on contrast-enhanced CT scans. Enhancement profiles were analyzed and compared with histopathological references of MVI. Univariate and multivariate logistic regression analyses were used in order to evaluate CT parameters as potential predictors of MVI. Results: Of the 200 HCCs, 77 (38.5%) showed evidence of MVI on histopathological analysis. There was no statistical difference between HCCs with MVI and those without, in terms of the percentage attenuation ratio in the portal venous phase (114.7 vs. 115.8) and equilibrium phase (126.7 vs. 128.2), as well as in terms of the relative washout ratio, also in the portal venous and equilibrium phases (15.0 vs. 8.2 and 31.4 vs. 26.3, respectively). Conclusion: Quantitative dynamic CT parameters measured in the preoperative period do not appear to correlate with MVI in HCC.","author":[{"dropping-particle":"","family":"Lahan-Martins","given":"Daniel","non-dropping-particle":"","parse-names":false,"suffix":""},{"dropping-particle":"","family":"Perales","given":"Simone Reges","non-dropping-particle":"","parse-names":false,"suffix":""},{"dropping-particle":"","family":"Gallani","given":"Stephanie Kilaris","non-dropping-particle":"","parse-names":false,"suffix":""},{"dropping-particle":"da","family":"Costa","given":"Larissa Bastos Eloy","non-dropping-particle":"","parse-names":false,"suffix":""},{"dropping-particle":"","family":"Lago","given":"Eduardo Andreazza Dal","non-dropping-particle":"","parse-names":false,"suffix":""},{"dropping-particle":"","family":"Boin","given":"Ilka de Fátima Santana Ferreira","non-dropping-particle":"","parse-names":false,"suffix":""},{"dropping-particle":"","family":"Caserta","given":"Nelson Marcio Gomes","non-dropping-particle":"","parse-names":false,"suffix":""},{"dropping-particle":"","family":"Ataide","given":"Elaine Cristina","non-dropping-particle":"de","parse-names":false,"suffix":""}],"container-title":"Radiologia Brasileira","id":"ITEM-1","issue":"5","issued":{"date-parts":[["2019"]]},"page":"287-292","title":"Microvascular invasion in hepatocellular carcinoma: Is it predictable with quantitative computed tomography parameters?","type":"article-journal","volume":"52"},"uris":["http://www.mendeley.com/documents/?uuid=2587f9c7-221f-4826-a882-f7522b051dd2","http://www.mendeley.com/documents/?uuid=4e53ba6c-544b-44dc-aa4c-2dc914a59ec3"]}],"mendeley":{"formattedCitation":"(29)","plainTextFormattedCitation":"(29)","previouslyFormattedCitation":"(29)"},"properties":{"noteIndex":0},"schema":"https://github.com/citation-style-language/schema/raw/master/csl-citation.json"}</w:instrText>
      </w:r>
      <w:r w:rsidR="002B4C7D" w:rsidRPr="00221347">
        <w:rPr>
          <w:rFonts w:ascii="Arial" w:hAnsi="Arial" w:cs="Arial"/>
          <w:sz w:val="20"/>
          <w:szCs w:val="20"/>
        </w:rPr>
        <w:fldChar w:fldCharType="separate"/>
      </w:r>
      <w:r w:rsidR="0035699C" w:rsidRPr="0035699C">
        <w:rPr>
          <w:rFonts w:ascii="Arial" w:hAnsi="Arial" w:cs="Arial"/>
          <w:noProof/>
          <w:sz w:val="20"/>
          <w:szCs w:val="20"/>
        </w:rPr>
        <w:t>(29)</w:t>
      </w:r>
      <w:r w:rsidR="002B4C7D" w:rsidRPr="00221347">
        <w:rPr>
          <w:rFonts w:ascii="Arial" w:hAnsi="Arial" w:cs="Arial"/>
          <w:sz w:val="20"/>
          <w:szCs w:val="20"/>
        </w:rPr>
        <w:fldChar w:fldCharType="end"/>
      </w:r>
      <w:r w:rsidR="002B4C7D" w:rsidRPr="00221347">
        <w:rPr>
          <w:rFonts w:ascii="Arial" w:hAnsi="Arial" w:cs="Arial"/>
          <w:sz w:val="20"/>
          <w:szCs w:val="20"/>
        </w:rPr>
        <w:t>.</w:t>
      </w:r>
      <w:r w:rsidR="007552E8" w:rsidRPr="00221347">
        <w:rPr>
          <w:rFonts w:ascii="Arial" w:eastAsia="Raleway" w:hAnsi="Arial" w:cs="Arial"/>
          <w:sz w:val="20"/>
          <w:szCs w:val="20"/>
        </w:rPr>
        <w:t xml:space="preserve"> </w:t>
      </w:r>
      <w:r w:rsidR="004C3D32" w:rsidRPr="00221347">
        <w:rPr>
          <w:rFonts w:ascii="Arial" w:eastAsia="Raleway" w:hAnsi="Arial" w:cs="Arial"/>
          <w:sz w:val="20"/>
          <w:szCs w:val="20"/>
        </w:rPr>
        <w:t>No entanto, estudos mostraram</w:t>
      </w:r>
      <w:r w:rsidR="006E215C" w:rsidRPr="00221347">
        <w:rPr>
          <w:rFonts w:ascii="Arial" w:eastAsia="Raleway" w:hAnsi="Arial" w:cs="Arial"/>
          <w:sz w:val="20"/>
          <w:szCs w:val="20"/>
        </w:rPr>
        <w:t xml:space="preserve"> que </w:t>
      </w:r>
      <w:r w:rsidR="004C3D32" w:rsidRPr="00221347">
        <w:rPr>
          <w:rFonts w:ascii="Arial" w:eastAsia="Raleway" w:hAnsi="Arial" w:cs="Arial"/>
          <w:sz w:val="20"/>
          <w:szCs w:val="20"/>
        </w:rPr>
        <w:t>níveis</w:t>
      </w:r>
      <w:r w:rsidR="009C01F6" w:rsidRPr="00221347">
        <w:rPr>
          <w:rFonts w:ascii="Arial" w:eastAsia="Raleway" w:hAnsi="Arial" w:cs="Arial"/>
          <w:sz w:val="20"/>
          <w:szCs w:val="20"/>
        </w:rPr>
        <w:t xml:space="preserve"> séricos</w:t>
      </w:r>
      <w:r w:rsidR="009B482A" w:rsidRPr="00221347">
        <w:rPr>
          <w:rFonts w:ascii="Arial" w:eastAsia="Raleway" w:hAnsi="Arial" w:cs="Arial"/>
          <w:sz w:val="20"/>
          <w:szCs w:val="20"/>
        </w:rPr>
        <w:t xml:space="preserve"> de alguns </w:t>
      </w:r>
      <w:r w:rsidR="00555CAA" w:rsidRPr="00221347">
        <w:rPr>
          <w:rFonts w:ascii="Arial" w:eastAsia="Raleway" w:hAnsi="Arial" w:cs="Arial"/>
          <w:sz w:val="20"/>
          <w:szCs w:val="20"/>
        </w:rPr>
        <w:t>marcadores</w:t>
      </w:r>
      <w:r w:rsidR="009B482A" w:rsidRPr="00221347">
        <w:rPr>
          <w:rFonts w:ascii="Arial" w:eastAsia="Raleway" w:hAnsi="Arial" w:cs="Arial"/>
          <w:sz w:val="20"/>
          <w:szCs w:val="20"/>
        </w:rPr>
        <w:t>, como</w:t>
      </w:r>
      <w:r w:rsidR="004C3D32" w:rsidRPr="00221347">
        <w:rPr>
          <w:rFonts w:ascii="Arial" w:eastAsia="Raleway" w:hAnsi="Arial" w:cs="Arial"/>
          <w:sz w:val="20"/>
          <w:szCs w:val="20"/>
        </w:rPr>
        <w:t xml:space="preserve"> </w:t>
      </w:r>
      <w:proofErr w:type="spellStart"/>
      <w:r w:rsidR="004C3D32" w:rsidRPr="00221347">
        <w:rPr>
          <w:rFonts w:ascii="Arial" w:eastAsia="Raleway" w:hAnsi="Arial" w:cs="Arial"/>
          <w:sz w:val="20"/>
          <w:szCs w:val="20"/>
        </w:rPr>
        <w:t>alfafetoproteína</w:t>
      </w:r>
      <w:proofErr w:type="spellEnd"/>
      <w:r w:rsidR="007F0ED7" w:rsidRPr="00221347">
        <w:rPr>
          <w:rFonts w:ascii="Arial" w:eastAsia="Raleway" w:hAnsi="Arial" w:cs="Arial"/>
          <w:sz w:val="20"/>
          <w:szCs w:val="20"/>
        </w:rPr>
        <w:t xml:space="preserve"> (AFP)</w:t>
      </w:r>
      <w:r w:rsidR="009B482A" w:rsidRPr="00221347">
        <w:rPr>
          <w:rFonts w:ascii="Arial" w:eastAsia="Raleway" w:hAnsi="Arial" w:cs="Arial"/>
          <w:sz w:val="20"/>
          <w:szCs w:val="20"/>
        </w:rPr>
        <w:t xml:space="preserve"> e </w:t>
      </w:r>
      <w:r w:rsidR="007F0ED7" w:rsidRPr="00221347">
        <w:rPr>
          <w:rFonts w:ascii="Arial" w:eastAsia="Raleway" w:hAnsi="Arial" w:cs="Arial"/>
          <w:sz w:val="20"/>
          <w:szCs w:val="20"/>
        </w:rPr>
        <w:t xml:space="preserve">Gama GT, </w:t>
      </w:r>
      <w:r w:rsidR="007C005D" w:rsidRPr="00221347">
        <w:rPr>
          <w:rFonts w:ascii="Arial" w:eastAsia="Raleway" w:hAnsi="Arial" w:cs="Arial"/>
          <w:sz w:val="20"/>
          <w:szCs w:val="20"/>
        </w:rPr>
        <w:t>podem predizer</w:t>
      </w:r>
      <w:r w:rsidR="00555CAA" w:rsidRPr="00221347">
        <w:rPr>
          <w:rFonts w:ascii="Arial" w:eastAsia="Raleway" w:hAnsi="Arial" w:cs="Arial"/>
          <w:sz w:val="20"/>
          <w:szCs w:val="20"/>
        </w:rPr>
        <w:t xml:space="preserve"> </w:t>
      </w:r>
      <w:r w:rsidR="006E215C" w:rsidRPr="00221347">
        <w:rPr>
          <w:rFonts w:ascii="Arial" w:eastAsia="Raleway" w:hAnsi="Arial" w:cs="Arial"/>
          <w:sz w:val="20"/>
          <w:szCs w:val="20"/>
        </w:rPr>
        <w:t xml:space="preserve">a presença de IMV em pacientes </w:t>
      </w:r>
      <w:r w:rsidR="00A93FB5" w:rsidRPr="00221347">
        <w:rPr>
          <w:rFonts w:ascii="Arial" w:eastAsia="Raleway" w:hAnsi="Arial" w:cs="Arial"/>
          <w:sz w:val="20"/>
          <w:szCs w:val="20"/>
        </w:rPr>
        <w:t>com múltiplos nódulos hepáticos</w:t>
      </w:r>
      <w:r w:rsidR="00A21032" w:rsidRPr="00221347">
        <w:rPr>
          <w:rFonts w:ascii="Arial" w:eastAsia="Raleway" w:hAnsi="Arial" w:cs="Arial"/>
          <w:sz w:val="20"/>
          <w:szCs w:val="20"/>
        </w:rPr>
        <w:t xml:space="preserve"> </w:t>
      </w:r>
      <w:r w:rsidR="00A21032" w:rsidRPr="00221347">
        <w:rPr>
          <w:rFonts w:ascii="Arial" w:eastAsia="Raleway" w:hAnsi="Arial" w:cs="Arial"/>
          <w:sz w:val="20"/>
          <w:szCs w:val="20"/>
        </w:rPr>
        <w:fldChar w:fldCharType="begin" w:fldLock="1"/>
      </w:r>
      <w:r w:rsidR="00DB0085">
        <w:rPr>
          <w:rFonts w:ascii="Arial" w:eastAsia="Raleway" w:hAnsi="Arial" w:cs="Arial"/>
          <w:sz w:val="20"/>
          <w:szCs w:val="20"/>
        </w:rPr>
        <w:instrText>ADDIN CSL_CITATION {"citationItems":[{"id":"ITEM-1","itemData":{"DOI":"10.1016/j.ejso.2013.04.003","ISSN":"15322157","PMID":"23669199","abstract":"Background The preoperative predictors of microvascular invasion (MVI) in multinodular hepatocellular carcinoma (HCC) are currently unclear. Methods We retrospectively analyzed 266 patients who underwent potentially curative resection of multinodular HCC. MVI was diagnosed on pathological examination in 64 patients. Preoperative risk factors for MVI were identified and survival curves were analyzed. Results Patients with MVI had significantly lower overall and recurrence-free survival rates than those without MVI (overall survival, 1 year: 86% vs. 71%, 3 years: 58% vs. 16%; recurrence-free survival, 1 year: 69% vs. 12%; 3 years: 48% vs. 12%; both P &lt; 0.001). Multivariate analysis showed that serum alpha-fetoprotein (AFP) level &gt;400 μg/L (odds ratio [OR] = 3.732, P = 0.016), serum gamma-glutamyltransferase (GGT) level &gt;130 U/L (OR = 19.779, P &lt; 0.001), total tumor diameter &gt;8 cm (OR = 5.545, P = 0.010), and tumor number &gt;3 (OR = 11.566, P = 0.007) were independent predictors of MVI. A scoring system was constructed, and the MVI rate was significantly higher in patients with a score of ≥3 than those with a score of &lt;3 (64.1% vs. 10.9%, P &lt; 0.001). Overall and recurrence-free survival rates were significantly lower in patients with a score of ≥3 (both P &lt; 0.001). Conclusions Serum AFP level &gt;400 μg/L, serum GGT level &gt;130 U/L, total tumor diameter &gt;8 cm, and tumor number &gt;3 were preoperative predictors of MVI in patients with multinodular HCC. In patients with a high risk of MVI and well-preserved liver function, anatomic resection may be worth considering. © 2013 Elsevier Ltd. All rights reserved.","author":[{"dropping-particle":"","family":"Zhao","given":"W. C.","non-dropping-particle":"","parse-names":false,"suffix":""},{"dropping-particle":"","family":"Fan","given":"L. F.","non-dropping-particle":"","parse-names":false,"suffix":""},{"dropping-particle":"","family":"Yang","given":"N.","non-dropping-particle":"","parse-names":false,"suffix":""},{"dropping-particle":"","family":"Zhang","given":"H. B.","non-dropping-particle":"","parse-names":false,"suffix":""},{"dropping-particle":"","family":"Chen","given":"B. D.","non-dropping-particle":"","parse-names":false,"suffix":""},{"dropping-particle":"","family":"Yang","given":"G. S.","non-dropping-particle":"","parse-names":false,"suffix":""}],"container-title":"European Journal of Surgical Oncology","id":"ITEM-1","issue":"8","issued":{"date-parts":[["2013","8"]]},"language":"eng","page":"858-864","publisher-place":"England","title":"Preoperative predictors of microvascular invasion in multinodular hepatocellular carcinoma","type":"article-journal","volume":"39"},"uris":["http://www.mendeley.com/documents/?uuid=b61c8a92-626f-464e-999b-d7c81984e26c","http://www.mendeley.com/documents/?uuid=bf824945-1a03-4bb4-babf-28d651bb7d98"]}],"mendeley":{"formattedCitation":"(25)","plainTextFormattedCitation":"(25)","previouslyFormattedCitation":"(25)"},"properties":{"noteIndex":0},"schema":"https://github.com/citation-style-language/schema/raw/master/csl-citation.json"}</w:instrText>
      </w:r>
      <w:r w:rsidR="00A21032" w:rsidRPr="00221347">
        <w:rPr>
          <w:rFonts w:ascii="Arial" w:eastAsia="Raleway" w:hAnsi="Arial" w:cs="Arial"/>
          <w:sz w:val="20"/>
          <w:szCs w:val="20"/>
        </w:rPr>
        <w:fldChar w:fldCharType="separate"/>
      </w:r>
      <w:r w:rsidR="0035699C" w:rsidRPr="0035699C">
        <w:rPr>
          <w:rFonts w:ascii="Arial" w:eastAsia="Raleway" w:hAnsi="Arial" w:cs="Arial"/>
          <w:noProof/>
          <w:sz w:val="20"/>
          <w:szCs w:val="20"/>
        </w:rPr>
        <w:t>(25)</w:t>
      </w:r>
      <w:r w:rsidR="00A21032" w:rsidRPr="00221347">
        <w:rPr>
          <w:rFonts w:ascii="Arial" w:eastAsia="Raleway" w:hAnsi="Arial" w:cs="Arial"/>
          <w:sz w:val="20"/>
          <w:szCs w:val="20"/>
        </w:rPr>
        <w:fldChar w:fldCharType="end"/>
      </w:r>
      <w:r w:rsidR="00A93FB5" w:rsidRPr="00221347">
        <w:rPr>
          <w:rFonts w:ascii="Arial" w:eastAsia="Raleway" w:hAnsi="Arial" w:cs="Arial"/>
          <w:sz w:val="20"/>
          <w:szCs w:val="20"/>
        </w:rPr>
        <w:t xml:space="preserve">. </w:t>
      </w:r>
    </w:p>
    <w:p w14:paraId="3C79E295" w14:textId="682D17EC" w:rsidR="00B639C2" w:rsidRPr="00221347" w:rsidRDefault="00005D47" w:rsidP="00D9487C">
      <w:pPr>
        <w:spacing w:line="360" w:lineRule="auto"/>
        <w:ind w:firstLine="708"/>
        <w:jc w:val="both"/>
        <w:rPr>
          <w:rFonts w:ascii="Arial" w:hAnsi="Arial" w:cs="Arial"/>
          <w:color w:val="000000"/>
          <w:sz w:val="20"/>
          <w:szCs w:val="20"/>
        </w:rPr>
      </w:pPr>
      <w:r w:rsidRPr="00221347">
        <w:rPr>
          <w:rFonts w:ascii="Arial" w:hAnsi="Arial" w:cs="Arial"/>
          <w:color w:val="000000"/>
          <w:sz w:val="20"/>
          <w:szCs w:val="20"/>
        </w:rPr>
        <w:t>Sendo assim, a</w:t>
      </w:r>
      <w:r w:rsidR="008C0614" w:rsidRPr="00221347">
        <w:rPr>
          <w:rFonts w:ascii="Arial" w:hAnsi="Arial" w:cs="Arial"/>
          <w:color w:val="000000"/>
          <w:sz w:val="20"/>
          <w:szCs w:val="20"/>
        </w:rPr>
        <w:t xml:space="preserve">ntever </w:t>
      </w:r>
      <w:r w:rsidRPr="00221347">
        <w:rPr>
          <w:rFonts w:ascii="Arial" w:hAnsi="Arial" w:cs="Arial"/>
          <w:color w:val="000000"/>
          <w:sz w:val="20"/>
          <w:szCs w:val="20"/>
        </w:rPr>
        <w:t>IMV</w:t>
      </w:r>
      <w:r w:rsidR="00000C00" w:rsidRPr="00221347">
        <w:rPr>
          <w:rFonts w:ascii="Arial" w:hAnsi="Arial" w:cs="Arial"/>
          <w:color w:val="000000"/>
          <w:sz w:val="20"/>
          <w:szCs w:val="20"/>
        </w:rPr>
        <w:t xml:space="preserve"> </w:t>
      </w:r>
      <w:r w:rsidR="007E6D55" w:rsidRPr="00221347">
        <w:rPr>
          <w:rFonts w:ascii="Arial" w:hAnsi="Arial" w:cs="Arial"/>
          <w:color w:val="000000"/>
          <w:sz w:val="20"/>
          <w:szCs w:val="20"/>
        </w:rPr>
        <w:t xml:space="preserve">ou </w:t>
      </w:r>
      <w:r w:rsidR="007D49CC" w:rsidRPr="00221347">
        <w:rPr>
          <w:rFonts w:ascii="Arial" w:hAnsi="Arial" w:cs="Arial"/>
          <w:color w:val="000000"/>
          <w:sz w:val="20"/>
          <w:szCs w:val="20"/>
        </w:rPr>
        <w:t>determinar fatores</w:t>
      </w:r>
      <w:r w:rsidR="000301D9" w:rsidRPr="00221347">
        <w:rPr>
          <w:rFonts w:ascii="Arial" w:hAnsi="Arial" w:cs="Arial"/>
          <w:color w:val="000000"/>
          <w:sz w:val="20"/>
          <w:szCs w:val="20"/>
        </w:rPr>
        <w:t xml:space="preserve"> clínicos</w:t>
      </w:r>
      <w:r w:rsidR="007D49CC" w:rsidRPr="00221347">
        <w:rPr>
          <w:rFonts w:ascii="Arial" w:hAnsi="Arial" w:cs="Arial"/>
          <w:color w:val="000000"/>
          <w:sz w:val="20"/>
          <w:szCs w:val="20"/>
        </w:rPr>
        <w:t xml:space="preserve"> relacionados</w:t>
      </w:r>
      <w:r w:rsidRPr="00221347">
        <w:rPr>
          <w:rFonts w:ascii="Arial" w:hAnsi="Arial" w:cs="Arial"/>
          <w:color w:val="000000"/>
          <w:sz w:val="20"/>
          <w:szCs w:val="20"/>
        </w:rPr>
        <w:t xml:space="preserve"> </w:t>
      </w:r>
      <w:r w:rsidR="00176EE5" w:rsidRPr="00221347">
        <w:rPr>
          <w:rFonts w:ascii="Arial" w:hAnsi="Arial" w:cs="Arial"/>
          <w:color w:val="000000"/>
          <w:sz w:val="20"/>
          <w:szCs w:val="20"/>
        </w:rPr>
        <w:t>poder</w:t>
      </w:r>
      <w:r w:rsidR="007E6D55" w:rsidRPr="00221347">
        <w:rPr>
          <w:rFonts w:ascii="Arial" w:hAnsi="Arial" w:cs="Arial"/>
          <w:color w:val="000000"/>
          <w:sz w:val="20"/>
          <w:szCs w:val="20"/>
        </w:rPr>
        <w:t>á</w:t>
      </w:r>
      <w:r w:rsidRPr="00221347">
        <w:rPr>
          <w:rFonts w:ascii="Arial" w:hAnsi="Arial" w:cs="Arial"/>
          <w:color w:val="000000"/>
          <w:sz w:val="20"/>
          <w:szCs w:val="20"/>
        </w:rPr>
        <w:t xml:space="preserve"> auxiliar no manejo operatório e </w:t>
      </w:r>
      <w:r w:rsidR="005743AC" w:rsidRPr="00221347">
        <w:rPr>
          <w:rFonts w:ascii="Arial" w:hAnsi="Arial" w:cs="Arial"/>
          <w:color w:val="000000"/>
          <w:sz w:val="20"/>
          <w:szCs w:val="20"/>
        </w:rPr>
        <w:t xml:space="preserve">no </w:t>
      </w:r>
      <w:r w:rsidRPr="00221347">
        <w:rPr>
          <w:rFonts w:ascii="Arial" w:hAnsi="Arial" w:cs="Arial"/>
          <w:color w:val="000000"/>
          <w:sz w:val="20"/>
          <w:szCs w:val="20"/>
        </w:rPr>
        <w:t>planejamento terapêutico, podendo impactar positivamente no prognóstico da doença</w:t>
      </w:r>
      <w:r w:rsidR="0021656E" w:rsidRPr="00221347">
        <w:rPr>
          <w:rFonts w:ascii="Arial" w:hAnsi="Arial" w:cs="Arial"/>
          <w:color w:val="000000"/>
          <w:sz w:val="20"/>
          <w:szCs w:val="20"/>
        </w:rPr>
        <w:t xml:space="preserve"> e </w:t>
      </w:r>
      <w:r w:rsidRPr="00221347">
        <w:rPr>
          <w:rFonts w:ascii="Arial" w:hAnsi="Arial" w:cs="Arial"/>
          <w:color w:val="000000"/>
          <w:sz w:val="20"/>
          <w:szCs w:val="20"/>
        </w:rPr>
        <w:t xml:space="preserve">na sobrevida do paciente. </w:t>
      </w:r>
      <w:r w:rsidR="00B639C2" w:rsidRPr="00221347">
        <w:rPr>
          <w:rFonts w:ascii="Arial" w:hAnsi="Arial" w:cs="Arial"/>
          <w:color w:val="000000" w:themeColor="text1"/>
          <w:sz w:val="20"/>
          <w:szCs w:val="20"/>
        </w:rPr>
        <w:t>Nesse aspecto, o presente estudo se pautará em uma análise retrospectiva</w:t>
      </w:r>
      <w:r w:rsidR="00DE134C" w:rsidRPr="00221347">
        <w:rPr>
          <w:rFonts w:ascii="Arial" w:hAnsi="Arial" w:cs="Arial"/>
          <w:color w:val="000000" w:themeColor="text1"/>
          <w:sz w:val="20"/>
          <w:szCs w:val="20"/>
        </w:rPr>
        <w:t xml:space="preserve"> de pacientes submetidos ao transplante hepático</w:t>
      </w:r>
      <w:r w:rsidR="001F0D98" w:rsidRPr="00221347">
        <w:rPr>
          <w:rFonts w:ascii="Arial" w:hAnsi="Arial" w:cs="Arial"/>
          <w:color w:val="000000" w:themeColor="text1"/>
          <w:sz w:val="20"/>
          <w:szCs w:val="20"/>
        </w:rPr>
        <w:t xml:space="preserve">, a fim de determinar se </w:t>
      </w:r>
      <w:r w:rsidR="00902D1A" w:rsidRPr="00221347">
        <w:rPr>
          <w:rFonts w:ascii="Arial" w:hAnsi="Arial" w:cs="Arial"/>
          <w:color w:val="000000" w:themeColor="text1"/>
          <w:sz w:val="20"/>
          <w:szCs w:val="20"/>
        </w:rPr>
        <w:t xml:space="preserve">a etiologia </w:t>
      </w:r>
      <w:r w:rsidR="00ED1C18" w:rsidRPr="00221347">
        <w:rPr>
          <w:rFonts w:ascii="Arial" w:hAnsi="Arial" w:cs="Arial"/>
          <w:color w:val="000000" w:themeColor="text1"/>
          <w:sz w:val="20"/>
          <w:szCs w:val="20"/>
        </w:rPr>
        <w:t>da hepatopatia</w:t>
      </w:r>
      <w:r w:rsidR="0031477F" w:rsidRPr="00221347">
        <w:rPr>
          <w:rFonts w:ascii="Arial" w:hAnsi="Arial" w:cs="Arial"/>
          <w:color w:val="000000" w:themeColor="text1"/>
          <w:sz w:val="20"/>
          <w:szCs w:val="20"/>
        </w:rPr>
        <w:t xml:space="preserve"> </w:t>
      </w:r>
      <w:r w:rsidR="007D75FB" w:rsidRPr="00221347">
        <w:rPr>
          <w:rFonts w:ascii="Arial" w:hAnsi="Arial" w:cs="Arial"/>
          <w:color w:val="000000" w:themeColor="text1"/>
          <w:sz w:val="20"/>
          <w:szCs w:val="20"/>
        </w:rPr>
        <w:t>foi</w:t>
      </w:r>
      <w:r w:rsidR="00290792" w:rsidRPr="00221347">
        <w:rPr>
          <w:rFonts w:ascii="Arial" w:hAnsi="Arial" w:cs="Arial"/>
          <w:color w:val="000000" w:themeColor="text1"/>
          <w:sz w:val="20"/>
          <w:szCs w:val="20"/>
        </w:rPr>
        <w:t xml:space="preserve"> capaz de predizer </w:t>
      </w:r>
      <w:r w:rsidR="004620BB" w:rsidRPr="00221347">
        <w:rPr>
          <w:rFonts w:ascii="Arial" w:hAnsi="Arial" w:cs="Arial"/>
          <w:color w:val="000000" w:themeColor="text1"/>
          <w:sz w:val="20"/>
          <w:szCs w:val="20"/>
        </w:rPr>
        <w:t>a ocorrência de invasão microvascular</w:t>
      </w:r>
      <w:r w:rsidR="007E6D55" w:rsidRPr="00221347">
        <w:rPr>
          <w:rFonts w:ascii="Arial" w:hAnsi="Arial" w:cs="Arial"/>
          <w:color w:val="000000" w:themeColor="text1"/>
          <w:sz w:val="20"/>
          <w:szCs w:val="20"/>
        </w:rPr>
        <w:t>, além de discutir as características clínico-epidemiológicas de todos os transplantados.</w:t>
      </w:r>
      <w:r w:rsidR="00C54B1F" w:rsidRPr="00D80D14">
        <w:rPr>
          <w:rFonts w:ascii="Arial" w:hAnsi="Arial" w:cs="Arial"/>
          <w:color w:val="000000" w:themeColor="text1"/>
          <w:sz w:val="20"/>
          <w:szCs w:val="20"/>
        </w:rPr>
        <w:t xml:space="preserve"> </w:t>
      </w:r>
    </w:p>
    <w:p w14:paraId="20E57788" w14:textId="63FC27A9" w:rsidR="005E7CAB" w:rsidRPr="00221347" w:rsidRDefault="005E7CAB" w:rsidP="0068402D">
      <w:pPr>
        <w:spacing w:line="360" w:lineRule="auto"/>
        <w:jc w:val="both"/>
        <w:rPr>
          <w:rFonts w:ascii="Arial" w:hAnsi="Arial" w:cs="Arial"/>
          <w:sz w:val="20"/>
          <w:szCs w:val="20"/>
        </w:rPr>
      </w:pPr>
    </w:p>
    <w:p w14:paraId="686C932A" w14:textId="486F0C1C" w:rsidR="00A80F7B" w:rsidRPr="00221347" w:rsidRDefault="002B0A2A" w:rsidP="0068402D">
      <w:pPr>
        <w:spacing w:line="360" w:lineRule="auto"/>
        <w:jc w:val="both"/>
        <w:rPr>
          <w:rFonts w:ascii="Arial" w:hAnsi="Arial" w:cs="Arial"/>
          <w:b/>
          <w:sz w:val="20"/>
          <w:szCs w:val="20"/>
        </w:rPr>
      </w:pPr>
      <w:r w:rsidRPr="00221347">
        <w:rPr>
          <w:rFonts w:ascii="Arial" w:hAnsi="Arial" w:cs="Arial"/>
          <w:b/>
          <w:sz w:val="20"/>
          <w:szCs w:val="20"/>
        </w:rPr>
        <w:t xml:space="preserve">OBJETIVOS </w:t>
      </w:r>
    </w:p>
    <w:p w14:paraId="1FAFA576" w14:textId="26EE1F58" w:rsidR="00177869" w:rsidRPr="00221347" w:rsidRDefault="007016A6" w:rsidP="0068402D">
      <w:pPr>
        <w:spacing w:line="360" w:lineRule="auto"/>
        <w:ind w:firstLine="720"/>
        <w:jc w:val="both"/>
        <w:rPr>
          <w:rFonts w:ascii="Arial" w:hAnsi="Arial" w:cs="Arial"/>
          <w:sz w:val="20"/>
          <w:szCs w:val="20"/>
        </w:rPr>
      </w:pPr>
      <w:r w:rsidRPr="00221347">
        <w:rPr>
          <w:rFonts w:ascii="Arial" w:hAnsi="Arial" w:cs="Arial"/>
          <w:sz w:val="20"/>
          <w:szCs w:val="20"/>
        </w:rPr>
        <w:t xml:space="preserve">O objetivo </w:t>
      </w:r>
      <w:r w:rsidR="00CB5AE9" w:rsidRPr="00221347">
        <w:rPr>
          <w:rFonts w:ascii="Arial" w:hAnsi="Arial" w:cs="Arial"/>
          <w:sz w:val="20"/>
          <w:szCs w:val="20"/>
        </w:rPr>
        <w:t xml:space="preserve">deste </w:t>
      </w:r>
      <w:r w:rsidRPr="00221347">
        <w:rPr>
          <w:rFonts w:ascii="Arial" w:hAnsi="Arial" w:cs="Arial"/>
          <w:sz w:val="20"/>
          <w:szCs w:val="20"/>
        </w:rPr>
        <w:t xml:space="preserve">estudo foi </w:t>
      </w:r>
      <w:r w:rsidR="008D46B4" w:rsidRPr="00221347">
        <w:rPr>
          <w:rFonts w:ascii="Arial" w:hAnsi="Arial" w:cs="Arial"/>
          <w:sz w:val="20"/>
          <w:szCs w:val="20"/>
        </w:rPr>
        <w:t>correlacionar dados clínicos e epidemiológico com</w:t>
      </w:r>
      <w:r w:rsidR="00496309" w:rsidRPr="00221347">
        <w:rPr>
          <w:rFonts w:ascii="Arial" w:hAnsi="Arial" w:cs="Arial"/>
          <w:sz w:val="20"/>
          <w:szCs w:val="20"/>
        </w:rPr>
        <w:t xml:space="preserve"> </w:t>
      </w:r>
      <w:r w:rsidR="008D46B4" w:rsidRPr="00221347">
        <w:rPr>
          <w:rFonts w:ascii="Arial" w:hAnsi="Arial" w:cs="Arial"/>
          <w:sz w:val="20"/>
          <w:szCs w:val="20"/>
        </w:rPr>
        <w:t>a análise patológica dos explantes hepáticos</w:t>
      </w:r>
      <w:r w:rsidR="00CB5AE9" w:rsidRPr="00221347">
        <w:rPr>
          <w:rFonts w:ascii="Arial" w:hAnsi="Arial" w:cs="Arial"/>
          <w:sz w:val="20"/>
          <w:szCs w:val="20"/>
        </w:rPr>
        <w:t xml:space="preserve"> </w:t>
      </w:r>
      <w:r w:rsidR="00A44191" w:rsidRPr="00221347">
        <w:rPr>
          <w:rFonts w:ascii="Arial" w:hAnsi="Arial" w:cs="Arial"/>
          <w:sz w:val="20"/>
          <w:szCs w:val="20"/>
        </w:rPr>
        <w:t xml:space="preserve">de </w:t>
      </w:r>
      <w:r w:rsidR="00580339" w:rsidRPr="00221347">
        <w:rPr>
          <w:rFonts w:ascii="Arial" w:hAnsi="Arial" w:cs="Arial"/>
          <w:sz w:val="20"/>
          <w:szCs w:val="20"/>
        </w:rPr>
        <w:t>todos os pacientes que foram submetidos ao transplante hepático</w:t>
      </w:r>
      <w:r w:rsidR="00CD5D55" w:rsidRPr="00221347">
        <w:rPr>
          <w:rFonts w:ascii="Arial" w:hAnsi="Arial" w:cs="Arial"/>
          <w:sz w:val="20"/>
          <w:szCs w:val="20"/>
        </w:rPr>
        <w:t xml:space="preserve">, </w:t>
      </w:r>
      <w:r w:rsidR="00C31F2E" w:rsidRPr="00221347">
        <w:rPr>
          <w:rFonts w:ascii="Arial" w:hAnsi="Arial" w:cs="Arial"/>
          <w:sz w:val="20"/>
          <w:szCs w:val="20"/>
        </w:rPr>
        <w:t>no</w:t>
      </w:r>
      <w:r w:rsidR="00C86343" w:rsidRPr="00221347">
        <w:rPr>
          <w:rFonts w:ascii="Arial" w:hAnsi="Arial" w:cs="Arial"/>
          <w:sz w:val="20"/>
          <w:szCs w:val="20"/>
        </w:rPr>
        <w:t xml:space="preserve"> Hospital das Clínicas</w:t>
      </w:r>
      <w:r w:rsidR="00C31F2E" w:rsidRPr="00221347">
        <w:rPr>
          <w:rFonts w:ascii="Arial" w:hAnsi="Arial" w:cs="Arial"/>
          <w:sz w:val="20"/>
          <w:szCs w:val="20"/>
        </w:rPr>
        <w:t xml:space="preserve"> </w:t>
      </w:r>
      <w:r w:rsidR="00C86343" w:rsidRPr="00221347">
        <w:rPr>
          <w:rFonts w:ascii="Arial" w:hAnsi="Arial" w:cs="Arial"/>
          <w:sz w:val="20"/>
          <w:szCs w:val="20"/>
        </w:rPr>
        <w:t>(</w:t>
      </w:r>
      <w:r w:rsidR="00C31F2E" w:rsidRPr="00221347">
        <w:rPr>
          <w:rFonts w:ascii="Arial" w:hAnsi="Arial" w:cs="Arial"/>
          <w:sz w:val="20"/>
          <w:szCs w:val="20"/>
        </w:rPr>
        <w:t>HC</w:t>
      </w:r>
      <w:r w:rsidR="00C86343" w:rsidRPr="00221347">
        <w:rPr>
          <w:rFonts w:ascii="Arial" w:hAnsi="Arial" w:cs="Arial"/>
          <w:sz w:val="20"/>
          <w:szCs w:val="20"/>
        </w:rPr>
        <w:t>)</w:t>
      </w:r>
      <w:r w:rsidR="00C31F2E" w:rsidRPr="00221347">
        <w:rPr>
          <w:rFonts w:ascii="Arial" w:hAnsi="Arial" w:cs="Arial"/>
          <w:sz w:val="20"/>
          <w:szCs w:val="20"/>
        </w:rPr>
        <w:t xml:space="preserve"> da </w:t>
      </w:r>
      <w:r w:rsidR="00C86343" w:rsidRPr="00221347">
        <w:rPr>
          <w:rFonts w:ascii="Arial" w:hAnsi="Arial" w:cs="Arial"/>
          <w:sz w:val="20"/>
          <w:szCs w:val="20"/>
        </w:rPr>
        <w:t>Universidade Estadual de Campinas (</w:t>
      </w:r>
      <w:r w:rsidR="00C31F2E" w:rsidRPr="00221347">
        <w:rPr>
          <w:rFonts w:ascii="Arial" w:hAnsi="Arial" w:cs="Arial"/>
          <w:sz w:val="20"/>
          <w:szCs w:val="20"/>
        </w:rPr>
        <w:t>UNICAMP</w:t>
      </w:r>
      <w:r w:rsidR="00C86343" w:rsidRPr="00221347">
        <w:rPr>
          <w:rFonts w:ascii="Arial" w:hAnsi="Arial" w:cs="Arial"/>
          <w:sz w:val="20"/>
          <w:szCs w:val="20"/>
        </w:rPr>
        <w:t>)</w:t>
      </w:r>
      <w:r w:rsidR="00C31F2E" w:rsidRPr="00221347">
        <w:rPr>
          <w:rFonts w:ascii="Arial" w:hAnsi="Arial" w:cs="Arial"/>
          <w:sz w:val="20"/>
          <w:szCs w:val="20"/>
        </w:rPr>
        <w:t xml:space="preserve">, </w:t>
      </w:r>
      <w:r w:rsidR="00CD5D55" w:rsidRPr="00221347">
        <w:rPr>
          <w:rFonts w:ascii="Arial" w:hAnsi="Arial" w:cs="Arial"/>
          <w:sz w:val="20"/>
          <w:szCs w:val="20"/>
        </w:rPr>
        <w:t>no período de maio/2010 a novembro/201</w:t>
      </w:r>
      <w:r w:rsidR="00C82BDA" w:rsidRPr="00221347">
        <w:rPr>
          <w:rFonts w:ascii="Arial" w:hAnsi="Arial" w:cs="Arial"/>
          <w:sz w:val="20"/>
          <w:szCs w:val="20"/>
        </w:rPr>
        <w:t>7</w:t>
      </w:r>
      <w:r w:rsidR="00CD5D55" w:rsidRPr="00221347">
        <w:rPr>
          <w:rFonts w:ascii="Arial" w:hAnsi="Arial" w:cs="Arial"/>
          <w:sz w:val="20"/>
          <w:szCs w:val="20"/>
        </w:rPr>
        <w:t xml:space="preserve">, </w:t>
      </w:r>
      <w:r w:rsidR="00C31F2E" w:rsidRPr="00221347">
        <w:rPr>
          <w:rFonts w:ascii="Arial" w:hAnsi="Arial" w:cs="Arial"/>
          <w:sz w:val="20"/>
          <w:szCs w:val="20"/>
        </w:rPr>
        <w:t xml:space="preserve">em virtude de </w:t>
      </w:r>
      <w:proofErr w:type="spellStart"/>
      <w:r w:rsidR="00AC667D" w:rsidRPr="00221347">
        <w:rPr>
          <w:rFonts w:ascii="Arial" w:hAnsi="Arial" w:cs="Arial"/>
          <w:sz w:val="20"/>
          <w:szCs w:val="20"/>
        </w:rPr>
        <w:t>hepatocarcinoma</w:t>
      </w:r>
      <w:proofErr w:type="spellEnd"/>
      <w:r w:rsidR="00C31F2E" w:rsidRPr="00221347">
        <w:rPr>
          <w:rFonts w:ascii="Arial" w:hAnsi="Arial" w:cs="Arial"/>
          <w:sz w:val="20"/>
          <w:szCs w:val="20"/>
        </w:rPr>
        <w:t xml:space="preserve"> por</w:t>
      </w:r>
      <w:r w:rsidR="00CD5D55" w:rsidRPr="00221347">
        <w:rPr>
          <w:rFonts w:ascii="Arial" w:hAnsi="Arial" w:cs="Arial"/>
          <w:sz w:val="20"/>
          <w:szCs w:val="20"/>
        </w:rPr>
        <w:t xml:space="preserve"> </w:t>
      </w:r>
      <w:r w:rsidR="00AD7A2D" w:rsidRPr="00221347">
        <w:rPr>
          <w:rFonts w:ascii="Arial" w:hAnsi="Arial" w:cs="Arial"/>
          <w:sz w:val="20"/>
          <w:szCs w:val="20"/>
        </w:rPr>
        <w:t xml:space="preserve">cirrose </w:t>
      </w:r>
      <w:r w:rsidR="00984A1A" w:rsidRPr="00221347">
        <w:rPr>
          <w:rFonts w:ascii="Arial" w:hAnsi="Arial" w:cs="Arial"/>
          <w:sz w:val="20"/>
          <w:szCs w:val="20"/>
        </w:rPr>
        <w:t xml:space="preserve">de </w:t>
      </w:r>
      <w:r w:rsidR="00C37DA0" w:rsidRPr="00221347">
        <w:rPr>
          <w:rFonts w:ascii="Arial" w:hAnsi="Arial" w:cs="Arial"/>
          <w:sz w:val="20"/>
          <w:szCs w:val="20"/>
        </w:rPr>
        <w:t xml:space="preserve">qualquer </w:t>
      </w:r>
      <w:r w:rsidR="00984A1A" w:rsidRPr="00221347">
        <w:rPr>
          <w:rFonts w:ascii="Arial" w:hAnsi="Arial" w:cs="Arial"/>
          <w:sz w:val="20"/>
          <w:szCs w:val="20"/>
        </w:rPr>
        <w:t>etiologia</w:t>
      </w:r>
      <w:r w:rsidR="007F45D7" w:rsidRPr="00221347">
        <w:rPr>
          <w:rFonts w:ascii="Arial" w:hAnsi="Arial" w:cs="Arial"/>
          <w:sz w:val="20"/>
          <w:szCs w:val="20"/>
        </w:rPr>
        <w:t>.</w:t>
      </w:r>
      <w:r w:rsidR="00177869" w:rsidRPr="00221347">
        <w:rPr>
          <w:rFonts w:ascii="Arial" w:hAnsi="Arial" w:cs="Arial"/>
          <w:sz w:val="20"/>
          <w:szCs w:val="20"/>
        </w:rPr>
        <w:t xml:space="preserve"> Em seguida, buscou-se </w:t>
      </w:r>
      <w:r w:rsidR="00777055" w:rsidRPr="00221347">
        <w:rPr>
          <w:rFonts w:ascii="Arial" w:hAnsi="Arial" w:cs="Arial"/>
          <w:sz w:val="20"/>
          <w:szCs w:val="20"/>
        </w:rPr>
        <w:t xml:space="preserve">relacionar estatisticamente a causa </w:t>
      </w:r>
      <w:r w:rsidR="001E6CEC" w:rsidRPr="00221347">
        <w:rPr>
          <w:rFonts w:ascii="Arial" w:hAnsi="Arial" w:cs="Arial"/>
          <w:sz w:val="20"/>
          <w:szCs w:val="20"/>
        </w:rPr>
        <w:t xml:space="preserve">da hepatopatia com </w:t>
      </w:r>
      <w:r w:rsidR="001050C4" w:rsidRPr="00221347">
        <w:rPr>
          <w:rFonts w:ascii="Arial" w:hAnsi="Arial" w:cs="Arial"/>
          <w:sz w:val="20"/>
          <w:szCs w:val="20"/>
        </w:rPr>
        <w:t xml:space="preserve">o </w:t>
      </w:r>
      <w:r w:rsidR="001E6CEC" w:rsidRPr="00221347">
        <w:rPr>
          <w:rFonts w:ascii="Arial" w:hAnsi="Arial" w:cs="Arial"/>
          <w:sz w:val="20"/>
          <w:szCs w:val="20"/>
        </w:rPr>
        <w:t>desfecho de invasão microvascular</w:t>
      </w:r>
      <w:r w:rsidR="001050C4" w:rsidRPr="00221347">
        <w:rPr>
          <w:rFonts w:ascii="Arial" w:hAnsi="Arial" w:cs="Arial"/>
          <w:sz w:val="20"/>
          <w:szCs w:val="20"/>
        </w:rPr>
        <w:t xml:space="preserve"> e óbito</w:t>
      </w:r>
      <w:r w:rsidR="00440C48" w:rsidRPr="00221347">
        <w:rPr>
          <w:rFonts w:ascii="Arial" w:hAnsi="Arial" w:cs="Arial"/>
          <w:sz w:val="20"/>
          <w:szCs w:val="20"/>
        </w:rPr>
        <w:t xml:space="preserve">. Além disso, </w:t>
      </w:r>
      <w:r w:rsidR="00031D4B" w:rsidRPr="00221347">
        <w:rPr>
          <w:rFonts w:ascii="Arial" w:hAnsi="Arial" w:cs="Arial"/>
          <w:sz w:val="20"/>
          <w:szCs w:val="20"/>
        </w:rPr>
        <w:t xml:space="preserve">estabeleceu-se </w:t>
      </w:r>
      <w:r w:rsidR="000438A0" w:rsidRPr="00221347">
        <w:rPr>
          <w:rFonts w:ascii="Arial" w:hAnsi="Arial" w:cs="Arial"/>
          <w:sz w:val="20"/>
          <w:szCs w:val="20"/>
        </w:rPr>
        <w:t xml:space="preserve">verificar se os scores MELD e </w:t>
      </w:r>
      <w:proofErr w:type="spellStart"/>
      <w:r w:rsidR="000438A0" w:rsidRPr="00221347">
        <w:rPr>
          <w:rFonts w:ascii="Arial" w:hAnsi="Arial" w:cs="Arial"/>
          <w:sz w:val="20"/>
          <w:szCs w:val="20"/>
        </w:rPr>
        <w:t>MELD-Na</w:t>
      </w:r>
      <w:proofErr w:type="spellEnd"/>
      <w:r w:rsidR="000438A0" w:rsidRPr="00221347">
        <w:rPr>
          <w:rFonts w:ascii="Arial" w:hAnsi="Arial" w:cs="Arial"/>
          <w:sz w:val="20"/>
          <w:szCs w:val="20"/>
        </w:rPr>
        <w:t xml:space="preserve"> apresentaram diferença </w:t>
      </w:r>
      <w:r w:rsidR="00DB215B" w:rsidRPr="00221347">
        <w:rPr>
          <w:rFonts w:ascii="Arial" w:hAnsi="Arial" w:cs="Arial"/>
          <w:sz w:val="20"/>
          <w:szCs w:val="20"/>
        </w:rPr>
        <w:t xml:space="preserve">na sensibilidade/especificidade </w:t>
      </w:r>
      <w:r w:rsidR="000438A0" w:rsidRPr="00221347">
        <w:rPr>
          <w:rFonts w:ascii="Arial" w:hAnsi="Arial" w:cs="Arial"/>
          <w:sz w:val="20"/>
          <w:szCs w:val="20"/>
        </w:rPr>
        <w:t xml:space="preserve">para predizer o desfecho óbito nos pacientes </w:t>
      </w:r>
      <w:r w:rsidR="000A1642" w:rsidRPr="00221347">
        <w:rPr>
          <w:rFonts w:ascii="Arial" w:hAnsi="Arial" w:cs="Arial"/>
          <w:sz w:val="20"/>
          <w:szCs w:val="20"/>
        </w:rPr>
        <w:t>pós transpl</w:t>
      </w:r>
      <w:r w:rsidR="008C1DF0" w:rsidRPr="00221347">
        <w:rPr>
          <w:rFonts w:ascii="Arial" w:hAnsi="Arial" w:cs="Arial"/>
          <w:sz w:val="20"/>
          <w:szCs w:val="20"/>
        </w:rPr>
        <w:t>ante</w:t>
      </w:r>
      <w:r w:rsidR="000438A0" w:rsidRPr="00221347">
        <w:rPr>
          <w:rFonts w:ascii="Arial" w:hAnsi="Arial" w:cs="Arial"/>
          <w:sz w:val="20"/>
          <w:szCs w:val="20"/>
        </w:rPr>
        <w:t xml:space="preserve">. </w:t>
      </w:r>
    </w:p>
    <w:p w14:paraId="66A1D950" w14:textId="77777777" w:rsidR="00664542" w:rsidRPr="00221347" w:rsidRDefault="00664542" w:rsidP="0068402D">
      <w:pPr>
        <w:spacing w:line="360" w:lineRule="auto"/>
        <w:ind w:firstLine="720"/>
        <w:jc w:val="both"/>
        <w:rPr>
          <w:rFonts w:ascii="Arial" w:hAnsi="Arial" w:cs="Arial"/>
          <w:sz w:val="20"/>
          <w:szCs w:val="20"/>
        </w:rPr>
      </w:pPr>
    </w:p>
    <w:p w14:paraId="3AC7C39E" w14:textId="49610BB0" w:rsidR="001E09D0" w:rsidRPr="00221347" w:rsidRDefault="00EE3C23" w:rsidP="0068402D">
      <w:pPr>
        <w:spacing w:line="360" w:lineRule="auto"/>
        <w:jc w:val="both"/>
        <w:rPr>
          <w:rFonts w:ascii="Arial" w:hAnsi="Arial" w:cs="Arial"/>
          <w:b/>
          <w:sz w:val="20"/>
          <w:szCs w:val="20"/>
        </w:rPr>
      </w:pPr>
      <w:r w:rsidRPr="00221347">
        <w:rPr>
          <w:rFonts w:ascii="Arial" w:hAnsi="Arial" w:cs="Arial"/>
          <w:b/>
          <w:sz w:val="20"/>
          <w:szCs w:val="20"/>
        </w:rPr>
        <w:t>METODOLOGIA</w:t>
      </w:r>
      <w:r w:rsidR="006D6E79" w:rsidRPr="00221347">
        <w:rPr>
          <w:rFonts w:ascii="Arial" w:hAnsi="Arial" w:cs="Arial"/>
          <w:b/>
          <w:sz w:val="20"/>
          <w:szCs w:val="20"/>
        </w:rPr>
        <w:t xml:space="preserve"> </w:t>
      </w:r>
    </w:p>
    <w:p w14:paraId="171D6370" w14:textId="0BD76DEA" w:rsidR="00C92730" w:rsidRPr="00221347" w:rsidRDefault="0085047D" w:rsidP="0068402D">
      <w:pPr>
        <w:spacing w:line="360" w:lineRule="auto"/>
        <w:ind w:firstLine="708"/>
        <w:jc w:val="both"/>
        <w:rPr>
          <w:rFonts w:ascii="Arial" w:hAnsi="Arial" w:cs="Arial"/>
          <w:sz w:val="20"/>
          <w:szCs w:val="20"/>
        </w:rPr>
      </w:pPr>
      <w:r w:rsidRPr="00221347">
        <w:rPr>
          <w:rFonts w:ascii="Arial" w:hAnsi="Arial" w:cs="Arial"/>
          <w:sz w:val="20"/>
          <w:szCs w:val="20"/>
        </w:rPr>
        <w:lastRenderedPageBreak/>
        <w:t>Trata-se de um estudo retrospectivo, transversal, de natureza observacional com execução de abordagem quantitativa, do tipo pesquisa analítica.</w:t>
      </w:r>
      <w:r w:rsidR="003B0804" w:rsidRPr="00221347">
        <w:rPr>
          <w:rFonts w:ascii="Arial" w:hAnsi="Arial" w:cs="Arial"/>
          <w:sz w:val="20"/>
          <w:szCs w:val="20"/>
        </w:rPr>
        <w:t xml:space="preserve"> </w:t>
      </w:r>
      <w:r w:rsidR="00154C68" w:rsidRPr="00221347">
        <w:rPr>
          <w:rFonts w:ascii="Arial" w:hAnsi="Arial" w:cs="Arial"/>
          <w:sz w:val="20"/>
          <w:szCs w:val="20"/>
        </w:rPr>
        <w:t xml:space="preserve">O </w:t>
      </w:r>
      <w:r w:rsidR="006F34CA" w:rsidRPr="00221347">
        <w:rPr>
          <w:rFonts w:ascii="Arial" w:hAnsi="Arial" w:cs="Arial"/>
          <w:sz w:val="20"/>
          <w:szCs w:val="20"/>
        </w:rPr>
        <w:t xml:space="preserve">estudo </w:t>
      </w:r>
      <w:r w:rsidR="00042A22" w:rsidRPr="00221347">
        <w:rPr>
          <w:rFonts w:ascii="Arial" w:hAnsi="Arial" w:cs="Arial"/>
          <w:sz w:val="20"/>
          <w:szCs w:val="20"/>
        </w:rPr>
        <w:t>consistiu</w:t>
      </w:r>
      <w:r w:rsidR="006F34CA" w:rsidRPr="00221347">
        <w:rPr>
          <w:rFonts w:ascii="Arial" w:hAnsi="Arial" w:cs="Arial"/>
          <w:sz w:val="20"/>
          <w:szCs w:val="20"/>
        </w:rPr>
        <w:t xml:space="preserve"> na análise de prontuários de todos os pacientes que foram submetidos a</w:t>
      </w:r>
      <w:r w:rsidR="00042A22" w:rsidRPr="00221347">
        <w:rPr>
          <w:rFonts w:ascii="Arial" w:hAnsi="Arial" w:cs="Arial"/>
          <w:sz w:val="20"/>
          <w:szCs w:val="20"/>
        </w:rPr>
        <w:t>o</w:t>
      </w:r>
      <w:r w:rsidR="006F34CA" w:rsidRPr="00221347">
        <w:rPr>
          <w:rFonts w:ascii="Arial" w:hAnsi="Arial" w:cs="Arial"/>
          <w:sz w:val="20"/>
          <w:szCs w:val="20"/>
        </w:rPr>
        <w:t xml:space="preserve"> transplante hepático</w:t>
      </w:r>
      <w:r w:rsidR="00042A22" w:rsidRPr="00221347">
        <w:rPr>
          <w:rFonts w:ascii="Arial" w:hAnsi="Arial" w:cs="Arial"/>
          <w:sz w:val="20"/>
          <w:szCs w:val="20"/>
        </w:rPr>
        <w:t xml:space="preserve">, por qualquer etiologia, </w:t>
      </w:r>
      <w:r w:rsidR="00F97758" w:rsidRPr="00221347">
        <w:rPr>
          <w:rFonts w:ascii="Arial" w:hAnsi="Arial" w:cs="Arial"/>
          <w:sz w:val="20"/>
          <w:szCs w:val="20"/>
        </w:rPr>
        <w:t xml:space="preserve">no período </w:t>
      </w:r>
      <w:r w:rsidR="0015032D" w:rsidRPr="00221347">
        <w:rPr>
          <w:rFonts w:ascii="Arial" w:hAnsi="Arial" w:cs="Arial"/>
          <w:sz w:val="20"/>
          <w:szCs w:val="20"/>
        </w:rPr>
        <w:t>de maio/2010 a novembro/2017</w:t>
      </w:r>
      <w:r w:rsidR="00E80C9A" w:rsidRPr="00221347">
        <w:rPr>
          <w:rFonts w:ascii="Arial" w:hAnsi="Arial" w:cs="Arial"/>
          <w:sz w:val="20"/>
          <w:szCs w:val="20"/>
        </w:rPr>
        <w:t>, no HC</w:t>
      </w:r>
      <w:r w:rsidR="00FD6750" w:rsidRPr="00221347">
        <w:rPr>
          <w:rFonts w:ascii="Arial" w:hAnsi="Arial" w:cs="Arial"/>
          <w:sz w:val="20"/>
          <w:szCs w:val="20"/>
        </w:rPr>
        <w:t xml:space="preserve"> da </w:t>
      </w:r>
      <w:r w:rsidR="00E80C9A" w:rsidRPr="00221347">
        <w:rPr>
          <w:rFonts w:ascii="Arial" w:hAnsi="Arial" w:cs="Arial"/>
          <w:sz w:val="20"/>
          <w:szCs w:val="20"/>
        </w:rPr>
        <w:t>UNICAMP</w:t>
      </w:r>
      <w:r w:rsidR="00C91852" w:rsidRPr="00221347">
        <w:rPr>
          <w:rFonts w:ascii="Arial" w:hAnsi="Arial" w:cs="Arial"/>
          <w:sz w:val="20"/>
          <w:szCs w:val="20"/>
        </w:rPr>
        <w:t>, em São Paulo - Brasil</w:t>
      </w:r>
      <w:r w:rsidR="00E80C9A" w:rsidRPr="00221347">
        <w:rPr>
          <w:rFonts w:ascii="Arial" w:hAnsi="Arial" w:cs="Arial"/>
          <w:sz w:val="20"/>
          <w:szCs w:val="20"/>
        </w:rPr>
        <w:t xml:space="preserve">. </w:t>
      </w:r>
      <w:r w:rsidR="006D7665" w:rsidRPr="00221347">
        <w:rPr>
          <w:rFonts w:ascii="Arial" w:hAnsi="Arial" w:cs="Arial"/>
          <w:sz w:val="20"/>
          <w:szCs w:val="20"/>
        </w:rPr>
        <w:t>Inicialmente,</w:t>
      </w:r>
      <w:r w:rsidR="00434360" w:rsidRPr="00221347">
        <w:rPr>
          <w:rFonts w:ascii="Arial" w:hAnsi="Arial" w:cs="Arial"/>
          <w:sz w:val="20"/>
          <w:szCs w:val="20"/>
        </w:rPr>
        <w:t xml:space="preserve"> </w:t>
      </w:r>
      <w:r w:rsidR="008E055B" w:rsidRPr="00221347">
        <w:rPr>
          <w:rFonts w:ascii="Arial" w:hAnsi="Arial" w:cs="Arial"/>
          <w:sz w:val="20"/>
          <w:szCs w:val="20"/>
        </w:rPr>
        <w:t>obteve-se o total de</w:t>
      </w:r>
      <w:r w:rsidR="00434360" w:rsidRPr="00221347">
        <w:rPr>
          <w:rFonts w:ascii="Arial" w:hAnsi="Arial" w:cs="Arial"/>
          <w:sz w:val="20"/>
          <w:szCs w:val="20"/>
        </w:rPr>
        <w:t xml:space="preserve"> 125 pacientes, </w:t>
      </w:r>
      <w:r w:rsidR="005D64AE" w:rsidRPr="00221347">
        <w:rPr>
          <w:rFonts w:ascii="Arial" w:hAnsi="Arial" w:cs="Arial"/>
          <w:sz w:val="20"/>
          <w:szCs w:val="20"/>
        </w:rPr>
        <w:t>sendo</w:t>
      </w:r>
      <w:r w:rsidR="00434360" w:rsidRPr="00221347">
        <w:rPr>
          <w:rFonts w:ascii="Arial" w:hAnsi="Arial" w:cs="Arial"/>
          <w:sz w:val="20"/>
          <w:szCs w:val="20"/>
        </w:rPr>
        <w:t xml:space="preserve"> excluídos</w:t>
      </w:r>
      <w:r w:rsidR="00445D41" w:rsidRPr="00221347">
        <w:rPr>
          <w:rFonts w:ascii="Arial" w:hAnsi="Arial" w:cs="Arial"/>
          <w:sz w:val="20"/>
          <w:szCs w:val="20"/>
        </w:rPr>
        <w:t xml:space="preserve"> </w:t>
      </w:r>
      <w:r w:rsidR="00F921A3" w:rsidRPr="00221347">
        <w:rPr>
          <w:rFonts w:ascii="Arial" w:hAnsi="Arial" w:cs="Arial"/>
          <w:sz w:val="20"/>
          <w:szCs w:val="20"/>
        </w:rPr>
        <w:t>aqueles</w:t>
      </w:r>
      <w:r w:rsidR="00445D41" w:rsidRPr="00221347">
        <w:rPr>
          <w:rFonts w:ascii="Arial" w:hAnsi="Arial" w:cs="Arial"/>
          <w:sz w:val="20"/>
          <w:szCs w:val="20"/>
        </w:rPr>
        <w:t xml:space="preserve"> que não </w:t>
      </w:r>
      <w:r w:rsidR="00F9585F" w:rsidRPr="00221347">
        <w:rPr>
          <w:rFonts w:ascii="Arial" w:hAnsi="Arial" w:cs="Arial"/>
          <w:sz w:val="20"/>
          <w:szCs w:val="20"/>
        </w:rPr>
        <w:t>cont</w:t>
      </w:r>
      <w:r w:rsidR="00445D41" w:rsidRPr="00221347">
        <w:rPr>
          <w:rFonts w:ascii="Arial" w:hAnsi="Arial" w:cs="Arial"/>
          <w:sz w:val="20"/>
          <w:szCs w:val="20"/>
        </w:rPr>
        <w:t>inham</w:t>
      </w:r>
      <w:r w:rsidR="00F9585F" w:rsidRPr="00221347">
        <w:rPr>
          <w:rFonts w:ascii="Arial" w:hAnsi="Arial" w:cs="Arial"/>
          <w:sz w:val="20"/>
          <w:szCs w:val="20"/>
        </w:rPr>
        <w:t xml:space="preserve"> informações suficientes</w:t>
      </w:r>
      <w:r w:rsidR="003D57A4" w:rsidRPr="00221347">
        <w:rPr>
          <w:rFonts w:ascii="Arial" w:hAnsi="Arial" w:cs="Arial"/>
          <w:sz w:val="20"/>
          <w:szCs w:val="20"/>
        </w:rPr>
        <w:t xml:space="preserve"> para o presente estud</w:t>
      </w:r>
      <w:r w:rsidR="00F011BC" w:rsidRPr="00221347">
        <w:rPr>
          <w:rFonts w:ascii="Arial" w:hAnsi="Arial" w:cs="Arial"/>
          <w:sz w:val="20"/>
          <w:szCs w:val="20"/>
        </w:rPr>
        <w:t>o</w:t>
      </w:r>
      <w:r w:rsidR="00D87C87" w:rsidRPr="00221347">
        <w:rPr>
          <w:rFonts w:ascii="Arial" w:hAnsi="Arial" w:cs="Arial"/>
          <w:sz w:val="20"/>
          <w:szCs w:val="20"/>
        </w:rPr>
        <w:t xml:space="preserve">. </w:t>
      </w:r>
    </w:p>
    <w:p w14:paraId="435F6A7B" w14:textId="11B72F4E" w:rsidR="0085047D" w:rsidRPr="00221347" w:rsidRDefault="00D87C87" w:rsidP="007D4354">
      <w:pPr>
        <w:spacing w:line="360" w:lineRule="auto"/>
        <w:ind w:firstLine="708"/>
        <w:jc w:val="both"/>
        <w:rPr>
          <w:rFonts w:ascii="Arial" w:hAnsi="Arial" w:cs="Arial"/>
          <w:sz w:val="20"/>
          <w:szCs w:val="20"/>
        </w:rPr>
      </w:pPr>
      <w:r w:rsidRPr="00221347">
        <w:rPr>
          <w:rFonts w:ascii="Arial" w:hAnsi="Arial" w:cs="Arial"/>
          <w:sz w:val="20"/>
          <w:szCs w:val="20"/>
        </w:rPr>
        <w:t>Para o</w:t>
      </w:r>
      <w:r w:rsidR="00F921A3" w:rsidRPr="00221347">
        <w:rPr>
          <w:rFonts w:ascii="Arial" w:hAnsi="Arial" w:cs="Arial"/>
          <w:sz w:val="20"/>
          <w:szCs w:val="20"/>
        </w:rPr>
        <w:t>s</w:t>
      </w:r>
      <w:r w:rsidRPr="00221347">
        <w:rPr>
          <w:rFonts w:ascii="Arial" w:hAnsi="Arial" w:cs="Arial"/>
          <w:sz w:val="20"/>
          <w:szCs w:val="20"/>
        </w:rPr>
        <w:t xml:space="preserve"> exames séricos</w:t>
      </w:r>
      <w:r w:rsidR="007F62A8" w:rsidRPr="00221347">
        <w:rPr>
          <w:rFonts w:ascii="Arial" w:hAnsi="Arial" w:cs="Arial"/>
          <w:sz w:val="20"/>
          <w:szCs w:val="20"/>
        </w:rPr>
        <w:t xml:space="preserve"> quantitativos</w:t>
      </w:r>
      <w:r w:rsidRPr="00221347">
        <w:rPr>
          <w:rFonts w:ascii="Arial" w:hAnsi="Arial" w:cs="Arial"/>
          <w:sz w:val="20"/>
          <w:szCs w:val="20"/>
        </w:rPr>
        <w:t>, foram considerados os</w:t>
      </w:r>
      <w:r w:rsidR="00AC2504" w:rsidRPr="00221347">
        <w:rPr>
          <w:rFonts w:ascii="Arial" w:hAnsi="Arial" w:cs="Arial"/>
          <w:sz w:val="20"/>
          <w:szCs w:val="20"/>
        </w:rPr>
        <w:t xml:space="preserve"> dados com data mais próxima </w:t>
      </w:r>
      <w:r w:rsidR="00691A79" w:rsidRPr="00221347">
        <w:rPr>
          <w:rFonts w:ascii="Arial" w:hAnsi="Arial" w:cs="Arial"/>
          <w:sz w:val="20"/>
          <w:szCs w:val="20"/>
        </w:rPr>
        <w:t>ao transplante,</w:t>
      </w:r>
      <w:r w:rsidR="001D0961" w:rsidRPr="00221347">
        <w:rPr>
          <w:rFonts w:ascii="Arial" w:hAnsi="Arial" w:cs="Arial"/>
          <w:sz w:val="20"/>
          <w:szCs w:val="20"/>
        </w:rPr>
        <w:t xml:space="preserve"> admitindo-se</w:t>
      </w:r>
      <w:r w:rsidR="00691A79" w:rsidRPr="00221347">
        <w:rPr>
          <w:rFonts w:ascii="Arial" w:hAnsi="Arial" w:cs="Arial"/>
          <w:sz w:val="20"/>
          <w:szCs w:val="20"/>
        </w:rPr>
        <w:t xml:space="preserve"> no máximo três meses antes da cirurgia.</w:t>
      </w:r>
      <w:r w:rsidRPr="00221347">
        <w:rPr>
          <w:rFonts w:ascii="Arial" w:hAnsi="Arial" w:cs="Arial"/>
          <w:sz w:val="20"/>
          <w:szCs w:val="20"/>
        </w:rPr>
        <w:t xml:space="preserve"> </w:t>
      </w:r>
      <w:r w:rsidR="00083599" w:rsidRPr="00221347">
        <w:rPr>
          <w:rFonts w:ascii="Arial" w:hAnsi="Arial" w:cs="Arial"/>
          <w:sz w:val="20"/>
          <w:szCs w:val="20"/>
        </w:rPr>
        <w:t xml:space="preserve">Foram excluídos </w:t>
      </w:r>
      <w:r w:rsidR="003D57A4" w:rsidRPr="00221347">
        <w:rPr>
          <w:rFonts w:ascii="Arial" w:hAnsi="Arial" w:cs="Arial"/>
          <w:sz w:val="20"/>
          <w:szCs w:val="20"/>
        </w:rPr>
        <w:t xml:space="preserve">32 </w:t>
      </w:r>
      <w:r w:rsidR="00553BBF" w:rsidRPr="00221347">
        <w:rPr>
          <w:rFonts w:ascii="Arial" w:hAnsi="Arial" w:cs="Arial"/>
          <w:sz w:val="20"/>
          <w:szCs w:val="20"/>
        </w:rPr>
        <w:t>pacientes</w:t>
      </w:r>
      <w:r w:rsidR="00150E1C" w:rsidRPr="00221347">
        <w:rPr>
          <w:rFonts w:ascii="Arial" w:hAnsi="Arial" w:cs="Arial"/>
          <w:sz w:val="20"/>
          <w:szCs w:val="20"/>
        </w:rPr>
        <w:t xml:space="preserve"> </w:t>
      </w:r>
      <w:r w:rsidR="00553BBF" w:rsidRPr="00221347">
        <w:rPr>
          <w:rFonts w:ascii="Arial" w:hAnsi="Arial" w:cs="Arial"/>
          <w:sz w:val="20"/>
          <w:szCs w:val="20"/>
        </w:rPr>
        <w:t xml:space="preserve">por não apresentarem as seguintes informações: </w:t>
      </w:r>
      <w:r w:rsidR="00061848" w:rsidRPr="00221347">
        <w:rPr>
          <w:rFonts w:ascii="Arial" w:hAnsi="Arial" w:cs="Arial"/>
          <w:sz w:val="20"/>
          <w:szCs w:val="20"/>
        </w:rPr>
        <w:t xml:space="preserve">presença ou ausência de invasão microvascular, </w:t>
      </w:r>
      <w:r w:rsidR="00925757" w:rsidRPr="00221347">
        <w:rPr>
          <w:rFonts w:ascii="Arial" w:hAnsi="Arial" w:cs="Arial"/>
          <w:sz w:val="20"/>
          <w:szCs w:val="20"/>
        </w:rPr>
        <w:t>data do transplante</w:t>
      </w:r>
      <w:r w:rsidR="00F75E53" w:rsidRPr="00221347">
        <w:rPr>
          <w:rFonts w:ascii="Arial" w:hAnsi="Arial" w:cs="Arial"/>
          <w:sz w:val="20"/>
          <w:szCs w:val="20"/>
        </w:rPr>
        <w:t xml:space="preserve"> hepático</w:t>
      </w:r>
      <w:r w:rsidR="00925757" w:rsidRPr="00221347">
        <w:rPr>
          <w:rFonts w:ascii="Arial" w:hAnsi="Arial" w:cs="Arial"/>
          <w:sz w:val="20"/>
          <w:szCs w:val="20"/>
        </w:rPr>
        <w:t xml:space="preserve">, data do óbito, </w:t>
      </w:r>
      <w:r w:rsidR="00F75E53" w:rsidRPr="00221347">
        <w:rPr>
          <w:rFonts w:ascii="Arial" w:hAnsi="Arial" w:cs="Arial"/>
          <w:sz w:val="20"/>
          <w:szCs w:val="20"/>
        </w:rPr>
        <w:t>histórico de tabagismo</w:t>
      </w:r>
      <w:r w:rsidR="004665AD" w:rsidRPr="00221347">
        <w:rPr>
          <w:rFonts w:ascii="Arial" w:hAnsi="Arial" w:cs="Arial"/>
          <w:sz w:val="20"/>
          <w:szCs w:val="20"/>
        </w:rPr>
        <w:t xml:space="preserve"> e alcoolismo</w:t>
      </w:r>
      <w:r w:rsidR="00F75E53" w:rsidRPr="00221347">
        <w:rPr>
          <w:rFonts w:ascii="Arial" w:hAnsi="Arial" w:cs="Arial"/>
          <w:sz w:val="20"/>
          <w:szCs w:val="20"/>
        </w:rPr>
        <w:t xml:space="preserve">, </w:t>
      </w:r>
      <w:r w:rsidR="008846B6" w:rsidRPr="00221347">
        <w:rPr>
          <w:rFonts w:ascii="Arial" w:hAnsi="Arial" w:cs="Arial"/>
          <w:sz w:val="20"/>
          <w:szCs w:val="20"/>
        </w:rPr>
        <w:t>histórico de diabetes mellitus</w:t>
      </w:r>
      <w:r w:rsidR="004665AD" w:rsidRPr="00221347">
        <w:rPr>
          <w:rFonts w:ascii="Arial" w:hAnsi="Arial" w:cs="Arial"/>
          <w:sz w:val="20"/>
          <w:szCs w:val="20"/>
        </w:rPr>
        <w:t xml:space="preserve"> e hipertensão arterial</w:t>
      </w:r>
      <w:r w:rsidR="008846B6" w:rsidRPr="00221347">
        <w:rPr>
          <w:rFonts w:ascii="Arial" w:hAnsi="Arial" w:cs="Arial"/>
          <w:sz w:val="20"/>
          <w:szCs w:val="20"/>
        </w:rPr>
        <w:t xml:space="preserve">, </w:t>
      </w:r>
      <w:r w:rsidR="00732392" w:rsidRPr="00221347">
        <w:rPr>
          <w:rFonts w:ascii="Arial" w:hAnsi="Arial" w:cs="Arial"/>
          <w:sz w:val="20"/>
          <w:szCs w:val="20"/>
        </w:rPr>
        <w:t xml:space="preserve">peso, altura, </w:t>
      </w:r>
      <w:r w:rsidR="001D303E" w:rsidRPr="00221347">
        <w:rPr>
          <w:rFonts w:ascii="Arial" w:hAnsi="Arial" w:cs="Arial"/>
          <w:sz w:val="20"/>
          <w:szCs w:val="20"/>
        </w:rPr>
        <w:t>presença ou ausência de varizes esofágicas, presença ou ausência de ascite</w:t>
      </w:r>
      <w:r w:rsidR="009357D3" w:rsidRPr="00221347">
        <w:rPr>
          <w:rFonts w:ascii="Arial" w:hAnsi="Arial" w:cs="Arial"/>
          <w:sz w:val="20"/>
          <w:szCs w:val="20"/>
        </w:rPr>
        <w:t xml:space="preserve"> e</w:t>
      </w:r>
      <w:r w:rsidR="001D303E" w:rsidRPr="00221347">
        <w:rPr>
          <w:rFonts w:ascii="Arial" w:hAnsi="Arial" w:cs="Arial"/>
          <w:sz w:val="20"/>
          <w:szCs w:val="20"/>
        </w:rPr>
        <w:t xml:space="preserve"> </w:t>
      </w:r>
      <w:r w:rsidR="00C50384" w:rsidRPr="00221347">
        <w:rPr>
          <w:rFonts w:ascii="Arial" w:hAnsi="Arial" w:cs="Arial"/>
          <w:sz w:val="20"/>
          <w:szCs w:val="20"/>
        </w:rPr>
        <w:t>dosagem d</w:t>
      </w:r>
      <w:r w:rsidR="00C74498" w:rsidRPr="00221347">
        <w:rPr>
          <w:rFonts w:ascii="Arial" w:hAnsi="Arial" w:cs="Arial"/>
          <w:sz w:val="20"/>
          <w:szCs w:val="20"/>
        </w:rPr>
        <w:t>os seguintes biomarcadores:</w:t>
      </w:r>
      <w:r w:rsidR="00C50384" w:rsidRPr="00221347">
        <w:rPr>
          <w:rFonts w:ascii="Arial" w:hAnsi="Arial" w:cs="Arial"/>
          <w:sz w:val="20"/>
          <w:szCs w:val="20"/>
        </w:rPr>
        <w:t xml:space="preserve"> aspartato aminotransferase</w:t>
      </w:r>
      <w:r w:rsidR="00866B65" w:rsidRPr="00221347">
        <w:rPr>
          <w:rFonts w:ascii="Arial" w:hAnsi="Arial" w:cs="Arial"/>
          <w:sz w:val="20"/>
          <w:szCs w:val="20"/>
        </w:rPr>
        <w:t xml:space="preserve"> (AST</w:t>
      </w:r>
      <w:r w:rsidR="001E48D8" w:rsidRPr="00221347">
        <w:rPr>
          <w:rFonts w:ascii="Arial" w:hAnsi="Arial" w:cs="Arial"/>
          <w:sz w:val="20"/>
          <w:szCs w:val="20"/>
        </w:rPr>
        <w:t>/TGO</w:t>
      </w:r>
      <w:r w:rsidR="00866B65" w:rsidRPr="00221347">
        <w:rPr>
          <w:rFonts w:ascii="Arial" w:hAnsi="Arial" w:cs="Arial"/>
          <w:sz w:val="20"/>
          <w:szCs w:val="20"/>
        </w:rPr>
        <w:t>),</w:t>
      </w:r>
      <w:r w:rsidR="00C74498" w:rsidRPr="00221347">
        <w:rPr>
          <w:rFonts w:ascii="Arial" w:hAnsi="Arial" w:cs="Arial"/>
          <w:sz w:val="20"/>
          <w:szCs w:val="20"/>
        </w:rPr>
        <w:t xml:space="preserve"> </w:t>
      </w:r>
      <w:r w:rsidR="00B341B9" w:rsidRPr="00221347">
        <w:rPr>
          <w:rFonts w:ascii="Arial" w:hAnsi="Arial" w:cs="Arial"/>
          <w:sz w:val="20"/>
          <w:szCs w:val="20"/>
        </w:rPr>
        <w:t>alanina aminotransferase</w:t>
      </w:r>
      <w:r w:rsidR="002D3052" w:rsidRPr="00221347">
        <w:rPr>
          <w:rFonts w:ascii="Arial" w:hAnsi="Arial" w:cs="Arial"/>
          <w:sz w:val="20"/>
          <w:szCs w:val="20"/>
        </w:rPr>
        <w:t xml:space="preserve"> (ALT</w:t>
      </w:r>
      <w:r w:rsidR="001E48D8" w:rsidRPr="00221347">
        <w:rPr>
          <w:rFonts w:ascii="Arial" w:hAnsi="Arial" w:cs="Arial"/>
          <w:sz w:val="20"/>
          <w:szCs w:val="20"/>
        </w:rPr>
        <w:t>/TGP</w:t>
      </w:r>
      <w:r w:rsidR="002D3052" w:rsidRPr="00221347">
        <w:rPr>
          <w:rFonts w:ascii="Arial" w:hAnsi="Arial" w:cs="Arial"/>
          <w:sz w:val="20"/>
          <w:szCs w:val="20"/>
        </w:rPr>
        <w:t xml:space="preserve">), </w:t>
      </w:r>
      <w:proofErr w:type="spellStart"/>
      <w:r w:rsidR="001132B5" w:rsidRPr="00221347">
        <w:rPr>
          <w:rFonts w:ascii="Arial" w:hAnsi="Arial" w:cs="Arial"/>
          <w:sz w:val="20"/>
          <w:szCs w:val="20"/>
        </w:rPr>
        <w:t>alfafetoproteína</w:t>
      </w:r>
      <w:proofErr w:type="spellEnd"/>
      <w:r w:rsidR="001132B5" w:rsidRPr="00221347">
        <w:rPr>
          <w:rFonts w:ascii="Arial" w:hAnsi="Arial" w:cs="Arial"/>
          <w:sz w:val="20"/>
          <w:szCs w:val="20"/>
        </w:rPr>
        <w:t xml:space="preserve">, </w:t>
      </w:r>
      <w:r w:rsidR="00732392" w:rsidRPr="00221347">
        <w:rPr>
          <w:rFonts w:ascii="Arial" w:hAnsi="Arial" w:cs="Arial"/>
          <w:sz w:val="20"/>
          <w:szCs w:val="20"/>
        </w:rPr>
        <w:t xml:space="preserve">fosfatase alcalina, </w:t>
      </w:r>
      <w:r w:rsidR="00BB12E7" w:rsidRPr="00221347">
        <w:rPr>
          <w:rFonts w:ascii="Arial" w:hAnsi="Arial" w:cs="Arial"/>
          <w:sz w:val="20"/>
          <w:szCs w:val="20"/>
        </w:rPr>
        <w:t>sódio</w:t>
      </w:r>
      <w:r w:rsidR="006F6C44" w:rsidRPr="00221347">
        <w:rPr>
          <w:rFonts w:ascii="Arial" w:hAnsi="Arial" w:cs="Arial"/>
          <w:sz w:val="20"/>
          <w:szCs w:val="20"/>
        </w:rPr>
        <w:t xml:space="preserve"> sérico</w:t>
      </w:r>
      <w:r w:rsidR="00C74498" w:rsidRPr="00221347">
        <w:rPr>
          <w:rFonts w:ascii="Arial" w:hAnsi="Arial" w:cs="Arial"/>
          <w:sz w:val="20"/>
          <w:szCs w:val="20"/>
        </w:rPr>
        <w:t>,</w:t>
      </w:r>
      <w:r w:rsidR="00BB12E7" w:rsidRPr="00221347">
        <w:rPr>
          <w:rFonts w:ascii="Arial" w:hAnsi="Arial" w:cs="Arial"/>
          <w:sz w:val="20"/>
          <w:szCs w:val="20"/>
        </w:rPr>
        <w:t xml:space="preserve"> creatinina</w:t>
      </w:r>
      <w:r w:rsidR="005747B7" w:rsidRPr="00221347">
        <w:rPr>
          <w:rFonts w:ascii="Arial" w:hAnsi="Arial" w:cs="Arial"/>
          <w:sz w:val="20"/>
          <w:szCs w:val="20"/>
        </w:rPr>
        <w:t>,</w:t>
      </w:r>
      <w:r w:rsidR="00C74498" w:rsidRPr="00221347">
        <w:rPr>
          <w:rFonts w:ascii="Arial" w:hAnsi="Arial" w:cs="Arial"/>
          <w:sz w:val="20"/>
          <w:szCs w:val="20"/>
        </w:rPr>
        <w:t xml:space="preserve"> </w:t>
      </w:r>
      <w:proofErr w:type="spellStart"/>
      <w:r w:rsidR="001B0836" w:rsidRPr="00221347">
        <w:rPr>
          <w:rFonts w:ascii="Arial" w:hAnsi="Arial" w:cs="Arial"/>
          <w:sz w:val="20"/>
          <w:szCs w:val="20"/>
        </w:rPr>
        <w:t>gamaglutamiltransferase</w:t>
      </w:r>
      <w:proofErr w:type="spellEnd"/>
      <w:r w:rsidR="001B0836" w:rsidRPr="00221347">
        <w:rPr>
          <w:rFonts w:ascii="Arial" w:hAnsi="Arial" w:cs="Arial"/>
          <w:sz w:val="20"/>
          <w:szCs w:val="20"/>
        </w:rPr>
        <w:t xml:space="preserve"> (GGT), </w:t>
      </w:r>
      <w:r w:rsidR="001D54F9" w:rsidRPr="00221347">
        <w:rPr>
          <w:rFonts w:ascii="Arial" w:hAnsi="Arial" w:cs="Arial"/>
          <w:sz w:val="20"/>
          <w:szCs w:val="20"/>
        </w:rPr>
        <w:t xml:space="preserve">plaquetas, bilirrubina total, </w:t>
      </w:r>
      <w:r w:rsidR="003B0870" w:rsidRPr="00221347">
        <w:rPr>
          <w:rFonts w:ascii="Arial" w:hAnsi="Arial" w:cs="Arial"/>
          <w:sz w:val="20"/>
          <w:szCs w:val="20"/>
        </w:rPr>
        <w:t xml:space="preserve">albumina sérica e </w:t>
      </w:r>
      <w:r w:rsidR="00DB3DF4" w:rsidRPr="00221347">
        <w:rPr>
          <w:rFonts w:ascii="Arial" w:hAnsi="Arial" w:cs="Arial"/>
          <w:sz w:val="20"/>
          <w:szCs w:val="20"/>
        </w:rPr>
        <w:t>relação normatizada internacional (RNI)</w:t>
      </w:r>
      <w:r w:rsidR="003B0870" w:rsidRPr="00221347">
        <w:rPr>
          <w:rFonts w:ascii="Arial" w:hAnsi="Arial" w:cs="Arial"/>
          <w:sz w:val="20"/>
          <w:szCs w:val="20"/>
        </w:rPr>
        <w:t xml:space="preserve">. </w:t>
      </w:r>
    </w:p>
    <w:p w14:paraId="7296ADB8" w14:textId="38436A56" w:rsidR="003C4FCB" w:rsidRPr="00221347" w:rsidRDefault="003C4FCB" w:rsidP="00221347">
      <w:pPr>
        <w:spacing w:line="360" w:lineRule="auto"/>
        <w:ind w:firstLine="708"/>
        <w:jc w:val="both"/>
        <w:rPr>
          <w:rFonts w:ascii="Arial" w:hAnsi="Arial" w:cs="Arial"/>
          <w:sz w:val="20"/>
          <w:szCs w:val="20"/>
        </w:rPr>
      </w:pPr>
      <w:r w:rsidRPr="00221347">
        <w:rPr>
          <w:rFonts w:ascii="Arial" w:hAnsi="Arial" w:cs="Arial"/>
          <w:sz w:val="20"/>
          <w:szCs w:val="20"/>
        </w:rPr>
        <w:t xml:space="preserve">Com a posse desses dados, </w:t>
      </w:r>
      <w:r w:rsidR="00C342AA" w:rsidRPr="00D80D14">
        <w:rPr>
          <w:rFonts w:ascii="Arial" w:hAnsi="Arial" w:cs="Arial"/>
          <w:sz w:val="20"/>
          <w:szCs w:val="20"/>
        </w:rPr>
        <w:t xml:space="preserve">foram calculados </w:t>
      </w:r>
      <w:r w:rsidRPr="00221347">
        <w:rPr>
          <w:rFonts w:ascii="Arial" w:hAnsi="Arial" w:cs="Arial"/>
          <w:sz w:val="20"/>
          <w:szCs w:val="20"/>
        </w:rPr>
        <w:t xml:space="preserve">os scores MELD e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w:t>
      </w:r>
      <w:r w:rsidR="00643CEF" w:rsidRPr="00221347">
        <w:rPr>
          <w:rFonts w:ascii="Arial" w:hAnsi="Arial" w:cs="Arial"/>
          <w:sz w:val="20"/>
          <w:szCs w:val="20"/>
        </w:rPr>
        <w:t xml:space="preserve">para todos os pacientes do estudo. </w:t>
      </w:r>
      <w:r w:rsidR="009F595D" w:rsidRPr="00221347">
        <w:rPr>
          <w:rFonts w:ascii="Arial" w:hAnsi="Arial" w:cs="Arial"/>
          <w:sz w:val="20"/>
          <w:szCs w:val="20"/>
        </w:rPr>
        <w:t xml:space="preserve">O cálculo do MELD foi </w:t>
      </w:r>
      <w:r w:rsidR="00F2484E" w:rsidRPr="00221347">
        <w:rPr>
          <w:rFonts w:ascii="Arial" w:hAnsi="Arial" w:cs="Arial"/>
          <w:sz w:val="20"/>
          <w:szCs w:val="20"/>
        </w:rPr>
        <w:t>feito</w:t>
      </w:r>
      <w:r w:rsidR="009F595D" w:rsidRPr="00221347">
        <w:rPr>
          <w:rFonts w:ascii="Arial" w:hAnsi="Arial" w:cs="Arial"/>
          <w:sz w:val="20"/>
          <w:szCs w:val="20"/>
        </w:rPr>
        <w:t xml:space="preserve"> através da fórmula</w:t>
      </w:r>
      <w:r w:rsidR="00B87C44" w:rsidRPr="00221347">
        <w:rPr>
          <w:rFonts w:ascii="Arial" w:hAnsi="Arial" w:cs="Arial"/>
          <w:sz w:val="20"/>
          <w:szCs w:val="20"/>
        </w:rPr>
        <w:t>:</w:t>
      </w:r>
      <w:r w:rsidR="009F595D" w:rsidRPr="00221347">
        <w:rPr>
          <w:rFonts w:ascii="Arial" w:hAnsi="Arial" w:cs="Arial"/>
          <w:sz w:val="20"/>
          <w:szCs w:val="20"/>
        </w:rPr>
        <w:t xml:space="preserve"> MELD=10*((0.957 * </w:t>
      </w:r>
      <w:proofErr w:type="spellStart"/>
      <w:r w:rsidR="009F595D" w:rsidRPr="00221347">
        <w:rPr>
          <w:rFonts w:ascii="Arial" w:hAnsi="Arial" w:cs="Arial"/>
          <w:sz w:val="20"/>
          <w:szCs w:val="20"/>
        </w:rPr>
        <w:t>ln</w:t>
      </w:r>
      <w:proofErr w:type="spellEnd"/>
      <w:r w:rsidR="009F595D" w:rsidRPr="00221347">
        <w:rPr>
          <w:rFonts w:ascii="Arial" w:hAnsi="Arial" w:cs="Arial"/>
          <w:sz w:val="20"/>
          <w:szCs w:val="20"/>
        </w:rPr>
        <w:t xml:space="preserve"> [Creatinina]) + (0.378 * </w:t>
      </w:r>
      <w:proofErr w:type="spellStart"/>
      <w:r w:rsidR="009F595D" w:rsidRPr="00221347">
        <w:rPr>
          <w:rFonts w:ascii="Arial" w:hAnsi="Arial" w:cs="Arial"/>
          <w:sz w:val="20"/>
          <w:szCs w:val="20"/>
        </w:rPr>
        <w:t>ln</w:t>
      </w:r>
      <w:proofErr w:type="spellEnd"/>
      <w:r w:rsidR="009F595D" w:rsidRPr="00221347">
        <w:rPr>
          <w:rFonts w:ascii="Arial" w:hAnsi="Arial" w:cs="Arial"/>
          <w:sz w:val="20"/>
          <w:szCs w:val="20"/>
        </w:rPr>
        <w:t xml:space="preserve"> [Bilirrubina]) + (1.12 </w:t>
      </w:r>
      <w:proofErr w:type="spellStart"/>
      <w:r w:rsidR="009F595D" w:rsidRPr="00221347">
        <w:rPr>
          <w:rFonts w:ascii="Arial" w:hAnsi="Arial" w:cs="Arial"/>
          <w:sz w:val="20"/>
          <w:szCs w:val="20"/>
        </w:rPr>
        <w:t>ln</w:t>
      </w:r>
      <w:proofErr w:type="spellEnd"/>
      <w:r w:rsidR="009F595D" w:rsidRPr="00221347">
        <w:rPr>
          <w:rFonts w:ascii="Arial" w:hAnsi="Arial" w:cs="Arial"/>
          <w:sz w:val="20"/>
          <w:szCs w:val="20"/>
        </w:rPr>
        <w:t xml:space="preserve"> [RNI])) + 6.43</w:t>
      </w:r>
      <w:r w:rsidR="00CE573A" w:rsidRPr="00221347">
        <w:rPr>
          <w:rFonts w:ascii="Arial" w:hAnsi="Arial" w:cs="Arial"/>
          <w:sz w:val="20"/>
          <w:szCs w:val="20"/>
        </w:rPr>
        <w:t>.</w:t>
      </w:r>
      <w:r w:rsidR="000B09FC" w:rsidRPr="00221347">
        <w:rPr>
          <w:rFonts w:ascii="Arial" w:hAnsi="Arial" w:cs="Arial"/>
          <w:sz w:val="20"/>
          <w:szCs w:val="20"/>
        </w:rPr>
        <w:t xml:space="preserve"> </w:t>
      </w:r>
      <w:r w:rsidR="004B57C7" w:rsidRPr="00221347">
        <w:rPr>
          <w:rFonts w:ascii="Arial" w:hAnsi="Arial" w:cs="Arial"/>
          <w:sz w:val="20"/>
          <w:szCs w:val="20"/>
        </w:rPr>
        <w:t xml:space="preserve">E o </w:t>
      </w:r>
      <w:r w:rsidR="009F595D" w:rsidRPr="00221347">
        <w:rPr>
          <w:rFonts w:ascii="Arial" w:hAnsi="Arial" w:cs="Arial"/>
          <w:sz w:val="20"/>
          <w:szCs w:val="20"/>
        </w:rPr>
        <w:t xml:space="preserve">cálculo do </w:t>
      </w:r>
      <w:proofErr w:type="spellStart"/>
      <w:r w:rsidR="009F595D" w:rsidRPr="00221347">
        <w:rPr>
          <w:rFonts w:ascii="Arial" w:hAnsi="Arial" w:cs="Arial"/>
          <w:sz w:val="20"/>
          <w:szCs w:val="20"/>
        </w:rPr>
        <w:t>MELD-Na</w:t>
      </w:r>
      <w:proofErr w:type="spellEnd"/>
      <w:r w:rsidR="009F595D" w:rsidRPr="00221347">
        <w:rPr>
          <w:rFonts w:ascii="Arial" w:hAnsi="Arial" w:cs="Arial"/>
          <w:sz w:val="20"/>
          <w:szCs w:val="20"/>
        </w:rPr>
        <w:t xml:space="preserve"> através da fórmula</w:t>
      </w:r>
      <w:r w:rsidR="00C242A3" w:rsidRPr="00221347">
        <w:rPr>
          <w:rFonts w:ascii="Arial" w:hAnsi="Arial" w:cs="Arial"/>
          <w:sz w:val="20"/>
          <w:szCs w:val="20"/>
        </w:rPr>
        <w:t>:</w:t>
      </w:r>
      <w:r w:rsidR="009F595D" w:rsidRPr="00221347">
        <w:rPr>
          <w:rFonts w:ascii="Arial" w:hAnsi="Arial" w:cs="Arial"/>
          <w:sz w:val="20"/>
          <w:szCs w:val="20"/>
        </w:rPr>
        <w:t xml:space="preserve"> </w:t>
      </w:r>
      <w:proofErr w:type="spellStart"/>
      <w:r w:rsidR="009F595D" w:rsidRPr="00221347">
        <w:rPr>
          <w:rFonts w:ascii="Arial" w:hAnsi="Arial" w:cs="Arial"/>
          <w:sz w:val="20"/>
          <w:szCs w:val="20"/>
        </w:rPr>
        <w:t>MELD-Na</w:t>
      </w:r>
      <w:proofErr w:type="spellEnd"/>
      <w:r w:rsidR="009F595D" w:rsidRPr="00221347">
        <w:rPr>
          <w:rFonts w:ascii="Arial" w:hAnsi="Arial" w:cs="Arial"/>
          <w:sz w:val="20"/>
          <w:szCs w:val="20"/>
        </w:rPr>
        <w:t xml:space="preserve">=MELD + 1.32 x (137 - Na) - [0.033 x MELD*(137- Na)]”, considerando a correção do valor do sódio sérico para a faixa de 125-137 </w:t>
      </w:r>
      <w:proofErr w:type="spellStart"/>
      <w:r w:rsidR="009F595D" w:rsidRPr="00221347">
        <w:rPr>
          <w:rFonts w:ascii="Arial" w:hAnsi="Arial" w:cs="Arial"/>
          <w:sz w:val="20"/>
          <w:szCs w:val="20"/>
        </w:rPr>
        <w:t>mEq</w:t>
      </w:r>
      <w:proofErr w:type="spellEnd"/>
      <w:r w:rsidR="009F595D" w:rsidRPr="00221347">
        <w:rPr>
          <w:rFonts w:ascii="Arial" w:hAnsi="Arial" w:cs="Arial"/>
          <w:sz w:val="20"/>
          <w:szCs w:val="20"/>
        </w:rPr>
        <w:t xml:space="preserve">/l, conforme critérios determinados pela United Network for </w:t>
      </w:r>
      <w:proofErr w:type="spellStart"/>
      <w:r w:rsidR="009F595D" w:rsidRPr="00221347">
        <w:rPr>
          <w:rFonts w:ascii="Arial" w:hAnsi="Arial" w:cs="Arial"/>
          <w:sz w:val="20"/>
          <w:szCs w:val="20"/>
        </w:rPr>
        <w:t>Organ</w:t>
      </w:r>
      <w:proofErr w:type="spellEnd"/>
      <w:r w:rsidR="009F595D" w:rsidRPr="00221347">
        <w:rPr>
          <w:rFonts w:ascii="Arial" w:hAnsi="Arial" w:cs="Arial"/>
          <w:sz w:val="20"/>
          <w:szCs w:val="20"/>
        </w:rPr>
        <w:t xml:space="preserve"> </w:t>
      </w:r>
      <w:proofErr w:type="spellStart"/>
      <w:r w:rsidR="009F595D" w:rsidRPr="00221347">
        <w:rPr>
          <w:rFonts w:ascii="Arial" w:hAnsi="Arial" w:cs="Arial"/>
          <w:sz w:val="20"/>
          <w:szCs w:val="20"/>
        </w:rPr>
        <w:t>Sharing</w:t>
      </w:r>
      <w:proofErr w:type="spellEnd"/>
      <w:r w:rsidR="00BF0106" w:rsidRPr="00221347">
        <w:rPr>
          <w:rFonts w:ascii="Arial" w:hAnsi="Arial" w:cs="Arial"/>
          <w:sz w:val="20"/>
          <w:szCs w:val="20"/>
        </w:rPr>
        <w:t xml:space="preserve"> (</w:t>
      </w:r>
      <w:r w:rsidR="0086385C" w:rsidRPr="00221347">
        <w:rPr>
          <w:rFonts w:ascii="Arial" w:hAnsi="Arial" w:cs="Arial"/>
          <w:sz w:val="20"/>
          <w:szCs w:val="20"/>
        </w:rPr>
        <w:t>UNOS)</w:t>
      </w:r>
      <w:r w:rsidR="009F595D" w:rsidRPr="00221347">
        <w:rPr>
          <w:rFonts w:ascii="Arial" w:hAnsi="Arial" w:cs="Arial"/>
          <w:sz w:val="20"/>
          <w:szCs w:val="20"/>
        </w:rPr>
        <w:t>.</w:t>
      </w:r>
    </w:p>
    <w:p w14:paraId="48C889A5" w14:textId="6A5C9798" w:rsidR="00E81F67" w:rsidRPr="00221347" w:rsidRDefault="00252891" w:rsidP="00E81F67">
      <w:pPr>
        <w:spacing w:line="360" w:lineRule="auto"/>
        <w:ind w:firstLine="708"/>
        <w:jc w:val="both"/>
        <w:rPr>
          <w:rFonts w:ascii="Arial" w:hAnsi="Arial" w:cs="Arial"/>
          <w:sz w:val="20"/>
          <w:szCs w:val="20"/>
        </w:rPr>
      </w:pPr>
      <w:r w:rsidRPr="00221347">
        <w:rPr>
          <w:rFonts w:ascii="Arial" w:hAnsi="Arial" w:cs="Arial"/>
          <w:b/>
          <w:sz w:val="20"/>
          <w:szCs w:val="20"/>
        </w:rPr>
        <w:tab/>
      </w:r>
      <w:r w:rsidR="00945224" w:rsidRPr="00221347">
        <w:rPr>
          <w:rFonts w:ascii="Arial" w:hAnsi="Arial" w:cs="Arial"/>
          <w:sz w:val="20"/>
          <w:szCs w:val="20"/>
        </w:rPr>
        <w:t>Posterio</w:t>
      </w:r>
      <w:r w:rsidR="00F879F2" w:rsidRPr="00221347">
        <w:rPr>
          <w:rFonts w:ascii="Arial" w:hAnsi="Arial" w:cs="Arial"/>
          <w:sz w:val="20"/>
          <w:szCs w:val="20"/>
        </w:rPr>
        <w:t>r</w:t>
      </w:r>
      <w:r w:rsidR="00945224" w:rsidRPr="00221347">
        <w:rPr>
          <w:rFonts w:ascii="Arial" w:hAnsi="Arial" w:cs="Arial"/>
          <w:sz w:val="20"/>
          <w:szCs w:val="20"/>
        </w:rPr>
        <w:t>mente</w:t>
      </w:r>
      <w:r w:rsidR="0085047D" w:rsidRPr="00221347">
        <w:rPr>
          <w:rFonts w:ascii="Arial" w:hAnsi="Arial" w:cs="Arial"/>
          <w:sz w:val="20"/>
          <w:szCs w:val="20"/>
        </w:rPr>
        <w:t>,</w:t>
      </w:r>
      <w:r w:rsidR="00E81F67" w:rsidRPr="00221347">
        <w:rPr>
          <w:rFonts w:ascii="Arial" w:hAnsi="Arial" w:cs="Arial"/>
          <w:sz w:val="20"/>
          <w:szCs w:val="20"/>
        </w:rPr>
        <w:t xml:space="preserve"> foi realizada a análise descritiva dos dados clínicos e laboratoriais, sendo que para as variáveis categóricas optou-se pelas medidas de frequência absoluta e relativa. Para as variáveis contínuas, foi conduzida uma análise da distribuição de probabilidade dos dados, de modo que, para aqueles cuja distribuição foi evidenciada como normal optou-se pelo uso da média e desvio padrão como medidas de tendência central e dispersão, respectivamente. Nas variáveis cuja distribuição foi não normal, preferiu-se o resumo através de mediana, como medida de tendência central, e amplitude interquartil, como medida de dispersão. Para a comparação entre as variáveis laboratoriais contínuas de distribuição normal, foi realizado o teste t de </w:t>
      </w:r>
      <w:proofErr w:type="spellStart"/>
      <w:r w:rsidR="00E81F67" w:rsidRPr="00221347">
        <w:rPr>
          <w:rFonts w:ascii="Arial" w:hAnsi="Arial" w:cs="Arial"/>
          <w:sz w:val="20"/>
          <w:szCs w:val="20"/>
        </w:rPr>
        <w:t>Student</w:t>
      </w:r>
      <w:proofErr w:type="spellEnd"/>
      <w:r w:rsidR="00E81F67" w:rsidRPr="00221347">
        <w:rPr>
          <w:rFonts w:ascii="Arial" w:hAnsi="Arial" w:cs="Arial"/>
          <w:sz w:val="20"/>
          <w:szCs w:val="20"/>
        </w:rPr>
        <w:t xml:space="preserve">, e o teste de </w:t>
      </w:r>
      <w:proofErr w:type="spellStart"/>
      <w:r w:rsidR="00E81F67" w:rsidRPr="00221347">
        <w:rPr>
          <w:rFonts w:ascii="Arial" w:hAnsi="Arial" w:cs="Arial"/>
          <w:sz w:val="20"/>
          <w:szCs w:val="20"/>
        </w:rPr>
        <w:t>Kruskal</w:t>
      </w:r>
      <w:proofErr w:type="spellEnd"/>
      <w:r w:rsidR="00E81F67" w:rsidRPr="00221347">
        <w:rPr>
          <w:rFonts w:ascii="Arial" w:hAnsi="Arial" w:cs="Arial"/>
          <w:sz w:val="20"/>
          <w:szCs w:val="20"/>
        </w:rPr>
        <w:t xml:space="preserve">-Wallis foi utilizado para as variáveis com distribuição não-normal. </w:t>
      </w:r>
    </w:p>
    <w:p w14:paraId="50554C57" w14:textId="77777777" w:rsidR="00E81F67" w:rsidRPr="00221347" w:rsidRDefault="00E81F67" w:rsidP="00E81F67">
      <w:pPr>
        <w:spacing w:line="360" w:lineRule="auto"/>
        <w:ind w:firstLine="708"/>
        <w:jc w:val="both"/>
        <w:rPr>
          <w:rFonts w:ascii="Arial" w:hAnsi="Arial" w:cs="Arial"/>
          <w:sz w:val="20"/>
          <w:szCs w:val="20"/>
        </w:rPr>
      </w:pPr>
      <w:r w:rsidRPr="00221347">
        <w:rPr>
          <w:rFonts w:ascii="Arial" w:hAnsi="Arial" w:cs="Arial"/>
          <w:sz w:val="20"/>
          <w:szCs w:val="20"/>
        </w:rPr>
        <w:t xml:space="preserve">Também, foi conduzida uma análise de correlação para identificação da independência entre as variáveis disponíveis através do Teste de Correlação de </w:t>
      </w:r>
      <w:proofErr w:type="spellStart"/>
      <w:r w:rsidRPr="00221347">
        <w:rPr>
          <w:rFonts w:ascii="Arial" w:hAnsi="Arial" w:cs="Arial"/>
          <w:sz w:val="20"/>
          <w:szCs w:val="20"/>
        </w:rPr>
        <w:t>Spearman</w:t>
      </w:r>
      <w:proofErr w:type="spellEnd"/>
      <w:r w:rsidRPr="00221347">
        <w:rPr>
          <w:rFonts w:ascii="Arial" w:hAnsi="Arial" w:cs="Arial"/>
          <w:sz w:val="20"/>
          <w:szCs w:val="20"/>
        </w:rPr>
        <w:t xml:space="preserve">, sendo as variáveis independentes incluídas em modelos de regressão logística na busca da associação, através da </w:t>
      </w:r>
      <w:proofErr w:type="spellStart"/>
      <w:r w:rsidRPr="00221347">
        <w:rPr>
          <w:rFonts w:ascii="Arial" w:hAnsi="Arial" w:cs="Arial"/>
          <w:sz w:val="20"/>
          <w:szCs w:val="20"/>
        </w:rPr>
        <w:t>Odds</w:t>
      </w:r>
      <w:proofErr w:type="spellEnd"/>
      <w:r w:rsidRPr="00221347">
        <w:rPr>
          <w:rFonts w:ascii="Arial" w:hAnsi="Arial" w:cs="Arial"/>
          <w:sz w:val="20"/>
          <w:szCs w:val="20"/>
        </w:rPr>
        <w:t xml:space="preserve"> </w:t>
      </w:r>
      <w:proofErr w:type="spellStart"/>
      <w:r w:rsidRPr="00221347">
        <w:rPr>
          <w:rFonts w:ascii="Arial" w:hAnsi="Arial" w:cs="Arial"/>
          <w:sz w:val="20"/>
          <w:szCs w:val="20"/>
        </w:rPr>
        <w:t>Ratio</w:t>
      </w:r>
      <w:proofErr w:type="spellEnd"/>
      <w:r w:rsidRPr="00221347">
        <w:rPr>
          <w:rFonts w:ascii="Arial" w:hAnsi="Arial" w:cs="Arial"/>
          <w:sz w:val="20"/>
          <w:szCs w:val="20"/>
        </w:rPr>
        <w:t xml:space="preserve">, para os desfechos “Invasão Microvascular” e “Óbito” por carcinoma hepatocelular. Em um primeiro momento, realizou-se a análise de regressão logística binária, ao passo que que as associações que retornaram P-Valor &lt;0,20 foram incluídas no modelo de regressão logística multivariada. Neste, houve uma saturação progressiva na adição das variáveis, observando-se os efeitos sobre a precisão e sobre o ajuste das demais variáveis sob a análise definitiva. </w:t>
      </w:r>
    </w:p>
    <w:p w14:paraId="735E97CB" w14:textId="77777777" w:rsidR="00E81F67" w:rsidRPr="00221347" w:rsidRDefault="00E81F67" w:rsidP="00E81F67">
      <w:pPr>
        <w:spacing w:line="360" w:lineRule="auto"/>
        <w:ind w:firstLine="708"/>
        <w:jc w:val="both"/>
        <w:rPr>
          <w:rFonts w:ascii="Arial" w:hAnsi="Arial" w:cs="Arial"/>
          <w:sz w:val="20"/>
          <w:szCs w:val="20"/>
        </w:rPr>
      </w:pPr>
      <w:r w:rsidRPr="00221347">
        <w:rPr>
          <w:rFonts w:ascii="Arial" w:hAnsi="Arial" w:cs="Arial"/>
          <w:sz w:val="20"/>
          <w:szCs w:val="20"/>
        </w:rPr>
        <w:t xml:space="preserve">Por fim, utilizando-se a escala </w:t>
      </w:r>
      <w:proofErr w:type="spellStart"/>
      <w:r w:rsidRPr="00221347">
        <w:rPr>
          <w:rFonts w:ascii="Arial" w:hAnsi="Arial" w:cs="Arial"/>
          <w:sz w:val="20"/>
          <w:szCs w:val="20"/>
        </w:rPr>
        <w:t>Model</w:t>
      </w:r>
      <w:proofErr w:type="spellEnd"/>
      <w:r w:rsidRPr="00221347">
        <w:rPr>
          <w:rFonts w:ascii="Arial" w:hAnsi="Arial" w:cs="Arial"/>
          <w:sz w:val="20"/>
          <w:szCs w:val="20"/>
        </w:rPr>
        <w:t xml:space="preserve"> </w:t>
      </w:r>
      <w:proofErr w:type="spellStart"/>
      <w:r w:rsidRPr="00221347">
        <w:rPr>
          <w:rFonts w:ascii="Arial" w:hAnsi="Arial" w:cs="Arial"/>
          <w:sz w:val="20"/>
          <w:szCs w:val="20"/>
        </w:rPr>
        <w:t>End-Stage</w:t>
      </w:r>
      <w:proofErr w:type="spellEnd"/>
      <w:r w:rsidRPr="00221347">
        <w:rPr>
          <w:rFonts w:ascii="Arial" w:hAnsi="Arial" w:cs="Arial"/>
          <w:sz w:val="20"/>
          <w:szCs w:val="20"/>
        </w:rPr>
        <w:t xml:space="preserve"> </w:t>
      </w:r>
      <w:proofErr w:type="spellStart"/>
      <w:r w:rsidRPr="00221347">
        <w:rPr>
          <w:rFonts w:ascii="Arial" w:hAnsi="Arial" w:cs="Arial"/>
          <w:sz w:val="20"/>
          <w:szCs w:val="20"/>
        </w:rPr>
        <w:t>Liver</w:t>
      </w:r>
      <w:proofErr w:type="spellEnd"/>
      <w:r w:rsidRPr="00221347">
        <w:rPr>
          <w:rFonts w:ascii="Arial" w:hAnsi="Arial" w:cs="Arial"/>
          <w:sz w:val="20"/>
          <w:szCs w:val="20"/>
        </w:rPr>
        <w:t xml:space="preserve"> </w:t>
      </w:r>
      <w:proofErr w:type="spellStart"/>
      <w:r w:rsidRPr="00221347">
        <w:rPr>
          <w:rFonts w:ascii="Arial" w:hAnsi="Arial" w:cs="Arial"/>
          <w:sz w:val="20"/>
          <w:szCs w:val="20"/>
        </w:rPr>
        <w:t>Disease</w:t>
      </w:r>
      <w:proofErr w:type="spellEnd"/>
      <w:r w:rsidRPr="00221347">
        <w:rPr>
          <w:rFonts w:ascii="Arial" w:hAnsi="Arial" w:cs="Arial"/>
          <w:sz w:val="20"/>
          <w:szCs w:val="20"/>
        </w:rPr>
        <w:t xml:space="preserve"> (MELD) e sua variante que inclui valores séricos de sódio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foram construídas curvas ROC, avaliando a associação entre os </w:t>
      </w:r>
      <w:r w:rsidRPr="00221347">
        <w:rPr>
          <w:rFonts w:ascii="Arial" w:hAnsi="Arial" w:cs="Arial"/>
          <w:sz w:val="20"/>
          <w:szCs w:val="20"/>
        </w:rPr>
        <w:lastRenderedPageBreak/>
        <w:t xml:space="preserve">parâmetros laboratoriais de gravidade na doença hepática (utilizados para o cálculo do score) e a invasão microvascular/óbito nestes pacientes. Assim, buscou-se estabelecer, na curva, o ponto de corte ideal para o desfecho como aquele que evidencia os maiores valores de Sensibilidade e Especificidade simultaneamente. </w:t>
      </w:r>
    </w:p>
    <w:p w14:paraId="7D717A98" w14:textId="77777777" w:rsidR="00E81F67" w:rsidRPr="00221347" w:rsidRDefault="00E81F67" w:rsidP="00E81F67">
      <w:pPr>
        <w:spacing w:line="360" w:lineRule="auto"/>
        <w:ind w:firstLine="708"/>
        <w:jc w:val="both"/>
        <w:rPr>
          <w:rFonts w:ascii="Arial" w:hAnsi="Arial" w:cs="Arial"/>
          <w:sz w:val="20"/>
          <w:szCs w:val="20"/>
        </w:rPr>
      </w:pPr>
      <w:r w:rsidRPr="00221347">
        <w:rPr>
          <w:rFonts w:ascii="Arial" w:hAnsi="Arial" w:cs="Arial"/>
          <w:sz w:val="20"/>
          <w:szCs w:val="20"/>
        </w:rPr>
        <w:t xml:space="preserve">Toda a tabulação ocorreu no programa Microsoft Excel© e as análises estatísticas foram realizadas no software </w:t>
      </w:r>
      <w:proofErr w:type="spellStart"/>
      <w:r w:rsidRPr="00221347">
        <w:rPr>
          <w:rFonts w:ascii="Arial" w:hAnsi="Arial" w:cs="Arial"/>
          <w:sz w:val="20"/>
          <w:szCs w:val="20"/>
        </w:rPr>
        <w:t>Stata</w:t>
      </w:r>
      <w:proofErr w:type="spellEnd"/>
      <w:r w:rsidRPr="00221347">
        <w:rPr>
          <w:rFonts w:ascii="Arial" w:hAnsi="Arial" w:cs="Arial"/>
          <w:sz w:val="20"/>
          <w:szCs w:val="20"/>
        </w:rPr>
        <w:t xml:space="preserve"> versão 16.0 (</w:t>
      </w:r>
      <w:proofErr w:type="spellStart"/>
      <w:r w:rsidRPr="00221347">
        <w:rPr>
          <w:rFonts w:ascii="Arial" w:hAnsi="Arial" w:cs="Arial"/>
          <w:sz w:val="20"/>
          <w:szCs w:val="20"/>
        </w:rPr>
        <w:t>StataCorp</w:t>
      </w:r>
      <w:proofErr w:type="spellEnd"/>
      <w:r w:rsidRPr="00221347">
        <w:rPr>
          <w:rFonts w:ascii="Arial" w:hAnsi="Arial" w:cs="Arial"/>
          <w:sz w:val="20"/>
          <w:szCs w:val="20"/>
        </w:rPr>
        <w:t xml:space="preserve">. 2019. </w:t>
      </w:r>
      <w:proofErr w:type="spellStart"/>
      <w:r w:rsidRPr="00221347">
        <w:rPr>
          <w:rFonts w:ascii="Arial" w:hAnsi="Arial" w:cs="Arial"/>
          <w:sz w:val="20"/>
          <w:szCs w:val="20"/>
        </w:rPr>
        <w:t>Stata</w:t>
      </w:r>
      <w:proofErr w:type="spellEnd"/>
      <w:r w:rsidRPr="00221347">
        <w:rPr>
          <w:rFonts w:ascii="Arial" w:hAnsi="Arial" w:cs="Arial"/>
          <w:sz w:val="20"/>
          <w:szCs w:val="20"/>
        </w:rPr>
        <w:t xml:space="preserve"> </w:t>
      </w:r>
      <w:proofErr w:type="spellStart"/>
      <w:r w:rsidRPr="00221347">
        <w:rPr>
          <w:rFonts w:ascii="Arial" w:hAnsi="Arial" w:cs="Arial"/>
          <w:sz w:val="20"/>
          <w:szCs w:val="20"/>
        </w:rPr>
        <w:t>Statistical</w:t>
      </w:r>
      <w:proofErr w:type="spellEnd"/>
      <w:r w:rsidRPr="00221347">
        <w:rPr>
          <w:rFonts w:ascii="Arial" w:hAnsi="Arial" w:cs="Arial"/>
          <w:sz w:val="20"/>
          <w:szCs w:val="20"/>
        </w:rPr>
        <w:t xml:space="preserve"> Software: Release 16. </w:t>
      </w:r>
      <w:proofErr w:type="spellStart"/>
      <w:r w:rsidRPr="00221347">
        <w:rPr>
          <w:rFonts w:ascii="Arial" w:hAnsi="Arial" w:cs="Arial"/>
          <w:sz w:val="20"/>
          <w:szCs w:val="20"/>
        </w:rPr>
        <w:t>College</w:t>
      </w:r>
      <w:proofErr w:type="spellEnd"/>
      <w:r w:rsidRPr="00221347">
        <w:rPr>
          <w:rFonts w:ascii="Arial" w:hAnsi="Arial" w:cs="Arial"/>
          <w:sz w:val="20"/>
          <w:szCs w:val="20"/>
        </w:rPr>
        <w:t xml:space="preserve"> </w:t>
      </w:r>
      <w:proofErr w:type="spellStart"/>
      <w:r w:rsidRPr="00221347">
        <w:rPr>
          <w:rFonts w:ascii="Arial" w:hAnsi="Arial" w:cs="Arial"/>
          <w:sz w:val="20"/>
          <w:szCs w:val="20"/>
        </w:rPr>
        <w:t>Station</w:t>
      </w:r>
      <w:proofErr w:type="spellEnd"/>
      <w:r w:rsidRPr="00221347">
        <w:rPr>
          <w:rFonts w:ascii="Arial" w:hAnsi="Arial" w:cs="Arial"/>
          <w:sz w:val="20"/>
          <w:szCs w:val="20"/>
        </w:rPr>
        <w:t xml:space="preserve">, TX: </w:t>
      </w:r>
      <w:proofErr w:type="spellStart"/>
      <w:r w:rsidRPr="00221347">
        <w:rPr>
          <w:rFonts w:ascii="Arial" w:hAnsi="Arial" w:cs="Arial"/>
          <w:sz w:val="20"/>
          <w:szCs w:val="20"/>
        </w:rPr>
        <w:t>StataCorp</w:t>
      </w:r>
      <w:proofErr w:type="spellEnd"/>
      <w:r w:rsidRPr="00221347">
        <w:rPr>
          <w:rFonts w:ascii="Arial" w:hAnsi="Arial" w:cs="Arial"/>
          <w:sz w:val="20"/>
          <w:szCs w:val="20"/>
        </w:rPr>
        <w:t xml:space="preserve"> LP), ao nível de significância de 5%.</w:t>
      </w:r>
    </w:p>
    <w:p w14:paraId="0A107B03" w14:textId="7E9035EB" w:rsidR="009E1885" w:rsidRPr="00221347" w:rsidRDefault="00753283" w:rsidP="00E81F67">
      <w:pPr>
        <w:spacing w:line="360" w:lineRule="auto"/>
        <w:ind w:firstLine="708"/>
        <w:jc w:val="both"/>
        <w:rPr>
          <w:rFonts w:ascii="Arial" w:hAnsi="Arial" w:cs="Arial"/>
          <w:sz w:val="20"/>
          <w:szCs w:val="20"/>
        </w:rPr>
      </w:pPr>
      <w:r w:rsidRPr="00221347">
        <w:rPr>
          <w:rFonts w:ascii="Arial" w:hAnsi="Arial" w:cs="Arial"/>
          <w:sz w:val="20"/>
          <w:szCs w:val="20"/>
        </w:rPr>
        <w:t>O estudo em questão está em consonância com os preceitos éticos exigidos</w:t>
      </w:r>
      <w:r w:rsidR="00290126" w:rsidRPr="00221347">
        <w:rPr>
          <w:rFonts w:ascii="Arial" w:hAnsi="Arial" w:cs="Arial"/>
          <w:sz w:val="20"/>
          <w:szCs w:val="20"/>
        </w:rPr>
        <w:t xml:space="preserve">. </w:t>
      </w:r>
      <w:r w:rsidR="004940BE" w:rsidRPr="00221347">
        <w:rPr>
          <w:rFonts w:ascii="Arial" w:hAnsi="Arial" w:cs="Arial"/>
          <w:sz w:val="20"/>
          <w:szCs w:val="20"/>
        </w:rPr>
        <w:t>Sendo, previamente, submetido ao comitê de ética em pesquisa da UNICAMP</w:t>
      </w:r>
      <w:r w:rsidR="009E1885" w:rsidRPr="00221347">
        <w:rPr>
          <w:rFonts w:ascii="Arial" w:hAnsi="Arial" w:cs="Arial"/>
          <w:sz w:val="20"/>
          <w:szCs w:val="20"/>
        </w:rPr>
        <w:t xml:space="preserve">, obtendo aprovação sob o número de parecer 1.377.774. </w:t>
      </w:r>
    </w:p>
    <w:p w14:paraId="12171F91" w14:textId="7AF22A4B" w:rsidR="006D6E79" w:rsidRPr="00221347" w:rsidRDefault="006D6E79" w:rsidP="0068402D">
      <w:pPr>
        <w:spacing w:line="360" w:lineRule="auto"/>
        <w:jc w:val="both"/>
        <w:rPr>
          <w:rFonts w:ascii="Arial" w:hAnsi="Arial" w:cs="Arial"/>
          <w:sz w:val="20"/>
          <w:szCs w:val="20"/>
        </w:rPr>
      </w:pPr>
    </w:p>
    <w:p w14:paraId="76C4E749" w14:textId="49F344FA" w:rsidR="007A7123" w:rsidRPr="00221347" w:rsidRDefault="00191763" w:rsidP="00221347">
      <w:pPr>
        <w:spacing w:line="360" w:lineRule="auto"/>
        <w:jc w:val="both"/>
        <w:rPr>
          <w:rFonts w:ascii="Arial" w:hAnsi="Arial" w:cs="Arial"/>
          <w:b/>
          <w:sz w:val="20"/>
          <w:szCs w:val="20"/>
        </w:rPr>
      </w:pPr>
      <w:r w:rsidRPr="00221347">
        <w:rPr>
          <w:rFonts w:ascii="Arial" w:hAnsi="Arial" w:cs="Arial"/>
          <w:b/>
          <w:sz w:val="20"/>
          <w:szCs w:val="20"/>
        </w:rPr>
        <w:t>RESULTADO</w:t>
      </w:r>
      <w:r w:rsidR="00A625EB">
        <w:rPr>
          <w:rFonts w:ascii="Arial" w:hAnsi="Arial" w:cs="Arial"/>
          <w:b/>
          <w:sz w:val="20"/>
          <w:szCs w:val="20"/>
        </w:rPr>
        <w:t>S</w:t>
      </w:r>
    </w:p>
    <w:p w14:paraId="5D1FB59E" w14:textId="42EF8285" w:rsidR="009704D7" w:rsidRPr="00221347" w:rsidRDefault="00331A9E" w:rsidP="009704D7">
      <w:pPr>
        <w:spacing w:line="360" w:lineRule="auto"/>
        <w:ind w:firstLine="708"/>
        <w:jc w:val="both"/>
        <w:rPr>
          <w:rFonts w:ascii="Arial" w:hAnsi="Arial" w:cs="Arial"/>
          <w:sz w:val="20"/>
          <w:szCs w:val="20"/>
        </w:rPr>
      </w:pPr>
      <w:r w:rsidRPr="00221347">
        <w:rPr>
          <w:rFonts w:ascii="Arial" w:hAnsi="Arial" w:cs="Arial"/>
          <w:b/>
          <w:sz w:val="20"/>
          <w:szCs w:val="20"/>
        </w:rPr>
        <w:tab/>
      </w:r>
      <w:r w:rsidR="009704D7" w:rsidRPr="00221347">
        <w:rPr>
          <w:rFonts w:ascii="Arial" w:hAnsi="Arial" w:cs="Arial"/>
          <w:sz w:val="20"/>
          <w:szCs w:val="20"/>
        </w:rPr>
        <w:t>Na Tabela 1 estão dispostas as características individuais dos pacientes em estudo, podendo-se observar que, dentre os 92 pacientes, a maior parte foi do sexo masculino (78,30%), com idade, em média, de 58,53 anos (Desvio Padrão= 0,80) e raça/cor branca (91,3%). A maior parte das hepatopatias foi causada pelo vírus da Hepatite C (53,26%), seguida por Hepatopatia alcoólica</w:t>
      </w:r>
      <w:r w:rsidR="00D95FF6">
        <w:rPr>
          <w:rFonts w:ascii="Arial" w:hAnsi="Arial" w:cs="Arial"/>
          <w:sz w:val="20"/>
          <w:szCs w:val="20"/>
        </w:rPr>
        <w:t xml:space="preserve"> (17,39%)</w:t>
      </w:r>
      <w:r w:rsidR="009704D7" w:rsidRPr="00221347">
        <w:rPr>
          <w:rFonts w:ascii="Arial" w:hAnsi="Arial" w:cs="Arial"/>
          <w:sz w:val="20"/>
          <w:szCs w:val="20"/>
        </w:rPr>
        <w:t>. Destaca-se que, ainda assim, 70,70% dos indivíduos possuíam histórico de uso de bebidas alcoólicas. 53,26% eram hipertensos e os tumores foram localizados principalmente no lado direito (66,67%) do fígado. Os tumores tiveram 3,05 cm (Amplitude interquartil= 1,98) e grau histológico 2 (56,25%). 31,52% da amostra evidenciou invasão microvascular à análise histopatológica e 47,83% evoluíram com óbito, sendo o tempo até o óbito de 27,5 dias (AI= 192,5) e a principal causa, de acordo com a Tabela 2, foi a septicemia (40,91%).</w:t>
      </w:r>
    </w:p>
    <w:p w14:paraId="24876337" w14:textId="77777777" w:rsidR="009704D7" w:rsidRPr="00221347" w:rsidRDefault="009704D7" w:rsidP="009704D7">
      <w:pPr>
        <w:spacing w:line="360" w:lineRule="auto"/>
        <w:ind w:firstLine="708"/>
        <w:jc w:val="both"/>
        <w:rPr>
          <w:rFonts w:ascii="Arial" w:hAnsi="Arial" w:cs="Arial"/>
          <w:sz w:val="20"/>
          <w:szCs w:val="20"/>
        </w:rPr>
      </w:pPr>
      <w:r w:rsidRPr="00221347">
        <w:rPr>
          <w:rFonts w:ascii="Arial" w:hAnsi="Arial" w:cs="Arial"/>
          <w:sz w:val="20"/>
          <w:szCs w:val="20"/>
        </w:rPr>
        <w:t xml:space="preserve">Na Tabela 3 estão dispostos os dados laboratoriais dos pacientes, evidenciando-se média dos valores de albumina abaixo dos limites inferiores de referência e dentro dos limites em pacientes sem (Média= </w:t>
      </w:r>
      <w:r w:rsidRPr="00221347">
        <w:rPr>
          <w:rFonts w:ascii="Arial" w:eastAsia="Times New Roman" w:hAnsi="Arial" w:cs="Arial"/>
          <w:color w:val="000000"/>
          <w:sz w:val="20"/>
          <w:szCs w:val="20"/>
          <w:lang w:eastAsia="pt-BR"/>
        </w:rPr>
        <w:t>3,32 e DP= 0,94)</w:t>
      </w:r>
      <w:r w:rsidRPr="00221347">
        <w:rPr>
          <w:rFonts w:ascii="Arial" w:hAnsi="Arial" w:cs="Arial"/>
          <w:sz w:val="20"/>
          <w:szCs w:val="20"/>
        </w:rPr>
        <w:t xml:space="preserve"> e com invasão microvascular (Média de 3,66 e DP= 0,71), respectivamente. A mediana para as plaquetas também esteve abaixo dos limites inferiores de referência, em ambos os grupos.  Os valores medianos de </w:t>
      </w:r>
      <w:proofErr w:type="spellStart"/>
      <w:r w:rsidRPr="00221347">
        <w:rPr>
          <w:rFonts w:ascii="Arial" w:hAnsi="Arial" w:cs="Arial"/>
          <w:sz w:val="20"/>
          <w:szCs w:val="20"/>
        </w:rPr>
        <w:t>Alfafetoproteína</w:t>
      </w:r>
      <w:proofErr w:type="spellEnd"/>
      <w:r w:rsidRPr="00221347">
        <w:rPr>
          <w:rFonts w:ascii="Arial" w:hAnsi="Arial" w:cs="Arial"/>
          <w:sz w:val="20"/>
          <w:szCs w:val="20"/>
        </w:rPr>
        <w:t xml:space="preserve">, TGO e GGT estiveram acima dos limites superiores da normalidade. A mediana para o MELD dos pacientes foi de 12 (AI= 7) em pacientes sem IMV e 11 (5,5) em pacientes com IMV, sendo os valores de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11 (AI= 11) e 8 (AI= 6,5), para os mesmos grupos. Não houve diferenças significativas entre os grupos para nenhum dos parâmetros avaliados. </w:t>
      </w:r>
    </w:p>
    <w:p w14:paraId="78F5EF46" w14:textId="77777777" w:rsidR="009704D7" w:rsidRPr="00221347" w:rsidRDefault="009704D7" w:rsidP="009704D7">
      <w:pPr>
        <w:spacing w:line="360" w:lineRule="auto"/>
        <w:ind w:firstLine="708"/>
        <w:jc w:val="both"/>
        <w:rPr>
          <w:rFonts w:ascii="Arial" w:hAnsi="Arial" w:cs="Arial"/>
          <w:sz w:val="20"/>
          <w:szCs w:val="20"/>
        </w:rPr>
      </w:pPr>
      <w:r w:rsidRPr="00221347">
        <w:rPr>
          <w:rFonts w:ascii="Arial" w:hAnsi="Arial" w:cs="Arial"/>
          <w:sz w:val="20"/>
          <w:szCs w:val="20"/>
        </w:rPr>
        <w:t>Na Tabela 4, pode-se identificar que inicialmente houve uma associação entre o sexo masculino e o tabagismo para o desfecho invasão microvascular, porém nenhuma das duas variáveis permaneceu significativa na análise multivariada. Para o desfecho óbito, na análise bivariada foram identificados como fatores de proteção o sexo masculino (P-valor= 0,012) e o tabagismo (P-Valor= 0,035), além da Hipertensão Arterial Sistêmica como fator de risco (P-valor= 0,037), permanecendo na análise multivariada o sexo masculino (OR= 0,2189 e IC= 0,0624; 0,7683).</w:t>
      </w:r>
    </w:p>
    <w:p w14:paraId="0DE93669" w14:textId="77777777" w:rsidR="009704D7" w:rsidRPr="00221347" w:rsidRDefault="009704D7" w:rsidP="009704D7">
      <w:pPr>
        <w:spacing w:line="360" w:lineRule="auto"/>
        <w:ind w:firstLine="708"/>
        <w:jc w:val="both"/>
        <w:rPr>
          <w:rFonts w:ascii="Arial" w:hAnsi="Arial" w:cs="Arial"/>
          <w:sz w:val="20"/>
          <w:szCs w:val="20"/>
        </w:rPr>
      </w:pPr>
      <w:r w:rsidRPr="00221347">
        <w:rPr>
          <w:rFonts w:ascii="Arial" w:hAnsi="Arial" w:cs="Arial"/>
          <w:sz w:val="20"/>
          <w:szCs w:val="20"/>
        </w:rPr>
        <w:t>A Tabela 5 evidencia uma associação inicial entre o tamanho do maior tumor &gt;5 cm, Bilirrubina Total &gt; 1,2 mg/</w:t>
      </w:r>
      <w:proofErr w:type="spellStart"/>
      <w:r w:rsidRPr="00221347">
        <w:rPr>
          <w:rFonts w:ascii="Arial" w:hAnsi="Arial" w:cs="Arial"/>
          <w:sz w:val="20"/>
          <w:szCs w:val="20"/>
        </w:rPr>
        <w:t>dL</w:t>
      </w:r>
      <w:proofErr w:type="spellEnd"/>
      <w:r w:rsidRPr="00221347">
        <w:rPr>
          <w:rFonts w:ascii="Arial" w:hAnsi="Arial" w:cs="Arial"/>
          <w:sz w:val="20"/>
          <w:szCs w:val="20"/>
        </w:rPr>
        <w:t xml:space="preserve">, </w:t>
      </w:r>
      <w:proofErr w:type="spellStart"/>
      <w:r w:rsidRPr="00221347">
        <w:rPr>
          <w:rFonts w:ascii="Arial" w:hAnsi="Arial" w:cs="Arial"/>
          <w:sz w:val="20"/>
          <w:szCs w:val="20"/>
        </w:rPr>
        <w:t>Plaquetograma</w:t>
      </w:r>
      <w:proofErr w:type="spellEnd"/>
      <w:r w:rsidRPr="00221347">
        <w:rPr>
          <w:rFonts w:ascii="Arial" w:hAnsi="Arial" w:cs="Arial"/>
          <w:sz w:val="20"/>
          <w:szCs w:val="20"/>
        </w:rPr>
        <w:t xml:space="preserve"> &lt; 100 x 109/L, Albumina Sérica &lt; 3,5 ou &gt; 5,5g/</w:t>
      </w:r>
      <w:proofErr w:type="spellStart"/>
      <w:r w:rsidRPr="00221347">
        <w:rPr>
          <w:rFonts w:ascii="Arial" w:hAnsi="Arial" w:cs="Arial"/>
          <w:sz w:val="20"/>
          <w:szCs w:val="20"/>
        </w:rPr>
        <w:t>dL</w:t>
      </w:r>
      <w:proofErr w:type="spellEnd"/>
      <w:r w:rsidRPr="00221347">
        <w:rPr>
          <w:rFonts w:ascii="Arial" w:hAnsi="Arial" w:cs="Arial"/>
          <w:sz w:val="20"/>
          <w:szCs w:val="20"/>
        </w:rPr>
        <w:t xml:space="preserve">, GGT &gt; 130 U/L e o desfecho invasão microvascular, no entanto, nenhuma variável permaneceu significativa na análise </w:t>
      </w:r>
      <w:r w:rsidRPr="00221347">
        <w:rPr>
          <w:rFonts w:ascii="Arial" w:hAnsi="Arial" w:cs="Arial"/>
          <w:sz w:val="20"/>
          <w:szCs w:val="20"/>
        </w:rPr>
        <w:lastRenderedPageBreak/>
        <w:t xml:space="preserve">multivariada. Não foram identificadas associações entre as variáveis laboratoriais de exposição e o desfecho óbito. </w:t>
      </w:r>
    </w:p>
    <w:p w14:paraId="11289036" w14:textId="5976A213" w:rsidR="009704D7" w:rsidRPr="00221347" w:rsidRDefault="009704D7" w:rsidP="009704D7">
      <w:pPr>
        <w:spacing w:line="360" w:lineRule="auto"/>
        <w:ind w:firstLine="708"/>
        <w:jc w:val="both"/>
        <w:rPr>
          <w:rFonts w:ascii="Arial" w:hAnsi="Arial" w:cs="Arial"/>
          <w:sz w:val="20"/>
          <w:szCs w:val="20"/>
        </w:rPr>
      </w:pPr>
      <w:r w:rsidRPr="00221347">
        <w:rPr>
          <w:rFonts w:ascii="Arial" w:hAnsi="Arial" w:cs="Arial"/>
          <w:sz w:val="20"/>
          <w:szCs w:val="20"/>
        </w:rPr>
        <w:t xml:space="preserve">Na Figura 1, foram construídas as curvas ROC avaliando a associação entre os parâmetros laboratoriais de gravidade na doença hepática através dos scores MELD e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com a invasão microvascular. Para o primeiro, identificou-se como ponto de corte de maior sensibilidade (10,34%) e especificidade (90,48%) simultâneas o valor de 21 pontos, ao passo que no segundo o ponto de corte foi 24 pontos, com sensibilidade de 6,90% e especificidade de 93,65%. </w:t>
      </w:r>
      <w:r w:rsidR="00FF3ED0" w:rsidRPr="00FF3ED0">
        <w:rPr>
          <w:rFonts w:ascii="Arial" w:hAnsi="Arial" w:cs="Arial"/>
          <w:sz w:val="20"/>
          <w:szCs w:val="20"/>
        </w:rPr>
        <w:t>Obteve-se também valor</w:t>
      </w:r>
      <w:r w:rsidR="00FF3ED0">
        <w:rPr>
          <w:rFonts w:ascii="Arial" w:hAnsi="Arial" w:cs="Arial"/>
          <w:sz w:val="20"/>
          <w:szCs w:val="20"/>
        </w:rPr>
        <w:t>es</w:t>
      </w:r>
      <w:r w:rsidR="00FF3ED0" w:rsidRPr="00FF3ED0">
        <w:rPr>
          <w:rFonts w:ascii="Arial" w:hAnsi="Arial" w:cs="Arial"/>
          <w:sz w:val="20"/>
          <w:szCs w:val="20"/>
        </w:rPr>
        <w:t xml:space="preserve"> da</w:t>
      </w:r>
      <w:r w:rsidR="00FF3ED0">
        <w:rPr>
          <w:rFonts w:ascii="Arial" w:hAnsi="Arial" w:cs="Arial"/>
          <w:sz w:val="20"/>
          <w:szCs w:val="20"/>
        </w:rPr>
        <w:t>s</w:t>
      </w:r>
      <w:r w:rsidR="00FF3ED0" w:rsidRPr="00FF3ED0">
        <w:rPr>
          <w:rFonts w:ascii="Arial" w:hAnsi="Arial" w:cs="Arial"/>
          <w:sz w:val="20"/>
          <w:szCs w:val="20"/>
        </w:rPr>
        <w:t xml:space="preserve"> área</w:t>
      </w:r>
      <w:r w:rsidR="00FF3ED0">
        <w:rPr>
          <w:rFonts w:ascii="Arial" w:hAnsi="Arial" w:cs="Arial"/>
          <w:sz w:val="20"/>
          <w:szCs w:val="20"/>
        </w:rPr>
        <w:t>s</w:t>
      </w:r>
      <w:r w:rsidR="00FF3ED0" w:rsidRPr="00FF3ED0">
        <w:rPr>
          <w:rFonts w:ascii="Arial" w:hAnsi="Arial" w:cs="Arial"/>
          <w:sz w:val="20"/>
          <w:szCs w:val="20"/>
        </w:rPr>
        <w:t xml:space="preserve"> sob a curva do score MELD de 0,4086 e do score </w:t>
      </w:r>
      <w:proofErr w:type="spellStart"/>
      <w:r w:rsidR="00FF3ED0" w:rsidRPr="00FF3ED0">
        <w:rPr>
          <w:rFonts w:ascii="Arial" w:hAnsi="Arial" w:cs="Arial"/>
          <w:sz w:val="20"/>
          <w:szCs w:val="20"/>
        </w:rPr>
        <w:t>MELD-Na</w:t>
      </w:r>
      <w:proofErr w:type="spellEnd"/>
      <w:r w:rsidR="00FF3ED0" w:rsidRPr="00FF3ED0">
        <w:rPr>
          <w:rFonts w:ascii="Arial" w:hAnsi="Arial" w:cs="Arial"/>
          <w:sz w:val="20"/>
          <w:szCs w:val="20"/>
        </w:rPr>
        <w:t xml:space="preserve"> de 0,4042.</w:t>
      </w:r>
      <w:r w:rsidR="00FF3ED0" w:rsidRPr="00FF3ED0" w:rsidDel="00FF3ED0">
        <w:rPr>
          <w:rFonts w:ascii="Arial" w:hAnsi="Arial" w:cs="Arial"/>
          <w:sz w:val="20"/>
          <w:szCs w:val="20"/>
        </w:rPr>
        <w:t xml:space="preserve"> </w:t>
      </w:r>
      <w:r w:rsidRPr="00221347">
        <w:rPr>
          <w:rFonts w:ascii="Arial" w:hAnsi="Arial" w:cs="Arial"/>
          <w:sz w:val="20"/>
          <w:szCs w:val="20"/>
        </w:rPr>
        <w:t xml:space="preserve">Na Figura 2, as curvas foram construídas para o desfecho óbito, sendo que para o score MELD identificou-se como ponto de corte de maior sensibilidade (90,91%) e especificidade (37,50%) simultâneas o valor de 10 pontos, ao passo que no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o ponto de corte foi 7 pontos, com sensibilidade de 90,91% e especificidade de 33,33%. Ambas as escalas foram significativas, com valores de área sob a curva de 0,5727 para a escala MELD e 0,6032 para o </w:t>
      </w:r>
      <w:proofErr w:type="spellStart"/>
      <w:r w:rsidRPr="00221347">
        <w:rPr>
          <w:rFonts w:ascii="Arial" w:hAnsi="Arial" w:cs="Arial"/>
          <w:sz w:val="20"/>
          <w:szCs w:val="20"/>
        </w:rPr>
        <w:t>MELD-Na</w:t>
      </w:r>
      <w:proofErr w:type="spellEnd"/>
      <w:r w:rsidRPr="00221347">
        <w:rPr>
          <w:rFonts w:ascii="Arial" w:hAnsi="Arial" w:cs="Arial"/>
          <w:sz w:val="20"/>
          <w:szCs w:val="20"/>
        </w:rPr>
        <w:t>.</w:t>
      </w:r>
      <w:r w:rsidR="003D0D6E">
        <w:rPr>
          <w:rFonts w:ascii="Arial" w:hAnsi="Arial" w:cs="Arial"/>
          <w:sz w:val="20"/>
          <w:szCs w:val="20"/>
        </w:rPr>
        <w:t xml:space="preserve"> Os óbitos considerados tiveram uma média de tempo</w:t>
      </w:r>
      <w:r w:rsidR="009D24EC" w:rsidRPr="000359F3">
        <w:rPr>
          <w:rFonts w:ascii="Arial" w:hAnsi="Arial" w:cs="Arial"/>
          <w:sz w:val="20"/>
          <w:szCs w:val="20"/>
        </w:rPr>
        <w:t xml:space="preserve"> de 27,5 dias</w:t>
      </w:r>
      <w:r w:rsidR="003D0D6E">
        <w:rPr>
          <w:rFonts w:ascii="Arial" w:hAnsi="Arial" w:cs="Arial"/>
          <w:sz w:val="20"/>
          <w:szCs w:val="20"/>
        </w:rPr>
        <w:t xml:space="preserve">, indo de </w:t>
      </w:r>
      <w:r w:rsidR="009D24EC" w:rsidRPr="000359F3">
        <w:rPr>
          <w:rFonts w:ascii="Arial" w:hAnsi="Arial" w:cs="Arial"/>
          <w:sz w:val="20"/>
          <w:szCs w:val="20"/>
        </w:rPr>
        <w:t>1 dia a</w:t>
      </w:r>
      <w:r w:rsidR="003D0D6E">
        <w:rPr>
          <w:rFonts w:ascii="Arial" w:hAnsi="Arial" w:cs="Arial"/>
          <w:sz w:val="20"/>
          <w:szCs w:val="20"/>
        </w:rPr>
        <w:t>té</w:t>
      </w:r>
      <w:r w:rsidR="009D24EC" w:rsidRPr="000359F3">
        <w:rPr>
          <w:rFonts w:ascii="Arial" w:hAnsi="Arial" w:cs="Arial"/>
          <w:sz w:val="20"/>
          <w:szCs w:val="20"/>
        </w:rPr>
        <w:t xml:space="preserve"> 53 meses</w:t>
      </w:r>
      <w:r w:rsidR="00312120">
        <w:rPr>
          <w:rFonts w:ascii="Arial" w:hAnsi="Arial" w:cs="Arial"/>
          <w:sz w:val="20"/>
          <w:szCs w:val="20"/>
        </w:rPr>
        <w:t>.</w:t>
      </w:r>
    </w:p>
    <w:p w14:paraId="0CFDF1D8" w14:textId="7A9D05B5" w:rsidR="001C4A1E" w:rsidRPr="00221347" w:rsidRDefault="001C4A1E" w:rsidP="00221347">
      <w:pPr>
        <w:spacing w:line="360" w:lineRule="auto"/>
        <w:ind w:firstLine="708"/>
        <w:jc w:val="both"/>
        <w:rPr>
          <w:rFonts w:ascii="Arial" w:hAnsi="Arial" w:cs="Arial"/>
          <w:sz w:val="20"/>
          <w:szCs w:val="20"/>
        </w:rPr>
      </w:pPr>
    </w:p>
    <w:p w14:paraId="7C69AF42" w14:textId="5FC15C52" w:rsidR="00D03B70" w:rsidRPr="00221347" w:rsidRDefault="00D03B70" w:rsidP="00D03B70">
      <w:pPr>
        <w:spacing w:line="360" w:lineRule="auto"/>
        <w:jc w:val="both"/>
        <w:rPr>
          <w:rFonts w:ascii="Arial" w:hAnsi="Arial" w:cs="Arial"/>
          <w:sz w:val="20"/>
          <w:szCs w:val="20"/>
        </w:rPr>
      </w:pPr>
      <w:r w:rsidRPr="00221347">
        <w:rPr>
          <w:rFonts w:ascii="Arial" w:hAnsi="Arial" w:cs="Arial"/>
          <w:sz w:val="20"/>
          <w:szCs w:val="20"/>
        </w:rPr>
        <w:t xml:space="preserve">Tabela 1: Características epidemiológicas e clínicas dos pacientes submetidos a </w:t>
      </w:r>
      <w:r w:rsidR="00DE41D7">
        <w:rPr>
          <w:rFonts w:ascii="Arial" w:hAnsi="Arial" w:cs="Arial"/>
          <w:sz w:val="20"/>
          <w:szCs w:val="20"/>
        </w:rPr>
        <w:t>transplante hepático</w:t>
      </w:r>
      <w:r w:rsidR="00DE41D7" w:rsidRPr="00221347">
        <w:rPr>
          <w:rFonts w:ascii="Arial" w:hAnsi="Arial" w:cs="Arial"/>
          <w:sz w:val="20"/>
          <w:szCs w:val="20"/>
        </w:rPr>
        <w:t xml:space="preserve"> por Carcinoma Hepatocelular</w:t>
      </w:r>
    </w:p>
    <w:tbl>
      <w:tblPr>
        <w:tblpPr w:leftFromText="141" w:rightFromText="141" w:vertAnchor="text" w:tblpXSpec="center" w:tblpY="1"/>
        <w:tblOverlap w:val="never"/>
        <w:tblW w:w="7286"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428"/>
        <w:gridCol w:w="2429"/>
        <w:gridCol w:w="2429"/>
      </w:tblGrid>
      <w:tr w:rsidR="00D03B70" w:rsidRPr="000A3F11" w14:paraId="501A1389" w14:textId="77777777" w:rsidTr="00221347">
        <w:trPr>
          <w:trHeight w:val="265"/>
        </w:trPr>
        <w:tc>
          <w:tcPr>
            <w:tcW w:w="2428" w:type="dxa"/>
            <w:tcBorders>
              <w:bottom w:val="single" w:sz="4" w:space="0" w:color="auto"/>
            </w:tcBorders>
            <w:shd w:val="clear" w:color="auto" w:fill="auto"/>
            <w:noWrap/>
            <w:vAlign w:val="center"/>
            <w:hideMark/>
          </w:tcPr>
          <w:p w14:paraId="7D757168"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Variável</w:t>
            </w:r>
          </w:p>
        </w:tc>
        <w:tc>
          <w:tcPr>
            <w:tcW w:w="2429" w:type="dxa"/>
            <w:tcBorders>
              <w:bottom w:val="single" w:sz="4" w:space="0" w:color="auto"/>
            </w:tcBorders>
            <w:shd w:val="clear" w:color="auto" w:fill="auto"/>
            <w:noWrap/>
            <w:vAlign w:val="center"/>
            <w:hideMark/>
          </w:tcPr>
          <w:p w14:paraId="1D8C9B7E" w14:textId="77777777" w:rsidR="00D03B70" w:rsidRPr="00221347" w:rsidRDefault="00D03B70"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n</w:t>
            </w:r>
          </w:p>
        </w:tc>
        <w:tc>
          <w:tcPr>
            <w:tcW w:w="2429" w:type="dxa"/>
            <w:tcBorders>
              <w:bottom w:val="single" w:sz="4" w:space="0" w:color="auto"/>
            </w:tcBorders>
            <w:shd w:val="clear" w:color="auto" w:fill="auto"/>
            <w:noWrap/>
            <w:vAlign w:val="center"/>
            <w:hideMark/>
          </w:tcPr>
          <w:p w14:paraId="3635FC3A" w14:textId="77777777" w:rsidR="00D03B70" w:rsidRPr="00221347" w:rsidRDefault="00D03B70" w:rsidP="00FD00E1">
            <w:pPr>
              <w:jc w:val="center"/>
              <w:rPr>
                <w:rFonts w:ascii="Arial" w:eastAsia="Times New Roman" w:hAnsi="Arial" w:cs="Arial"/>
                <w:b/>
                <w:bCs/>
                <w:sz w:val="20"/>
                <w:szCs w:val="20"/>
                <w:lang w:eastAsia="pt-BR"/>
              </w:rPr>
            </w:pPr>
            <w:r w:rsidRPr="00221347">
              <w:rPr>
                <w:rFonts w:ascii="Arial" w:eastAsia="Times New Roman" w:hAnsi="Arial" w:cs="Arial"/>
                <w:b/>
                <w:bCs/>
                <w:sz w:val="20"/>
                <w:szCs w:val="20"/>
                <w:lang w:eastAsia="pt-BR"/>
              </w:rPr>
              <w:t>%</w:t>
            </w:r>
          </w:p>
        </w:tc>
      </w:tr>
      <w:tr w:rsidR="00D03B70" w:rsidRPr="000A3F11" w14:paraId="0432E652" w14:textId="77777777" w:rsidTr="00221347">
        <w:trPr>
          <w:trHeight w:val="265"/>
        </w:trPr>
        <w:tc>
          <w:tcPr>
            <w:tcW w:w="2428" w:type="dxa"/>
            <w:tcBorders>
              <w:top w:val="single" w:sz="4" w:space="0" w:color="auto"/>
            </w:tcBorders>
            <w:shd w:val="clear" w:color="auto" w:fill="auto"/>
            <w:noWrap/>
            <w:vAlign w:val="center"/>
          </w:tcPr>
          <w:p w14:paraId="136C6024"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Sexo Masculino</w:t>
            </w:r>
          </w:p>
        </w:tc>
        <w:tc>
          <w:tcPr>
            <w:tcW w:w="2429" w:type="dxa"/>
            <w:tcBorders>
              <w:top w:val="single" w:sz="4" w:space="0" w:color="auto"/>
            </w:tcBorders>
            <w:shd w:val="clear" w:color="auto" w:fill="auto"/>
            <w:noWrap/>
            <w:vAlign w:val="center"/>
          </w:tcPr>
          <w:p w14:paraId="3FB0F1BC"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72</w:t>
            </w:r>
          </w:p>
        </w:tc>
        <w:tc>
          <w:tcPr>
            <w:tcW w:w="2429" w:type="dxa"/>
            <w:tcBorders>
              <w:top w:val="single" w:sz="4" w:space="0" w:color="auto"/>
            </w:tcBorders>
            <w:shd w:val="clear" w:color="auto" w:fill="auto"/>
            <w:noWrap/>
            <w:vAlign w:val="center"/>
          </w:tcPr>
          <w:p w14:paraId="02369D08" w14:textId="77777777" w:rsidR="00D03B70" w:rsidRPr="00221347" w:rsidRDefault="00D03B70" w:rsidP="00FD00E1">
            <w:pPr>
              <w:jc w:val="center"/>
              <w:rPr>
                <w:rFonts w:ascii="Arial" w:eastAsia="Times New Roman" w:hAnsi="Arial" w:cs="Arial"/>
                <w:sz w:val="20"/>
                <w:szCs w:val="20"/>
                <w:lang w:eastAsia="pt-BR"/>
              </w:rPr>
            </w:pPr>
            <w:r w:rsidRPr="00221347">
              <w:rPr>
                <w:rFonts w:ascii="Arial" w:eastAsia="Times New Roman" w:hAnsi="Arial" w:cs="Arial"/>
                <w:color w:val="000000"/>
                <w:sz w:val="20"/>
                <w:szCs w:val="20"/>
                <w:lang w:eastAsia="pt-BR"/>
              </w:rPr>
              <w:t>78,30</w:t>
            </w:r>
          </w:p>
        </w:tc>
      </w:tr>
      <w:tr w:rsidR="00D03B70" w:rsidRPr="000A3F11" w14:paraId="681CEB3C" w14:textId="77777777" w:rsidTr="00221347">
        <w:trPr>
          <w:trHeight w:val="265"/>
        </w:trPr>
        <w:tc>
          <w:tcPr>
            <w:tcW w:w="2428" w:type="dxa"/>
            <w:shd w:val="clear" w:color="auto" w:fill="auto"/>
            <w:noWrap/>
            <w:vAlign w:val="center"/>
            <w:hideMark/>
          </w:tcPr>
          <w:p w14:paraId="2FBA83ED"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Idade*</w:t>
            </w:r>
          </w:p>
        </w:tc>
        <w:tc>
          <w:tcPr>
            <w:tcW w:w="2429" w:type="dxa"/>
            <w:shd w:val="clear" w:color="auto" w:fill="auto"/>
            <w:noWrap/>
            <w:vAlign w:val="center"/>
          </w:tcPr>
          <w:p w14:paraId="2163E50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58,22 (36-81)</w:t>
            </w:r>
          </w:p>
        </w:tc>
        <w:tc>
          <w:tcPr>
            <w:tcW w:w="2429" w:type="dxa"/>
            <w:shd w:val="clear" w:color="auto" w:fill="auto"/>
            <w:noWrap/>
            <w:vAlign w:val="center"/>
          </w:tcPr>
          <w:p w14:paraId="1056AC4E"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0,77</w:t>
            </w:r>
          </w:p>
        </w:tc>
      </w:tr>
      <w:tr w:rsidR="00D03B70" w:rsidRPr="000A3F11" w14:paraId="49E7383A" w14:textId="77777777" w:rsidTr="00221347">
        <w:trPr>
          <w:trHeight w:val="265"/>
        </w:trPr>
        <w:tc>
          <w:tcPr>
            <w:tcW w:w="2428" w:type="dxa"/>
            <w:shd w:val="clear" w:color="auto" w:fill="auto"/>
            <w:noWrap/>
            <w:vAlign w:val="center"/>
          </w:tcPr>
          <w:p w14:paraId="38795C83"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hAnsi="Arial" w:cs="Arial"/>
                <w:b/>
                <w:bCs/>
                <w:sz w:val="20"/>
                <w:szCs w:val="20"/>
              </w:rPr>
              <w:t>Peso(kg)</w:t>
            </w:r>
          </w:p>
        </w:tc>
        <w:tc>
          <w:tcPr>
            <w:tcW w:w="2429" w:type="dxa"/>
            <w:shd w:val="clear" w:color="auto" w:fill="auto"/>
            <w:noWrap/>
            <w:vAlign w:val="center"/>
          </w:tcPr>
          <w:p w14:paraId="22DEEB8D"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76,00</w:t>
            </w:r>
          </w:p>
        </w:tc>
        <w:tc>
          <w:tcPr>
            <w:tcW w:w="2429" w:type="dxa"/>
            <w:shd w:val="clear" w:color="auto" w:fill="auto"/>
            <w:noWrap/>
            <w:vAlign w:val="center"/>
          </w:tcPr>
          <w:p w14:paraId="5CFF5185"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19,75</w:t>
            </w:r>
          </w:p>
        </w:tc>
      </w:tr>
      <w:tr w:rsidR="00D03B70" w:rsidRPr="000A3F11" w14:paraId="053C4A7D" w14:textId="77777777" w:rsidTr="00221347">
        <w:trPr>
          <w:trHeight w:val="265"/>
        </w:trPr>
        <w:tc>
          <w:tcPr>
            <w:tcW w:w="2428" w:type="dxa"/>
            <w:shd w:val="clear" w:color="auto" w:fill="auto"/>
            <w:noWrap/>
            <w:vAlign w:val="center"/>
          </w:tcPr>
          <w:p w14:paraId="4664EBE7"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hAnsi="Arial" w:cs="Arial"/>
                <w:b/>
                <w:bCs/>
                <w:sz w:val="20"/>
                <w:szCs w:val="20"/>
              </w:rPr>
              <w:t>Altura (cm)</w:t>
            </w:r>
          </w:p>
        </w:tc>
        <w:tc>
          <w:tcPr>
            <w:tcW w:w="2429" w:type="dxa"/>
            <w:shd w:val="clear" w:color="auto" w:fill="auto"/>
            <w:noWrap/>
            <w:vAlign w:val="center"/>
          </w:tcPr>
          <w:p w14:paraId="28BAC6CD"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169,00</w:t>
            </w:r>
          </w:p>
        </w:tc>
        <w:tc>
          <w:tcPr>
            <w:tcW w:w="2429" w:type="dxa"/>
            <w:shd w:val="clear" w:color="auto" w:fill="auto"/>
            <w:noWrap/>
            <w:vAlign w:val="center"/>
          </w:tcPr>
          <w:p w14:paraId="20695DB2"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11,75</w:t>
            </w:r>
          </w:p>
        </w:tc>
      </w:tr>
      <w:tr w:rsidR="00D03B70" w:rsidRPr="000A3F11" w14:paraId="371B801C" w14:textId="77777777" w:rsidTr="00221347">
        <w:trPr>
          <w:trHeight w:val="265"/>
        </w:trPr>
        <w:tc>
          <w:tcPr>
            <w:tcW w:w="2428" w:type="dxa"/>
            <w:shd w:val="clear" w:color="auto" w:fill="auto"/>
            <w:noWrap/>
            <w:vAlign w:val="center"/>
          </w:tcPr>
          <w:p w14:paraId="75024232"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hAnsi="Arial" w:cs="Arial"/>
                <w:b/>
                <w:bCs/>
                <w:sz w:val="20"/>
                <w:szCs w:val="20"/>
              </w:rPr>
              <w:t>IMC (Kg/m</w:t>
            </w:r>
            <w:r w:rsidRPr="00221347">
              <w:rPr>
                <w:rFonts w:ascii="Arial" w:hAnsi="Arial" w:cs="Arial"/>
                <w:b/>
                <w:bCs/>
                <w:sz w:val="20"/>
                <w:szCs w:val="20"/>
                <w:vertAlign w:val="superscript"/>
              </w:rPr>
              <w:t>2</w:t>
            </w:r>
            <w:r w:rsidRPr="00221347">
              <w:rPr>
                <w:rFonts w:ascii="Arial" w:hAnsi="Arial" w:cs="Arial"/>
                <w:b/>
                <w:bCs/>
                <w:sz w:val="20"/>
                <w:szCs w:val="20"/>
              </w:rPr>
              <w:t>)</w:t>
            </w:r>
          </w:p>
        </w:tc>
        <w:tc>
          <w:tcPr>
            <w:tcW w:w="2429" w:type="dxa"/>
            <w:shd w:val="clear" w:color="auto" w:fill="auto"/>
            <w:noWrap/>
            <w:vAlign w:val="center"/>
          </w:tcPr>
          <w:p w14:paraId="72B27F7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24,82</w:t>
            </w:r>
          </w:p>
        </w:tc>
        <w:tc>
          <w:tcPr>
            <w:tcW w:w="2429" w:type="dxa"/>
            <w:shd w:val="clear" w:color="auto" w:fill="auto"/>
            <w:noWrap/>
            <w:vAlign w:val="center"/>
          </w:tcPr>
          <w:p w14:paraId="44D193AF"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6,45</w:t>
            </w:r>
          </w:p>
        </w:tc>
      </w:tr>
      <w:tr w:rsidR="00D03B70" w:rsidRPr="000A3F11" w14:paraId="1603D549" w14:textId="77777777" w:rsidTr="00221347">
        <w:trPr>
          <w:trHeight w:val="265"/>
        </w:trPr>
        <w:tc>
          <w:tcPr>
            <w:tcW w:w="2428" w:type="dxa"/>
            <w:shd w:val="clear" w:color="auto" w:fill="auto"/>
            <w:noWrap/>
            <w:vAlign w:val="center"/>
          </w:tcPr>
          <w:p w14:paraId="350E7C5A"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Raça/cor</w:t>
            </w:r>
          </w:p>
        </w:tc>
        <w:tc>
          <w:tcPr>
            <w:tcW w:w="2429" w:type="dxa"/>
            <w:shd w:val="clear" w:color="auto" w:fill="auto"/>
            <w:noWrap/>
            <w:vAlign w:val="center"/>
          </w:tcPr>
          <w:p w14:paraId="07C55BCB" w14:textId="77777777" w:rsidR="00D03B70" w:rsidRPr="00221347" w:rsidRDefault="00D03B70" w:rsidP="00FD00E1">
            <w:pPr>
              <w:jc w:val="center"/>
              <w:rPr>
                <w:rFonts w:ascii="Arial" w:eastAsia="Times New Roman" w:hAnsi="Arial" w:cs="Arial"/>
                <w:color w:val="000000"/>
                <w:sz w:val="20"/>
                <w:szCs w:val="20"/>
                <w:lang w:eastAsia="pt-BR"/>
              </w:rPr>
            </w:pPr>
          </w:p>
        </w:tc>
        <w:tc>
          <w:tcPr>
            <w:tcW w:w="2429" w:type="dxa"/>
            <w:shd w:val="clear" w:color="auto" w:fill="auto"/>
            <w:noWrap/>
            <w:vAlign w:val="center"/>
          </w:tcPr>
          <w:p w14:paraId="395F3F15" w14:textId="77777777" w:rsidR="00D03B70" w:rsidRPr="00221347" w:rsidRDefault="00D03B70" w:rsidP="00FD00E1">
            <w:pPr>
              <w:jc w:val="center"/>
              <w:rPr>
                <w:rFonts w:ascii="Arial" w:eastAsia="Times New Roman" w:hAnsi="Arial" w:cs="Arial"/>
                <w:color w:val="000000"/>
                <w:sz w:val="20"/>
                <w:szCs w:val="20"/>
                <w:lang w:eastAsia="pt-BR"/>
              </w:rPr>
            </w:pPr>
          </w:p>
        </w:tc>
      </w:tr>
      <w:tr w:rsidR="00D03B70" w:rsidRPr="000A3F11" w14:paraId="660A69B9" w14:textId="77777777" w:rsidTr="00221347">
        <w:trPr>
          <w:trHeight w:val="265"/>
        </w:trPr>
        <w:tc>
          <w:tcPr>
            <w:tcW w:w="2428" w:type="dxa"/>
            <w:shd w:val="clear" w:color="auto" w:fill="auto"/>
            <w:noWrap/>
            <w:vAlign w:val="center"/>
          </w:tcPr>
          <w:p w14:paraId="2C19FE07"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color w:val="000000"/>
                <w:sz w:val="20"/>
                <w:szCs w:val="20"/>
                <w:lang w:eastAsia="pt-BR"/>
              </w:rPr>
              <w:t>Branca</w:t>
            </w:r>
          </w:p>
        </w:tc>
        <w:tc>
          <w:tcPr>
            <w:tcW w:w="2429" w:type="dxa"/>
            <w:shd w:val="clear" w:color="auto" w:fill="auto"/>
            <w:noWrap/>
            <w:vAlign w:val="center"/>
          </w:tcPr>
          <w:p w14:paraId="7C332855"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84</w:t>
            </w:r>
          </w:p>
        </w:tc>
        <w:tc>
          <w:tcPr>
            <w:tcW w:w="2429" w:type="dxa"/>
            <w:shd w:val="clear" w:color="auto" w:fill="auto"/>
            <w:noWrap/>
            <w:vAlign w:val="center"/>
          </w:tcPr>
          <w:p w14:paraId="519F4442"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91,30</w:t>
            </w:r>
          </w:p>
        </w:tc>
      </w:tr>
      <w:tr w:rsidR="00D03B70" w:rsidRPr="000A3F11" w14:paraId="116B757A" w14:textId="77777777" w:rsidTr="00221347">
        <w:trPr>
          <w:trHeight w:val="265"/>
        </w:trPr>
        <w:tc>
          <w:tcPr>
            <w:tcW w:w="2428" w:type="dxa"/>
            <w:shd w:val="clear" w:color="auto" w:fill="auto"/>
            <w:noWrap/>
            <w:vAlign w:val="center"/>
          </w:tcPr>
          <w:p w14:paraId="3886BE91"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color w:val="000000"/>
                <w:sz w:val="20"/>
                <w:szCs w:val="20"/>
                <w:lang w:eastAsia="pt-BR"/>
              </w:rPr>
              <w:t>Parda</w:t>
            </w:r>
          </w:p>
        </w:tc>
        <w:tc>
          <w:tcPr>
            <w:tcW w:w="2429" w:type="dxa"/>
            <w:shd w:val="clear" w:color="auto" w:fill="auto"/>
            <w:noWrap/>
            <w:vAlign w:val="center"/>
          </w:tcPr>
          <w:p w14:paraId="24498AC8"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w:t>
            </w:r>
          </w:p>
        </w:tc>
        <w:tc>
          <w:tcPr>
            <w:tcW w:w="2429" w:type="dxa"/>
            <w:shd w:val="clear" w:color="auto" w:fill="auto"/>
            <w:noWrap/>
            <w:vAlign w:val="center"/>
          </w:tcPr>
          <w:p w14:paraId="345DE6C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6,50</w:t>
            </w:r>
          </w:p>
        </w:tc>
      </w:tr>
      <w:tr w:rsidR="00D03B70" w:rsidRPr="000A3F11" w14:paraId="041CBEB4" w14:textId="77777777" w:rsidTr="00221347">
        <w:trPr>
          <w:trHeight w:val="265"/>
        </w:trPr>
        <w:tc>
          <w:tcPr>
            <w:tcW w:w="2428" w:type="dxa"/>
            <w:shd w:val="clear" w:color="auto" w:fill="auto"/>
            <w:noWrap/>
            <w:vAlign w:val="center"/>
          </w:tcPr>
          <w:p w14:paraId="62869598"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color w:val="000000"/>
                <w:sz w:val="20"/>
                <w:szCs w:val="20"/>
                <w:lang w:eastAsia="pt-BR"/>
              </w:rPr>
              <w:t>Preta</w:t>
            </w:r>
          </w:p>
        </w:tc>
        <w:tc>
          <w:tcPr>
            <w:tcW w:w="2429" w:type="dxa"/>
            <w:shd w:val="clear" w:color="auto" w:fill="auto"/>
            <w:noWrap/>
            <w:vAlign w:val="center"/>
          </w:tcPr>
          <w:p w14:paraId="6025E4F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w:t>
            </w:r>
          </w:p>
        </w:tc>
        <w:tc>
          <w:tcPr>
            <w:tcW w:w="2429" w:type="dxa"/>
            <w:shd w:val="clear" w:color="auto" w:fill="auto"/>
            <w:noWrap/>
            <w:vAlign w:val="center"/>
          </w:tcPr>
          <w:p w14:paraId="28CE0EDB" w14:textId="77777777" w:rsidR="00D03B70" w:rsidRPr="00221347" w:rsidRDefault="00D03B70" w:rsidP="00FD00E1">
            <w:pPr>
              <w:jc w:val="center"/>
              <w:rPr>
                <w:rFonts w:ascii="Arial" w:eastAsia="Times New Roman" w:hAnsi="Arial" w:cs="Arial"/>
                <w:sz w:val="20"/>
                <w:szCs w:val="20"/>
                <w:lang w:eastAsia="pt-BR"/>
              </w:rPr>
            </w:pPr>
            <w:r w:rsidRPr="00221347">
              <w:rPr>
                <w:rFonts w:ascii="Arial" w:eastAsia="Times New Roman" w:hAnsi="Arial" w:cs="Arial"/>
                <w:color w:val="000000"/>
                <w:sz w:val="20"/>
                <w:szCs w:val="20"/>
                <w:lang w:eastAsia="pt-BR"/>
              </w:rPr>
              <w:t>2,20</w:t>
            </w:r>
          </w:p>
        </w:tc>
      </w:tr>
      <w:tr w:rsidR="00D03B70" w:rsidRPr="000A3F11" w14:paraId="0EBFF3B1" w14:textId="77777777" w:rsidTr="00221347">
        <w:trPr>
          <w:trHeight w:val="265"/>
        </w:trPr>
        <w:tc>
          <w:tcPr>
            <w:tcW w:w="2428" w:type="dxa"/>
            <w:shd w:val="clear" w:color="auto" w:fill="auto"/>
            <w:noWrap/>
            <w:vAlign w:val="center"/>
          </w:tcPr>
          <w:p w14:paraId="5DCCBC61"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Histórico de uso de álcool</w:t>
            </w:r>
          </w:p>
        </w:tc>
        <w:tc>
          <w:tcPr>
            <w:tcW w:w="2429" w:type="dxa"/>
            <w:shd w:val="clear" w:color="auto" w:fill="auto"/>
            <w:noWrap/>
            <w:vAlign w:val="center"/>
          </w:tcPr>
          <w:p w14:paraId="1263CFE6"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w:t>
            </w:r>
          </w:p>
        </w:tc>
        <w:tc>
          <w:tcPr>
            <w:tcW w:w="2429" w:type="dxa"/>
            <w:shd w:val="clear" w:color="auto" w:fill="auto"/>
            <w:noWrap/>
            <w:vAlign w:val="center"/>
          </w:tcPr>
          <w:p w14:paraId="1A2B6B4C"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70,70</w:t>
            </w:r>
          </w:p>
        </w:tc>
      </w:tr>
      <w:tr w:rsidR="00D03B70" w:rsidRPr="000A3F11" w14:paraId="70B704B8" w14:textId="77777777" w:rsidTr="00221347">
        <w:trPr>
          <w:trHeight w:val="265"/>
        </w:trPr>
        <w:tc>
          <w:tcPr>
            <w:tcW w:w="2428" w:type="dxa"/>
            <w:shd w:val="clear" w:color="auto" w:fill="auto"/>
            <w:noWrap/>
            <w:vAlign w:val="center"/>
          </w:tcPr>
          <w:p w14:paraId="74F47FCD"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Diabetes Mellitus</w:t>
            </w:r>
          </w:p>
        </w:tc>
        <w:tc>
          <w:tcPr>
            <w:tcW w:w="2429" w:type="dxa"/>
            <w:shd w:val="clear" w:color="auto" w:fill="auto"/>
            <w:noWrap/>
            <w:vAlign w:val="center"/>
          </w:tcPr>
          <w:p w14:paraId="62D7C5A5"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28</w:t>
            </w:r>
          </w:p>
        </w:tc>
        <w:tc>
          <w:tcPr>
            <w:tcW w:w="2429" w:type="dxa"/>
            <w:shd w:val="clear" w:color="auto" w:fill="auto"/>
            <w:noWrap/>
            <w:vAlign w:val="center"/>
          </w:tcPr>
          <w:p w14:paraId="0AC6339F"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30,43</w:t>
            </w:r>
          </w:p>
        </w:tc>
      </w:tr>
      <w:tr w:rsidR="00D03B70" w:rsidRPr="000A3F11" w14:paraId="0F1D0B88" w14:textId="77777777" w:rsidTr="00221347">
        <w:trPr>
          <w:trHeight w:val="265"/>
        </w:trPr>
        <w:tc>
          <w:tcPr>
            <w:tcW w:w="2428" w:type="dxa"/>
            <w:shd w:val="clear" w:color="auto" w:fill="auto"/>
            <w:noWrap/>
            <w:vAlign w:val="center"/>
          </w:tcPr>
          <w:p w14:paraId="383CFC42"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Hipertensão Arterial Sistêmica</w:t>
            </w:r>
          </w:p>
        </w:tc>
        <w:tc>
          <w:tcPr>
            <w:tcW w:w="2429" w:type="dxa"/>
            <w:shd w:val="clear" w:color="auto" w:fill="auto"/>
            <w:vAlign w:val="center"/>
          </w:tcPr>
          <w:p w14:paraId="16A63BB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49</w:t>
            </w:r>
          </w:p>
        </w:tc>
        <w:tc>
          <w:tcPr>
            <w:tcW w:w="2429" w:type="dxa"/>
            <w:shd w:val="clear" w:color="auto" w:fill="auto"/>
            <w:vAlign w:val="center"/>
          </w:tcPr>
          <w:p w14:paraId="024E40EA"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53,26</w:t>
            </w:r>
          </w:p>
        </w:tc>
      </w:tr>
      <w:tr w:rsidR="00D03B70" w:rsidRPr="000A3F11" w14:paraId="3ED2ED0D" w14:textId="77777777" w:rsidTr="00221347">
        <w:trPr>
          <w:trHeight w:val="265"/>
        </w:trPr>
        <w:tc>
          <w:tcPr>
            <w:tcW w:w="2428" w:type="dxa"/>
            <w:shd w:val="clear" w:color="auto" w:fill="auto"/>
            <w:noWrap/>
            <w:vAlign w:val="center"/>
            <w:hideMark/>
          </w:tcPr>
          <w:p w14:paraId="68500E90"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Causa da Hepatopatia</w:t>
            </w:r>
          </w:p>
        </w:tc>
        <w:tc>
          <w:tcPr>
            <w:tcW w:w="2429" w:type="dxa"/>
            <w:shd w:val="clear" w:color="auto" w:fill="auto"/>
            <w:vAlign w:val="center"/>
          </w:tcPr>
          <w:p w14:paraId="624B96F5" w14:textId="77777777" w:rsidR="00D03B70" w:rsidRPr="00221347" w:rsidRDefault="00D03B70" w:rsidP="00FD00E1">
            <w:pPr>
              <w:jc w:val="center"/>
              <w:rPr>
                <w:rFonts w:ascii="Arial" w:eastAsia="Times New Roman" w:hAnsi="Arial" w:cs="Arial"/>
                <w:b/>
                <w:bCs/>
                <w:color w:val="000000"/>
                <w:sz w:val="20"/>
                <w:szCs w:val="20"/>
                <w:lang w:eastAsia="pt-BR"/>
              </w:rPr>
            </w:pPr>
          </w:p>
        </w:tc>
        <w:tc>
          <w:tcPr>
            <w:tcW w:w="2429" w:type="dxa"/>
            <w:shd w:val="clear" w:color="auto" w:fill="auto"/>
            <w:vAlign w:val="center"/>
          </w:tcPr>
          <w:p w14:paraId="08EB1D62" w14:textId="77777777" w:rsidR="00D03B70" w:rsidRPr="00221347" w:rsidRDefault="00D03B70" w:rsidP="00FD00E1">
            <w:pPr>
              <w:jc w:val="center"/>
              <w:rPr>
                <w:rFonts w:ascii="Arial" w:eastAsia="Times New Roman" w:hAnsi="Arial" w:cs="Arial"/>
                <w:b/>
                <w:bCs/>
                <w:color w:val="000000"/>
                <w:sz w:val="20"/>
                <w:szCs w:val="20"/>
                <w:lang w:eastAsia="pt-BR"/>
              </w:rPr>
            </w:pPr>
          </w:p>
        </w:tc>
      </w:tr>
      <w:tr w:rsidR="00D03B70" w:rsidRPr="000A3F11" w14:paraId="0A2E06D4" w14:textId="77777777" w:rsidTr="00221347">
        <w:trPr>
          <w:trHeight w:val="265"/>
        </w:trPr>
        <w:tc>
          <w:tcPr>
            <w:tcW w:w="2428" w:type="dxa"/>
            <w:shd w:val="clear" w:color="auto" w:fill="auto"/>
            <w:noWrap/>
            <w:vAlign w:val="center"/>
            <w:hideMark/>
          </w:tcPr>
          <w:p w14:paraId="3CDCEB42"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Vírus da Hepatite C</w:t>
            </w:r>
          </w:p>
        </w:tc>
        <w:tc>
          <w:tcPr>
            <w:tcW w:w="2429" w:type="dxa"/>
            <w:shd w:val="clear" w:color="auto" w:fill="auto"/>
            <w:noWrap/>
            <w:vAlign w:val="center"/>
            <w:hideMark/>
          </w:tcPr>
          <w:p w14:paraId="023A0D2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49</w:t>
            </w:r>
          </w:p>
        </w:tc>
        <w:tc>
          <w:tcPr>
            <w:tcW w:w="2429" w:type="dxa"/>
            <w:shd w:val="clear" w:color="auto" w:fill="auto"/>
            <w:noWrap/>
            <w:vAlign w:val="center"/>
            <w:hideMark/>
          </w:tcPr>
          <w:p w14:paraId="08178AA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53,26</w:t>
            </w:r>
          </w:p>
        </w:tc>
      </w:tr>
      <w:tr w:rsidR="00D03B70" w:rsidRPr="000A3F11" w14:paraId="47A8C895" w14:textId="77777777" w:rsidTr="00221347">
        <w:trPr>
          <w:trHeight w:val="265"/>
        </w:trPr>
        <w:tc>
          <w:tcPr>
            <w:tcW w:w="2428" w:type="dxa"/>
            <w:shd w:val="clear" w:color="auto" w:fill="auto"/>
            <w:noWrap/>
            <w:vAlign w:val="center"/>
            <w:hideMark/>
          </w:tcPr>
          <w:p w14:paraId="22C8B04D"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Vírus da Hepatite B</w:t>
            </w:r>
          </w:p>
        </w:tc>
        <w:tc>
          <w:tcPr>
            <w:tcW w:w="2429" w:type="dxa"/>
            <w:shd w:val="clear" w:color="auto" w:fill="auto"/>
            <w:noWrap/>
            <w:vAlign w:val="center"/>
            <w:hideMark/>
          </w:tcPr>
          <w:p w14:paraId="08203486"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w:t>
            </w:r>
          </w:p>
        </w:tc>
        <w:tc>
          <w:tcPr>
            <w:tcW w:w="2429" w:type="dxa"/>
            <w:shd w:val="clear" w:color="auto" w:fill="auto"/>
            <w:noWrap/>
            <w:vAlign w:val="center"/>
            <w:hideMark/>
          </w:tcPr>
          <w:p w14:paraId="568BAE4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6,52</w:t>
            </w:r>
          </w:p>
        </w:tc>
      </w:tr>
      <w:tr w:rsidR="00D03B70" w:rsidRPr="000A3F11" w14:paraId="2577076B" w14:textId="77777777" w:rsidTr="00221347">
        <w:trPr>
          <w:trHeight w:val="265"/>
        </w:trPr>
        <w:tc>
          <w:tcPr>
            <w:tcW w:w="2428" w:type="dxa"/>
            <w:shd w:val="clear" w:color="auto" w:fill="auto"/>
            <w:noWrap/>
            <w:vAlign w:val="center"/>
            <w:hideMark/>
          </w:tcPr>
          <w:p w14:paraId="3123D538"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Hepatopatia Alcoólica</w:t>
            </w:r>
          </w:p>
        </w:tc>
        <w:tc>
          <w:tcPr>
            <w:tcW w:w="2429" w:type="dxa"/>
            <w:shd w:val="clear" w:color="auto" w:fill="auto"/>
            <w:noWrap/>
            <w:vAlign w:val="center"/>
            <w:hideMark/>
          </w:tcPr>
          <w:p w14:paraId="46B79E0F"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w:t>
            </w:r>
          </w:p>
        </w:tc>
        <w:tc>
          <w:tcPr>
            <w:tcW w:w="2429" w:type="dxa"/>
            <w:shd w:val="clear" w:color="auto" w:fill="auto"/>
            <w:noWrap/>
            <w:vAlign w:val="center"/>
            <w:hideMark/>
          </w:tcPr>
          <w:p w14:paraId="0D3781B0"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17,39</w:t>
            </w:r>
          </w:p>
        </w:tc>
      </w:tr>
      <w:tr w:rsidR="00D03B70" w:rsidRPr="000A3F11" w14:paraId="364B8185" w14:textId="77777777" w:rsidTr="00221347">
        <w:trPr>
          <w:trHeight w:val="265"/>
        </w:trPr>
        <w:tc>
          <w:tcPr>
            <w:tcW w:w="2428" w:type="dxa"/>
            <w:shd w:val="clear" w:color="auto" w:fill="auto"/>
            <w:noWrap/>
            <w:vAlign w:val="center"/>
            <w:hideMark/>
          </w:tcPr>
          <w:p w14:paraId="62645C7A"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Cirrose Criptogênica</w:t>
            </w:r>
          </w:p>
        </w:tc>
        <w:tc>
          <w:tcPr>
            <w:tcW w:w="2429" w:type="dxa"/>
            <w:shd w:val="clear" w:color="auto" w:fill="auto"/>
            <w:noWrap/>
            <w:vAlign w:val="center"/>
            <w:hideMark/>
          </w:tcPr>
          <w:p w14:paraId="3F3C8E8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w:t>
            </w:r>
          </w:p>
        </w:tc>
        <w:tc>
          <w:tcPr>
            <w:tcW w:w="2429" w:type="dxa"/>
            <w:shd w:val="clear" w:color="auto" w:fill="auto"/>
            <w:noWrap/>
            <w:vAlign w:val="center"/>
            <w:hideMark/>
          </w:tcPr>
          <w:p w14:paraId="1134EBEC"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16,31</w:t>
            </w:r>
          </w:p>
        </w:tc>
      </w:tr>
      <w:tr w:rsidR="00D03B70" w:rsidRPr="000A3F11" w14:paraId="7AF2FB18" w14:textId="77777777" w:rsidTr="00221347">
        <w:trPr>
          <w:trHeight w:val="265"/>
        </w:trPr>
        <w:tc>
          <w:tcPr>
            <w:tcW w:w="2428" w:type="dxa"/>
            <w:shd w:val="clear" w:color="auto" w:fill="auto"/>
            <w:noWrap/>
            <w:vAlign w:val="center"/>
            <w:hideMark/>
          </w:tcPr>
          <w:p w14:paraId="09B49B6B"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Mista</w:t>
            </w:r>
          </w:p>
        </w:tc>
        <w:tc>
          <w:tcPr>
            <w:tcW w:w="2429" w:type="dxa"/>
            <w:shd w:val="clear" w:color="auto" w:fill="auto"/>
            <w:noWrap/>
            <w:vAlign w:val="center"/>
            <w:hideMark/>
          </w:tcPr>
          <w:p w14:paraId="70BB1203"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w:t>
            </w:r>
          </w:p>
        </w:tc>
        <w:tc>
          <w:tcPr>
            <w:tcW w:w="2429" w:type="dxa"/>
            <w:shd w:val="clear" w:color="auto" w:fill="auto"/>
            <w:noWrap/>
            <w:vAlign w:val="center"/>
            <w:hideMark/>
          </w:tcPr>
          <w:p w14:paraId="53AEFB7E"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6,52</w:t>
            </w:r>
          </w:p>
        </w:tc>
      </w:tr>
      <w:tr w:rsidR="00D03B70" w:rsidRPr="000A3F11" w14:paraId="25F0ECD6" w14:textId="77777777" w:rsidTr="00221347">
        <w:trPr>
          <w:trHeight w:val="265"/>
        </w:trPr>
        <w:tc>
          <w:tcPr>
            <w:tcW w:w="2428" w:type="dxa"/>
            <w:shd w:val="clear" w:color="auto" w:fill="auto"/>
            <w:noWrap/>
            <w:vAlign w:val="center"/>
            <w:hideMark/>
          </w:tcPr>
          <w:p w14:paraId="5697BE41"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Varizes esofágicas</w:t>
            </w:r>
          </w:p>
        </w:tc>
        <w:tc>
          <w:tcPr>
            <w:tcW w:w="2429" w:type="dxa"/>
            <w:shd w:val="clear" w:color="auto" w:fill="auto"/>
            <w:vAlign w:val="center"/>
          </w:tcPr>
          <w:p w14:paraId="166AAB3E"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55</w:t>
            </w:r>
          </w:p>
        </w:tc>
        <w:tc>
          <w:tcPr>
            <w:tcW w:w="2429" w:type="dxa"/>
            <w:shd w:val="clear" w:color="auto" w:fill="auto"/>
            <w:vAlign w:val="center"/>
          </w:tcPr>
          <w:p w14:paraId="15382505"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59,80</w:t>
            </w:r>
          </w:p>
        </w:tc>
      </w:tr>
      <w:tr w:rsidR="00D03B70" w:rsidRPr="000A3F11" w14:paraId="3058C4FF" w14:textId="77777777" w:rsidTr="00221347">
        <w:trPr>
          <w:trHeight w:val="265"/>
        </w:trPr>
        <w:tc>
          <w:tcPr>
            <w:tcW w:w="2428" w:type="dxa"/>
            <w:shd w:val="clear" w:color="auto" w:fill="auto"/>
            <w:noWrap/>
            <w:vAlign w:val="center"/>
            <w:hideMark/>
          </w:tcPr>
          <w:p w14:paraId="26BA942D"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Ascite</w:t>
            </w:r>
          </w:p>
        </w:tc>
        <w:tc>
          <w:tcPr>
            <w:tcW w:w="2429" w:type="dxa"/>
            <w:shd w:val="clear" w:color="auto" w:fill="auto"/>
            <w:noWrap/>
            <w:vAlign w:val="center"/>
            <w:hideMark/>
          </w:tcPr>
          <w:p w14:paraId="5ED3524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34</w:t>
            </w:r>
          </w:p>
        </w:tc>
        <w:tc>
          <w:tcPr>
            <w:tcW w:w="2429" w:type="dxa"/>
            <w:shd w:val="clear" w:color="auto" w:fill="auto"/>
            <w:noWrap/>
            <w:vAlign w:val="center"/>
            <w:hideMark/>
          </w:tcPr>
          <w:p w14:paraId="6C09002E" w14:textId="77777777" w:rsidR="00D03B70" w:rsidRPr="00221347" w:rsidRDefault="00D03B70" w:rsidP="00FD00E1">
            <w:pPr>
              <w:jc w:val="center"/>
              <w:rPr>
                <w:rFonts w:ascii="Arial" w:eastAsia="Times New Roman" w:hAnsi="Arial" w:cs="Arial"/>
                <w:sz w:val="20"/>
                <w:szCs w:val="20"/>
                <w:lang w:eastAsia="pt-BR"/>
              </w:rPr>
            </w:pPr>
            <w:r w:rsidRPr="00221347">
              <w:rPr>
                <w:rFonts w:ascii="Arial" w:eastAsia="Times New Roman" w:hAnsi="Arial" w:cs="Arial"/>
                <w:color w:val="000000"/>
                <w:sz w:val="20"/>
                <w:szCs w:val="20"/>
                <w:lang w:eastAsia="pt-BR"/>
              </w:rPr>
              <w:t>37,0</w:t>
            </w:r>
          </w:p>
        </w:tc>
      </w:tr>
      <w:tr w:rsidR="00D03B70" w:rsidRPr="000A3F11" w14:paraId="5AE744BF" w14:textId="77777777" w:rsidTr="00221347">
        <w:trPr>
          <w:trHeight w:val="265"/>
        </w:trPr>
        <w:tc>
          <w:tcPr>
            <w:tcW w:w="2428" w:type="dxa"/>
            <w:shd w:val="clear" w:color="auto" w:fill="auto"/>
            <w:noWrap/>
            <w:vAlign w:val="center"/>
            <w:hideMark/>
          </w:tcPr>
          <w:p w14:paraId="588A2DD9" w14:textId="77777777" w:rsidR="00D03B70" w:rsidRPr="00221347" w:rsidRDefault="00D03B70" w:rsidP="00FD00E1">
            <w:pPr>
              <w:rPr>
                <w:rFonts w:ascii="Arial" w:eastAsia="Times New Roman" w:hAnsi="Arial" w:cs="Arial"/>
                <w:sz w:val="20"/>
                <w:szCs w:val="20"/>
                <w:lang w:eastAsia="pt-BR"/>
              </w:rPr>
            </w:pPr>
            <w:r w:rsidRPr="00221347">
              <w:rPr>
                <w:rFonts w:ascii="Arial" w:eastAsia="Times New Roman" w:hAnsi="Arial" w:cs="Arial"/>
                <w:b/>
                <w:bCs/>
                <w:color w:val="000000"/>
                <w:sz w:val="20"/>
                <w:szCs w:val="20"/>
                <w:lang w:eastAsia="pt-BR"/>
              </w:rPr>
              <w:t>Múltiplos Nódulos</w:t>
            </w:r>
          </w:p>
        </w:tc>
        <w:tc>
          <w:tcPr>
            <w:tcW w:w="2429" w:type="dxa"/>
            <w:shd w:val="clear" w:color="auto" w:fill="auto"/>
            <w:noWrap/>
            <w:vAlign w:val="center"/>
          </w:tcPr>
          <w:p w14:paraId="480DB50C"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36</w:t>
            </w:r>
          </w:p>
        </w:tc>
        <w:tc>
          <w:tcPr>
            <w:tcW w:w="2429" w:type="dxa"/>
            <w:shd w:val="clear" w:color="auto" w:fill="auto"/>
            <w:noWrap/>
            <w:vAlign w:val="center"/>
          </w:tcPr>
          <w:p w14:paraId="50E777AF"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39,10</w:t>
            </w:r>
          </w:p>
        </w:tc>
      </w:tr>
      <w:tr w:rsidR="00D03B70" w:rsidRPr="000A3F11" w14:paraId="02EB72B7" w14:textId="77777777" w:rsidTr="00221347">
        <w:trPr>
          <w:trHeight w:val="265"/>
        </w:trPr>
        <w:tc>
          <w:tcPr>
            <w:tcW w:w="2428" w:type="dxa"/>
            <w:shd w:val="clear" w:color="auto" w:fill="auto"/>
            <w:noWrap/>
            <w:vAlign w:val="center"/>
          </w:tcPr>
          <w:p w14:paraId="75453ADC" w14:textId="77777777" w:rsidR="00D03B70" w:rsidRPr="00221347" w:rsidRDefault="00D03B70" w:rsidP="00FD00E1">
            <w:pPr>
              <w:rPr>
                <w:rFonts w:ascii="Arial" w:eastAsia="Times New Roman" w:hAnsi="Arial" w:cs="Arial"/>
                <w:b/>
                <w:bCs/>
                <w:sz w:val="20"/>
                <w:szCs w:val="20"/>
                <w:lang w:eastAsia="pt-BR"/>
              </w:rPr>
            </w:pPr>
            <w:r w:rsidRPr="00221347">
              <w:rPr>
                <w:rFonts w:ascii="Arial" w:eastAsia="Times New Roman" w:hAnsi="Arial" w:cs="Arial"/>
                <w:b/>
                <w:bCs/>
                <w:sz w:val="20"/>
                <w:szCs w:val="20"/>
                <w:lang w:eastAsia="pt-BR"/>
              </w:rPr>
              <w:t>Localização Hepática</w:t>
            </w:r>
          </w:p>
        </w:tc>
        <w:tc>
          <w:tcPr>
            <w:tcW w:w="2429" w:type="dxa"/>
            <w:shd w:val="clear" w:color="auto" w:fill="auto"/>
            <w:noWrap/>
            <w:vAlign w:val="center"/>
          </w:tcPr>
          <w:p w14:paraId="7BF00434" w14:textId="77777777" w:rsidR="00D03B70" w:rsidRPr="00221347" w:rsidRDefault="00D03B70" w:rsidP="00FD00E1">
            <w:pPr>
              <w:jc w:val="center"/>
              <w:rPr>
                <w:rFonts w:ascii="Arial" w:eastAsia="Times New Roman" w:hAnsi="Arial" w:cs="Arial"/>
                <w:color w:val="000000"/>
                <w:sz w:val="20"/>
                <w:szCs w:val="20"/>
                <w:lang w:eastAsia="pt-BR"/>
              </w:rPr>
            </w:pPr>
          </w:p>
        </w:tc>
        <w:tc>
          <w:tcPr>
            <w:tcW w:w="2429" w:type="dxa"/>
            <w:shd w:val="clear" w:color="auto" w:fill="auto"/>
            <w:noWrap/>
            <w:vAlign w:val="center"/>
          </w:tcPr>
          <w:p w14:paraId="41DE2984" w14:textId="77777777" w:rsidR="00D03B70" w:rsidRPr="00221347" w:rsidRDefault="00D03B70" w:rsidP="00FD00E1">
            <w:pPr>
              <w:jc w:val="center"/>
              <w:rPr>
                <w:rFonts w:ascii="Arial" w:eastAsia="Times New Roman" w:hAnsi="Arial" w:cs="Arial"/>
                <w:color w:val="000000"/>
                <w:sz w:val="20"/>
                <w:szCs w:val="20"/>
                <w:lang w:eastAsia="pt-BR"/>
              </w:rPr>
            </w:pPr>
          </w:p>
        </w:tc>
      </w:tr>
      <w:tr w:rsidR="00D03B70" w:rsidRPr="000A3F11" w14:paraId="1FCA08D6" w14:textId="77777777" w:rsidTr="00221347">
        <w:trPr>
          <w:trHeight w:val="265"/>
        </w:trPr>
        <w:tc>
          <w:tcPr>
            <w:tcW w:w="2428" w:type="dxa"/>
            <w:shd w:val="clear" w:color="auto" w:fill="auto"/>
            <w:noWrap/>
            <w:vAlign w:val="center"/>
          </w:tcPr>
          <w:p w14:paraId="1D9C8E14" w14:textId="77777777" w:rsidR="00D03B70" w:rsidRPr="00221347" w:rsidRDefault="00D03B70" w:rsidP="00FD00E1">
            <w:pPr>
              <w:rPr>
                <w:rFonts w:ascii="Arial" w:eastAsia="Times New Roman" w:hAnsi="Arial" w:cs="Arial"/>
                <w:sz w:val="20"/>
                <w:szCs w:val="20"/>
                <w:lang w:eastAsia="pt-BR"/>
              </w:rPr>
            </w:pPr>
            <w:r w:rsidRPr="00221347">
              <w:rPr>
                <w:rFonts w:ascii="Arial" w:eastAsia="Times New Roman" w:hAnsi="Arial" w:cs="Arial"/>
                <w:sz w:val="20"/>
                <w:szCs w:val="20"/>
                <w:lang w:eastAsia="pt-BR"/>
              </w:rPr>
              <w:t>Posterior</w:t>
            </w:r>
          </w:p>
        </w:tc>
        <w:tc>
          <w:tcPr>
            <w:tcW w:w="2429" w:type="dxa"/>
            <w:tcBorders>
              <w:top w:val="nil"/>
              <w:left w:val="nil"/>
              <w:bottom w:val="nil"/>
              <w:right w:val="nil"/>
            </w:tcBorders>
            <w:shd w:val="clear" w:color="auto" w:fill="auto"/>
            <w:noWrap/>
            <w:vAlign w:val="center"/>
          </w:tcPr>
          <w:p w14:paraId="1A03669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3</w:t>
            </w:r>
          </w:p>
        </w:tc>
        <w:tc>
          <w:tcPr>
            <w:tcW w:w="2429" w:type="dxa"/>
            <w:tcBorders>
              <w:top w:val="nil"/>
              <w:left w:val="nil"/>
              <w:bottom w:val="nil"/>
              <w:right w:val="nil"/>
            </w:tcBorders>
            <w:shd w:val="clear" w:color="auto" w:fill="auto"/>
            <w:noWrap/>
            <w:vAlign w:val="center"/>
          </w:tcPr>
          <w:p w14:paraId="0F82963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2,50</w:t>
            </w:r>
          </w:p>
        </w:tc>
      </w:tr>
      <w:tr w:rsidR="00D03B70" w:rsidRPr="000A3F11" w14:paraId="40DA7C8D" w14:textId="77777777" w:rsidTr="00221347">
        <w:trPr>
          <w:trHeight w:val="265"/>
        </w:trPr>
        <w:tc>
          <w:tcPr>
            <w:tcW w:w="2428" w:type="dxa"/>
            <w:shd w:val="clear" w:color="auto" w:fill="auto"/>
            <w:noWrap/>
            <w:vAlign w:val="center"/>
          </w:tcPr>
          <w:p w14:paraId="24C1C473" w14:textId="77777777" w:rsidR="00D03B70" w:rsidRPr="00221347" w:rsidRDefault="00D03B70" w:rsidP="00FD00E1">
            <w:pPr>
              <w:rPr>
                <w:rFonts w:ascii="Arial" w:eastAsia="Times New Roman" w:hAnsi="Arial" w:cs="Arial"/>
                <w:sz w:val="20"/>
                <w:szCs w:val="20"/>
                <w:lang w:eastAsia="pt-BR"/>
              </w:rPr>
            </w:pPr>
            <w:r w:rsidRPr="00221347">
              <w:rPr>
                <w:rFonts w:ascii="Arial" w:eastAsia="Times New Roman" w:hAnsi="Arial" w:cs="Arial"/>
                <w:sz w:val="20"/>
                <w:szCs w:val="20"/>
                <w:lang w:eastAsia="pt-BR"/>
              </w:rPr>
              <w:t>Esquerda</w:t>
            </w:r>
          </w:p>
        </w:tc>
        <w:tc>
          <w:tcPr>
            <w:tcW w:w="2429" w:type="dxa"/>
            <w:tcBorders>
              <w:top w:val="nil"/>
              <w:left w:val="nil"/>
              <w:bottom w:val="nil"/>
              <w:right w:val="nil"/>
            </w:tcBorders>
            <w:shd w:val="clear" w:color="auto" w:fill="auto"/>
            <w:noWrap/>
            <w:vAlign w:val="center"/>
          </w:tcPr>
          <w:p w14:paraId="389A26ED"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37</w:t>
            </w:r>
          </w:p>
        </w:tc>
        <w:tc>
          <w:tcPr>
            <w:tcW w:w="2429" w:type="dxa"/>
            <w:tcBorders>
              <w:top w:val="nil"/>
              <w:left w:val="nil"/>
              <w:bottom w:val="nil"/>
              <w:right w:val="nil"/>
            </w:tcBorders>
            <w:shd w:val="clear" w:color="auto" w:fill="auto"/>
            <w:noWrap/>
            <w:vAlign w:val="center"/>
          </w:tcPr>
          <w:p w14:paraId="0CD41FF4"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30,83</w:t>
            </w:r>
          </w:p>
        </w:tc>
      </w:tr>
      <w:tr w:rsidR="00D03B70" w:rsidRPr="000A3F11" w14:paraId="1B43112A" w14:textId="77777777" w:rsidTr="00221347">
        <w:trPr>
          <w:trHeight w:val="265"/>
        </w:trPr>
        <w:tc>
          <w:tcPr>
            <w:tcW w:w="2428" w:type="dxa"/>
            <w:shd w:val="clear" w:color="auto" w:fill="auto"/>
            <w:noWrap/>
            <w:vAlign w:val="center"/>
          </w:tcPr>
          <w:p w14:paraId="18E90DCF" w14:textId="77777777" w:rsidR="00D03B70" w:rsidRPr="00221347" w:rsidRDefault="00D03B70" w:rsidP="00FD00E1">
            <w:pPr>
              <w:rPr>
                <w:rFonts w:ascii="Arial" w:eastAsia="Times New Roman" w:hAnsi="Arial" w:cs="Arial"/>
                <w:sz w:val="20"/>
                <w:szCs w:val="20"/>
                <w:lang w:eastAsia="pt-BR"/>
              </w:rPr>
            </w:pPr>
            <w:r w:rsidRPr="00221347">
              <w:rPr>
                <w:rFonts w:ascii="Arial" w:eastAsia="Times New Roman" w:hAnsi="Arial" w:cs="Arial"/>
                <w:sz w:val="20"/>
                <w:szCs w:val="20"/>
                <w:lang w:eastAsia="pt-BR"/>
              </w:rPr>
              <w:t>Direita</w:t>
            </w:r>
          </w:p>
        </w:tc>
        <w:tc>
          <w:tcPr>
            <w:tcW w:w="2429" w:type="dxa"/>
            <w:tcBorders>
              <w:top w:val="nil"/>
              <w:left w:val="nil"/>
              <w:bottom w:val="nil"/>
              <w:right w:val="nil"/>
            </w:tcBorders>
            <w:shd w:val="clear" w:color="auto" w:fill="auto"/>
            <w:noWrap/>
            <w:vAlign w:val="center"/>
          </w:tcPr>
          <w:p w14:paraId="3FC376D8"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80</w:t>
            </w:r>
          </w:p>
        </w:tc>
        <w:tc>
          <w:tcPr>
            <w:tcW w:w="2429" w:type="dxa"/>
            <w:tcBorders>
              <w:top w:val="nil"/>
              <w:left w:val="nil"/>
              <w:bottom w:val="nil"/>
              <w:right w:val="nil"/>
            </w:tcBorders>
            <w:shd w:val="clear" w:color="auto" w:fill="auto"/>
            <w:noWrap/>
            <w:vAlign w:val="center"/>
          </w:tcPr>
          <w:p w14:paraId="48B3229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66,67</w:t>
            </w:r>
          </w:p>
        </w:tc>
      </w:tr>
      <w:tr w:rsidR="00D03B70" w:rsidRPr="000A3F11" w14:paraId="49BE7CCC" w14:textId="77777777" w:rsidTr="00221347">
        <w:trPr>
          <w:trHeight w:val="265"/>
        </w:trPr>
        <w:tc>
          <w:tcPr>
            <w:tcW w:w="2428" w:type="dxa"/>
            <w:shd w:val="clear" w:color="auto" w:fill="auto"/>
            <w:noWrap/>
            <w:vAlign w:val="center"/>
            <w:hideMark/>
          </w:tcPr>
          <w:p w14:paraId="76F639F8" w14:textId="77777777" w:rsidR="00D03B70" w:rsidRPr="00221347" w:rsidRDefault="00D03B70" w:rsidP="00FD00E1">
            <w:pPr>
              <w:rPr>
                <w:rFonts w:ascii="Arial" w:eastAsia="Times New Roman" w:hAnsi="Arial" w:cs="Arial"/>
                <w:sz w:val="20"/>
                <w:szCs w:val="20"/>
                <w:lang w:eastAsia="pt-BR"/>
              </w:rPr>
            </w:pPr>
            <w:r w:rsidRPr="00221347">
              <w:rPr>
                <w:rFonts w:ascii="Arial" w:eastAsia="Times New Roman" w:hAnsi="Arial" w:cs="Arial"/>
                <w:b/>
                <w:bCs/>
                <w:color w:val="000000"/>
                <w:sz w:val="20"/>
                <w:szCs w:val="20"/>
                <w:lang w:eastAsia="pt-BR"/>
              </w:rPr>
              <w:t>Grau histológico dos tumores (n=80)</w:t>
            </w:r>
          </w:p>
        </w:tc>
        <w:tc>
          <w:tcPr>
            <w:tcW w:w="2429" w:type="dxa"/>
            <w:shd w:val="clear" w:color="auto" w:fill="auto"/>
            <w:noWrap/>
            <w:vAlign w:val="center"/>
          </w:tcPr>
          <w:p w14:paraId="5F1AC465" w14:textId="77777777" w:rsidR="00D03B70" w:rsidRPr="00221347" w:rsidRDefault="00D03B70" w:rsidP="00FD00E1">
            <w:pPr>
              <w:jc w:val="center"/>
              <w:rPr>
                <w:rFonts w:ascii="Arial" w:eastAsia="Times New Roman" w:hAnsi="Arial" w:cs="Arial"/>
                <w:color w:val="000000"/>
                <w:sz w:val="20"/>
                <w:szCs w:val="20"/>
                <w:lang w:eastAsia="pt-BR"/>
              </w:rPr>
            </w:pPr>
          </w:p>
        </w:tc>
        <w:tc>
          <w:tcPr>
            <w:tcW w:w="2429" w:type="dxa"/>
            <w:shd w:val="clear" w:color="auto" w:fill="auto"/>
            <w:noWrap/>
            <w:vAlign w:val="center"/>
          </w:tcPr>
          <w:p w14:paraId="20ED46B6" w14:textId="77777777" w:rsidR="00D03B70" w:rsidRPr="00221347" w:rsidRDefault="00D03B70" w:rsidP="00FD00E1">
            <w:pPr>
              <w:jc w:val="center"/>
              <w:rPr>
                <w:rFonts w:ascii="Arial" w:eastAsia="Times New Roman" w:hAnsi="Arial" w:cs="Arial"/>
                <w:color w:val="000000"/>
                <w:sz w:val="20"/>
                <w:szCs w:val="20"/>
                <w:lang w:eastAsia="pt-BR"/>
              </w:rPr>
            </w:pPr>
          </w:p>
        </w:tc>
      </w:tr>
      <w:tr w:rsidR="00D03B70" w:rsidRPr="000A3F11" w14:paraId="43431F4B" w14:textId="77777777" w:rsidTr="00221347">
        <w:trPr>
          <w:trHeight w:val="265"/>
        </w:trPr>
        <w:tc>
          <w:tcPr>
            <w:tcW w:w="2428" w:type="dxa"/>
            <w:shd w:val="clear" w:color="auto" w:fill="auto"/>
            <w:noWrap/>
            <w:vAlign w:val="center"/>
          </w:tcPr>
          <w:p w14:paraId="2BC67F4B"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2429" w:type="dxa"/>
            <w:shd w:val="clear" w:color="auto" w:fill="auto"/>
            <w:noWrap/>
            <w:vAlign w:val="center"/>
          </w:tcPr>
          <w:p w14:paraId="790E2A46"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w:t>
            </w:r>
          </w:p>
        </w:tc>
        <w:tc>
          <w:tcPr>
            <w:tcW w:w="2429" w:type="dxa"/>
            <w:shd w:val="clear" w:color="auto" w:fill="auto"/>
            <w:noWrap/>
            <w:vAlign w:val="center"/>
          </w:tcPr>
          <w:p w14:paraId="2F78AAF4"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7,50</w:t>
            </w:r>
          </w:p>
        </w:tc>
      </w:tr>
      <w:tr w:rsidR="00D03B70" w:rsidRPr="000A3F11" w14:paraId="575D16AB" w14:textId="77777777" w:rsidTr="00221347">
        <w:trPr>
          <w:trHeight w:val="265"/>
        </w:trPr>
        <w:tc>
          <w:tcPr>
            <w:tcW w:w="2428" w:type="dxa"/>
            <w:shd w:val="clear" w:color="auto" w:fill="auto"/>
            <w:noWrap/>
            <w:vAlign w:val="center"/>
          </w:tcPr>
          <w:p w14:paraId="0114531F"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lastRenderedPageBreak/>
              <w:t>2</w:t>
            </w:r>
          </w:p>
        </w:tc>
        <w:tc>
          <w:tcPr>
            <w:tcW w:w="2429" w:type="dxa"/>
            <w:shd w:val="clear" w:color="auto" w:fill="auto"/>
            <w:noWrap/>
            <w:vAlign w:val="center"/>
          </w:tcPr>
          <w:p w14:paraId="03C57BB2"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45</w:t>
            </w:r>
          </w:p>
        </w:tc>
        <w:tc>
          <w:tcPr>
            <w:tcW w:w="2429" w:type="dxa"/>
            <w:shd w:val="clear" w:color="auto" w:fill="auto"/>
            <w:noWrap/>
            <w:vAlign w:val="center"/>
          </w:tcPr>
          <w:p w14:paraId="4A270E5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56,25</w:t>
            </w:r>
          </w:p>
        </w:tc>
      </w:tr>
      <w:tr w:rsidR="00D03B70" w:rsidRPr="000A3F11" w14:paraId="56C57841" w14:textId="77777777" w:rsidTr="00221347">
        <w:trPr>
          <w:trHeight w:val="265"/>
        </w:trPr>
        <w:tc>
          <w:tcPr>
            <w:tcW w:w="2428" w:type="dxa"/>
            <w:shd w:val="clear" w:color="auto" w:fill="auto"/>
            <w:noWrap/>
            <w:vAlign w:val="center"/>
          </w:tcPr>
          <w:p w14:paraId="293B8586"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w:t>
            </w:r>
          </w:p>
        </w:tc>
        <w:tc>
          <w:tcPr>
            <w:tcW w:w="2429" w:type="dxa"/>
            <w:shd w:val="clear" w:color="auto" w:fill="auto"/>
            <w:noWrap/>
            <w:vAlign w:val="center"/>
          </w:tcPr>
          <w:p w14:paraId="6B7E32A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27</w:t>
            </w:r>
          </w:p>
        </w:tc>
        <w:tc>
          <w:tcPr>
            <w:tcW w:w="2429" w:type="dxa"/>
            <w:shd w:val="clear" w:color="auto" w:fill="auto"/>
            <w:noWrap/>
            <w:vAlign w:val="center"/>
          </w:tcPr>
          <w:p w14:paraId="6369393B"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33,75</w:t>
            </w:r>
          </w:p>
        </w:tc>
      </w:tr>
      <w:tr w:rsidR="00D03B70" w:rsidRPr="000A3F11" w14:paraId="162FC047" w14:textId="77777777" w:rsidTr="00221347">
        <w:trPr>
          <w:trHeight w:val="265"/>
        </w:trPr>
        <w:tc>
          <w:tcPr>
            <w:tcW w:w="2428" w:type="dxa"/>
            <w:shd w:val="clear" w:color="auto" w:fill="auto"/>
            <w:noWrap/>
            <w:vAlign w:val="center"/>
          </w:tcPr>
          <w:p w14:paraId="70A33E10"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w:t>
            </w:r>
          </w:p>
        </w:tc>
        <w:tc>
          <w:tcPr>
            <w:tcW w:w="2429" w:type="dxa"/>
            <w:shd w:val="clear" w:color="auto" w:fill="auto"/>
            <w:noWrap/>
            <w:vAlign w:val="center"/>
          </w:tcPr>
          <w:p w14:paraId="4190CD98"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w:t>
            </w:r>
          </w:p>
        </w:tc>
        <w:tc>
          <w:tcPr>
            <w:tcW w:w="2429" w:type="dxa"/>
            <w:shd w:val="clear" w:color="auto" w:fill="auto"/>
            <w:noWrap/>
            <w:vAlign w:val="center"/>
          </w:tcPr>
          <w:p w14:paraId="6B2C1BB4"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2,50</w:t>
            </w:r>
          </w:p>
        </w:tc>
      </w:tr>
      <w:tr w:rsidR="00D03B70" w:rsidRPr="000A3F11" w14:paraId="364ED8D5" w14:textId="77777777" w:rsidTr="00221347">
        <w:trPr>
          <w:trHeight w:val="265"/>
        </w:trPr>
        <w:tc>
          <w:tcPr>
            <w:tcW w:w="2428" w:type="dxa"/>
            <w:shd w:val="clear" w:color="auto" w:fill="auto"/>
            <w:noWrap/>
            <w:vAlign w:val="center"/>
            <w:hideMark/>
          </w:tcPr>
          <w:p w14:paraId="40F02F3F"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Tamanho do Nódulo**</w:t>
            </w:r>
          </w:p>
        </w:tc>
        <w:tc>
          <w:tcPr>
            <w:tcW w:w="2429" w:type="dxa"/>
            <w:shd w:val="clear" w:color="auto" w:fill="auto"/>
            <w:noWrap/>
            <w:vAlign w:val="center"/>
            <w:hideMark/>
          </w:tcPr>
          <w:p w14:paraId="59515A5A"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3,05</w:t>
            </w:r>
          </w:p>
        </w:tc>
        <w:tc>
          <w:tcPr>
            <w:tcW w:w="2429" w:type="dxa"/>
            <w:shd w:val="clear" w:color="auto" w:fill="auto"/>
            <w:noWrap/>
            <w:vAlign w:val="center"/>
            <w:hideMark/>
          </w:tcPr>
          <w:p w14:paraId="21042010"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1,98</w:t>
            </w:r>
          </w:p>
        </w:tc>
      </w:tr>
      <w:tr w:rsidR="00D03B70" w:rsidRPr="000A3F11" w14:paraId="47E88875" w14:textId="77777777" w:rsidTr="00221347">
        <w:trPr>
          <w:trHeight w:val="265"/>
        </w:trPr>
        <w:tc>
          <w:tcPr>
            <w:tcW w:w="2428" w:type="dxa"/>
            <w:shd w:val="clear" w:color="auto" w:fill="auto"/>
            <w:noWrap/>
            <w:vAlign w:val="center"/>
          </w:tcPr>
          <w:p w14:paraId="09E1471D"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Invasão Microvascular</w:t>
            </w:r>
          </w:p>
        </w:tc>
        <w:tc>
          <w:tcPr>
            <w:tcW w:w="2429" w:type="dxa"/>
            <w:shd w:val="clear" w:color="auto" w:fill="auto"/>
            <w:noWrap/>
            <w:vAlign w:val="center"/>
          </w:tcPr>
          <w:p w14:paraId="2271CDF2"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29</w:t>
            </w:r>
          </w:p>
        </w:tc>
        <w:tc>
          <w:tcPr>
            <w:tcW w:w="2429" w:type="dxa"/>
            <w:shd w:val="clear" w:color="auto" w:fill="auto"/>
            <w:noWrap/>
            <w:vAlign w:val="center"/>
          </w:tcPr>
          <w:p w14:paraId="02F68F6A"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31,52</w:t>
            </w:r>
          </w:p>
        </w:tc>
      </w:tr>
      <w:tr w:rsidR="00D03B70" w:rsidRPr="000A3F11" w14:paraId="31D4A149" w14:textId="77777777" w:rsidTr="00221347">
        <w:trPr>
          <w:trHeight w:val="265"/>
        </w:trPr>
        <w:tc>
          <w:tcPr>
            <w:tcW w:w="2428" w:type="dxa"/>
            <w:shd w:val="clear" w:color="auto" w:fill="auto"/>
            <w:noWrap/>
            <w:vAlign w:val="center"/>
          </w:tcPr>
          <w:p w14:paraId="3EC7DE20"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Tempo entre o Diagnóstico e Tratamento (dias)**</w:t>
            </w:r>
          </w:p>
        </w:tc>
        <w:tc>
          <w:tcPr>
            <w:tcW w:w="2429" w:type="dxa"/>
            <w:shd w:val="clear" w:color="auto" w:fill="auto"/>
            <w:noWrap/>
            <w:vAlign w:val="center"/>
          </w:tcPr>
          <w:p w14:paraId="14A15881"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68</w:t>
            </w:r>
          </w:p>
        </w:tc>
        <w:tc>
          <w:tcPr>
            <w:tcW w:w="2429" w:type="dxa"/>
            <w:shd w:val="clear" w:color="auto" w:fill="auto"/>
            <w:noWrap/>
            <w:vAlign w:val="center"/>
          </w:tcPr>
          <w:p w14:paraId="0CCD0F67"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113</w:t>
            </w:r>
          </w:p>
        </w:tc>
      </w:tr>
      <w:tr w:rsidR="00D03B70" w:rsidRPr="000A3F11" w14:paraId="6DD1B1BD" w14:textId="77777777" w:rsidTr="00221347">
        <w:trPr>
          <w:trHeight w:val="265"/>
        </w:trPr>
        <w:tc>
          <w:tcPr>
            <w:tcW w:w="2428" w:type="dxa"/>
            <w:shd w:val="clear" w:color="auto" w:fill="auto"/>
            <w:noWrap/>
            <w:vAlign w:val="center"/>
          </w:tcPr>
          <w:p w14:paraId="453C3035"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hAnsi="Arial" w:cs="Arial"/>
                <w:b/>
                <w:bCs/>
                <w:sz w:val="20"/>
                <w:szCs w:val="20"/>
              </w:rPr>
              <w:t>Tempo até óbito (dias)</w:t>
            </w:r>
          </w:p>
        </w:tc>
        <w:tc>
          <w:tcPr>
            <w:tcW w:w="2429" w:type="dxa"/>
            <w:shd w:val="clear" w:color="auto" w:fill="auto"/>
            <w:vAlign w:val="center"/>
          </w:tcPr>
          <w:p w14:paraId="31122E0F"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27,50</w:t>
            </w:r>
          </w:p>
        </w:tc>
        <w:tc>
          <w:tcPr>
            <w:tcW w:w="2429" w:type="dxa"/>
            <w:shd w:val="clear" w:color="auto" w:fill="auto"/>
            <w:vAlign w:val="center"/>
          </w:tcPr>
          <w:p w14:paraId="217DAFE5"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192,50</w:t>
            </w:r>
          </w:p>
        </w:tc>
      </w:tr>
      <w:tr w:rsidR="00D03B70" w:rsidRPr="000A3F11" w14:paraId="4E88867F" w14:textId="77777777" w:rsidTr="00221347">
        <w:trPr>
          <w:trHeight w:val="265"/>
        </w:trPr>
        <w:tc>
          <w:tcPr>
            <w:tcW w:w="2428" w:type="dxa"/>
            <w:shd w:val="clear" w:color="auto" w:fill="auto"/>
            <w:noWrap/>
            <w:vAlign w:val="center"/>
          </w:tcPr>
          <w:p w14:paraId="209C9FCA"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hAnsi="Arial" w:cs="Arial"/>
                <w:sz w:val="20"/>
                <w:szCs w:val="20"/>
              </w:rPr>
              <w:t>n= 42</w:t>
            </w:r>
          </w:p>
        </w:tc>
        <w:tc>
          <w:tcPr>
            <w:tcW w:w="2429" w:type="dxa"/>
            <w:shd w:val="clear" w:color="auto" w:fill="auto"/>
            <w:vAlign w:val="center"/>
          </w:tcPr>
          <w:p w14:paraId="33AAD33D" w14:textId="77777777" w:rsidR="00D03B70" w:rsidRPr="00221347" w:rsidRDefault="00D03B70" w:rsidP="00FD00E1">
            <w:pPr>
              <w:jc w:val="center"/>
              <w:rPr>
                <w:rFonts w:ascii="Arial" w:eastAsia="Times New Roman" w:hAnsi="Arial" w:cs="Arial"/>
                <w:color w:val="000000"/>
                <w:sz w:val="20"/>
                <w:szCs w:val="20"/>
                <w:lang w:eastAsia="pt-BR"/>
              </w:rPr>
            </w:pPr>
          </w:p>
        </w:tc>
        <w:tc>
          <w:tcPr>
            <w:tcW w:w="2429" w:type="dxa"/>
            <w:shd w:val="clear" w:color="auto" w:fill="auto"/>
            <w:vAlign w:val="center"/>
          </w:tcPr>
          <w:p w14:paraId="3B76903F" w14:textId="77777777" w:rsidR="00D03B70" w:rsidRPr="00221347" w:rsidRDefault="00D03B70" w:rsidP="00FD00E1">
            <w:pPr>
              <w:jc w:val="center"/>
              <w:rPr>
                <w:rFonts w:ascii="Arial" w:eastAsia="Times New Roman" w:hAnsi="Arial" w:cs="Arial"/>
                <w:color w:val="000000"/>
                <w:sz w:val="20"/>
                <w:szCs w:val="20"/>
                <w:lang w:eastAsia="pt-BR"/>
              </w:rPr>
            </w:pPr>
          </w:p>
        </w:tc>
      </w:tr>
      <w:tr w:rsidR="00D03B70" w:rsidRPr="000A3F11" w14:paraId="5AB850EB" w14:textId="77777777" w:rsidTr="00221347">
        <w:trPr>
          <w:trHeight w:val="265"/>
        </w:trPr>
        <w:tc>
          <w:tcPr>
            <w:tcW w:w="2428" w:type="dxa"/>
            <w:shd w:val="clear" w:color="auto" w:fill="auto"/>
            <w:noWrap/>
            <w:vAlign w:val="center"/>
          </w:tcPr>
          <w:p w14:paraId="669C8628"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hAnsi="Arial" w:cs="Arial"/>
                <w:b/>
                <w:bCs/>
                <w:sz w:val="20"/>
                <w:szCs w:val="20"/>
              </w:rPr>
              <w:t>Sobrevida**</w:t>
            </w:r>
          </w:p>
        </w:tc>
        <w:tc>
          <w:tcPr>
            <w:tcW w:w="2429" w:type="dxa"/>
            <w:shd w:val="clear" w:color="auto" w:fill="auto"/>
            <w:vAlign w:val="center"/>
          </w:tcPr>
          <w:p w14:paraId="1DD3AC70"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6,00</w:t>
            </w:r>
          </w:p>
        </w:tc>
        <w:tc>
          <w:tcPr>
            <w:tcW w:w="2429" w:type="dxa"/>
            <w:shd w:val="clear" w:color="auto" w:fill="auto"/>
            <w:vAlign w:val="center"/>
          </w:tcPr>
          <w:p w14:paraId="5C8AFA7C"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hAnsi="Arial" w:cs="Arial"/>
                <w:sz w:val="20"/>
                <w:szCs w:val="20"/>
              </w:rPr>
              <w:t>4,75</w:t>
            </w:r>
          </w:p>
        </w:tc>
      </w:tr>
      <w:tr w:rsidR="00D03B70" w:rsidRPr="000A3F11" w14:paraId="333385DC" w14:textId="77777777" w:rsidTr="00221347">
        <w:trPr>
          <w:trHeight w:val="265"/>
        </w:trPr>
        <w:tc>
          <w:tcPr>
            <w:tcW w:w="2428" w:type="dxa"/>
            <w:shd w:val="clear" w:color="auto" w:fill="auto"/>
            <w:noWrap/>
            <w:vAlign w:val="center"/>
          </w:tcPr>
          <w:p w14:paraId="6C053A75" w14:textId="77777777" w:rsidR="00D03B70" w:rsidRPr="00221347" w:rsidRDefault="00D03B70" w:rsidP="00FD00E1">
            <w:pPr>
              <w:rPr>
                <w:rFonts w:ascii="Arial" w:eastAsia="Times New Roman" w:hAnsi="Arial" w:cs="Arial"/>
                <w:color w:val="000000"/>
                <w:sz w:val="20"/>
                <w:szCs w:val="20"/>
                <w:lang w:eastAsia="pt-BR"/>
              </w:rPr>
            </w:pPr>
            <w:r w:rsidRPr="00221347">
              <w:rPr>
                <w:rFonts w:ascii="Arial" w:hAnsi="Arial" w:cs="Arial"/>
                <w:sz w:val="20"/>
                <w:szCs w:val="20"/>
              </w:rPr>
              <w:t>n= 44</w:t>
            </w:r>
          </w:p>
        </w:tc>
        <w:tc>
          <w:tcPr>
            <w:tcW w:w="2429" w:type="dxa"/>
            <w:shd w:val="clear" w:color="auto" w:fill="auto"/>
            <w:vAlign w:val="center"/>
          </w:tcPr>
          <w:p w14:paraId="1FA09AB5" w14:textId="77777777" w:rsidR="00D03B70" w:rsidRPr="00221347" w:rsidRDefault="00D03B70" w:rsidP="00FD00E1">
            <w:pPr>
              <w:jc w:val="center"/>
              <w:rPr>
                <w:rFonts w:ascii="Arial" w:eastAsia="Times New Roman" w:hAnsi="Arial" w:cs="Arial"/>
                <w:color w:val="000000"/>
                <w:sz w:val="20"/>
                <w:szCs w:val="20"/>
                <w:lang w:eastAsia="pt-BR"/>
              </w:rPr>
            </w:pPr>
          </w:p>
        </w:tc>
        <w:tc>
          <w:tcPr>
            <w:tcW w:w="2429" w:type="dxa"/>
            <w:shd w:val="clear" w:color="auto" w:fill="auto"/>
            <w:vAlign w:val="center"/>
          </w:tcPr>
          <w:p w14:paraId="6F5BE380" w14:textId="77777777" w:rsidR="00D03B70" w:rsidRPr="00221347" w:rsidRDefault="00D03B70" w:rsidP="00FD00E1">
            <w:pPr>
              <w:rPr>
                <w:rFonts w:ascii="Arial" w:eastAsia="Times New Roman" w:hAnsi="Arial" w:cs="Arial"/>
                <w:color w:val="000000"/>
                <w:sz w:val="20"/>
                <w:szCs w:val="20"/>
                <w:lang w:eastAsia="pt-BR"/>
              </w:rPr>
            </w:pPr>
          </w:p>
        </w:tc>
      </w:tr>
      <w:tr w:rsidR="00D03B70" w:rsidRPr="000A3F11" w14:paraId="2B3D173C" w14:textId="77777777" w:rsidTr="00221347">
        <w:trPr>
          <w:trHeight w:val="265"/>
        </w:trPr>
        <w:tc>
          <w:tcPr>
            <w:tcW w:w="2428" w:type="dxa"/>
            <w:shd w:val="clear" w:color="auto" w:fill="auto"/>
            <w:noWrap/>
            <w:vAlign w:val="center"/>
            <w:hideMark/>
          </w:tcPr>
          <w:p w14:paraId="5AA3132D" w14:textId="77777777" w:rsidR="00D03B70" w:rsidRPr="00221347" w:rsidRDefault="00D03B70"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Óbito</w:t>
            </w:r>
          </w:p>
        </w:tc>
        <w:tc>
          <w:tcPr>
            <w:tcW w:w="2429" w:type="dxa"/>
            <w:shd w:val="clear" w:color="auto" w:fill="auto"/>
            <w:noWrap/>
            <w:vAlign w:val="center"/>
            <w:hideMark/>
          </w:tcPr>
          <w:p w14:paraId="3D237F69" w14:textId="77777777" w:rsidR="00D03B70" w:rsidRPr="00221347" w:rsidRDefault="00D03B70"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44</w:t>
            </w:r>
          </w:p>
        </w:tc>
        <w:tc>
          <w:tcPr>
            <w:tcW w:w="2429" w:type="dxa"/>
            <w:shd w:val="clear" w:color="auto" w:fill="auto"/>
            <w:noWrap/>
            <w:vAlign w:val="center"/>
            <w:hideMark/>
          </w:tcPr>
          <w:p w14:paraId="15DBC5B9" w14:textId="77777777" w:rsidR="00D03B70" w:rsidRPr="00221347" w:rsidRDefault="00D03B70" w:rsidP="00FD00E1">
            <w:pPr>
              <w:jc w:val="center"/>
              <w:rPr>
                <w:rFonts w:ascii="Arial" w:eastAsia="Times New Roman" w:hAnsi="Arial" w:cs="Arial"/>
                <w:sz w:val="20"/>
                <w:szCs w:val="20"/>
                <w:lang w:eastAsia="pt-BR"/>
              </w:rPr>
            </w:pPr>
            <w:r w:rsidRPr="00221347">
              <w:rPr>
                <w:rFonts w:ascii="Arial" w:eastAsia="Times New Roman" w:hAnsi="Arial" w:cs="Arial"/>
                <w:color w:val="000000"/>
                <w:sz w:val="20"/>
                <w:szCs w:val="20"/>
                <w:lang w:eastAsia="pt-BR"/>
              </w:rPr>
              <w:t>47,83</w:t>
            </w:r>
          </w:p>
        </w:tc>
      </w:tr>
    </w:tbl>
    <w:p w14:paraId="05185908" w14:textId="77777777" w:rsidR="009F460B" w:rsidRPr="00221347" w:rsidRDefault="009F460B" w:rsidP="00221347">
      <w:pPr>
        <w:rPr>
          <w:rFonts w:ascii="Arial" w:hAnsi="Arial" w:cs="Arial"/>
          <w:sz w:val="20"/>
          <w:szCs w:val="20"/>
        </w:rPr>
      </w:pPr>
    </w:p>
    <w:p w14:paraId="5D3F1161" w14:textId="77777777" w:rsidR="009F460B" w:rsidRPr="00221347" w:rsidRDefault="009F460B" w:rsidP="00D03B70">
      <w:pPr>
        <w:ind w:left="708"/>
        <w:rPr>
          <w:rFonts w:ascii="Arial" w:hAnsi="Arial" w:cs="Arial"/>
          <w:sz w:val="20"/>
          <w:szCs w:val="20"/>
        </w:rPr>
      </w:pPr>
    </w:p>
    <w:p w14:paraId="7E4FCEC5" w14:textId="15D0D73F" w:rsidR="001C4A1E" w:rsidRPr="00221347" w:rsidRDefault="001C4A1E" w:rsidP="001C4A1E">
      <w:pPr>
        <w:rPr>
          <w:rFonts w:ascii="Arial" w:hAnsi="Arial" w:cs="Arial"/>
          <w:sz w:val="20"/>
          <w:szCs w:val="20"/>
        </w:rPr>
      </w:pPr>
    </w:p>
    <w:p w14:paraId="07DE4ECD" w14:textId="77777777" w:rsidR="001C4A1E" w:rsidRPr="00221347" w:rsidRDefault="001C4A1E" w:rsidP="001C4A1E">
      <w:pPr>
        <w:rPr>
          <w:rFonts w:ascii="Arial" w:hAnsi="Arial" w:cs="Arial"/>
          <w:sz w:val="20"/>
          <w:szCs w:val="20"/>
        </w:rPr>
      </w:pPr>
    </w:p>
    <w:p w14:paraId="07F55538" w14:textId="77777777" w:rsidR="001C4A1E" w:rsidRPr="00221347" w:rsidRDefault="001C4A1E" w:rsidP="001C4A1E">
      <w:pPr>
        <w:ind w:left="1440"/>
        <w:rPr>
          <w:rFonts w:ascii="Arial" w:hAnsi="Arial" w:cs="Arial"/>
          <w:sz w:val="20"/>
          <w:szCs w:val="20"/>
        </w:rPr>
      </w:pPr>
    </w:p>
    <w:p w14:paraId="5F5B0E0B" w14:textId="77777777" w:rsidR="001C4A1E" w:rsidRPr="00221347" w:rsidRDefault="001C4A1E" w:rsidP="001C4A1E">
      <w:pPr>
        <w:ind w:left="1440"/>
        <w:rPr>
          <w:rFonts w:ascii="Arial" w:hAnsi="Arial" w:cs="Arial"/>
          <w:sz w:val="20"/>
          <w:szCs w:val="20"/>
        </w:rPr>
      </w:pPr>
    </w:p>
    <w:p w14:paraId="22AE66EE" w14:textId="77777777" w:rsidR="001C4A1E" w:rsidRPr="00221347" w:rsidRDefault="001C4A1E" w:rsidP="001C4A1E">
      <w:pPr>
        <w:ind w:left="1440"/>
        <w:rPr>
          <w:rFonts w:ascii="Arial" w:hAnsi="Arial" w:cs="Arial"/>
          <w:sz w:val="20"/>
          <w:szCs w:val="20"/>
        </w:rPr>
      </w:pPr>
    </w:p>
    <w:p w14:paraId="42A6C703" w14:textId="77777777" w:rsidR="001C4A1E" w:rsidRPr="00221347" w:rsidRDefault="001C4A1E" w:rsidP="001C4A1E">
      <w:pPr>
        <w:ind w:left="1440"/>
        <w:rPr>
          <w:rFonts w:ascii="Arial" w:hAnsi="Arial" w:cs="Arial"/>
          <w:sz w:val="20"/>
          <w:szCs w:val="20"/>
        </w:rPr>
      </w:pPr>
    </w:p>
    <w:p w14:paraId="55756ACA" w14:textId="77777777" w:rsidR="001C4A1E" w:rsidRPr="00221347" w:rsidRDefault="001C4A1E" w:rsidP="001C4A1E">
      <w:pPr>
        <w:ind w:left="1440"/>
        <w:rPr>
          <w:rFonts w:ascii="Arial" w:hAnsi="Arial" w:cs="Arial"/>
          <w:sz w:val="20"/>
          <w:szCs w:val="20"/>
        </w:rPr>
      </w:pPr>
    </w:p>
    <w:p w14:paraId="61B12825" w14:textId="6402E041" w:rsidR="00D03B70" w:rsidRPr="00221347" w:rsidRDefault="00D03B70" w:rsidP="00221347">
      <w:pPr>
        <w:ind w:left="720"/>
        <w:rPr>
          <w:rFonts w:ascii="Arial" w:hAnsi="Arial" w:cs="Arial"/>
          <w:sz w:val="20"/>
          <w:szCs w:val="20"/>
        </w:rPr>
      </w:pPr>
      <w:r w:rsidRPr="00221347">
        <w:rPr>
          <w:rFonts w:ascii="Arial" w:hAnsi="Arial" w:cs="Arial"/>
          <w:sz w:val="20"/>
          <w:szCs w:val="20"/>
        </w:rPr>
        <w:t>*Média e desvio-padrão</w:t>
      </w:r>
      <w:r w:rsidRPr="00221347">
        <w:rPr>
          <w:rFonts w:ascii="Arial" w:hAnsi="Arial" w:cs="Arial"/>
          <w:sz w:val="20"/>
          <w:szCs w:val="20"/>
        </w:rPr>
        <w:br/>
        <w:t>**Mediana e Amplitude Interquartil</w:t>
      </w:r>
    </w:p>
    <w:p w14:paraId="4A5C55B1" w14:textId="53504BA1" w:rsidR="00B467F2" w:rsidRPr="00221347" w:rsidRDefault="00B467F2" w:rsidP="00D03B70">
      <w:pPr>
        <w:ind w:left="708"/>
        <w:rPr>
          <w:rFonts w:ascii="Arial" w:hAnsi="Arial" w:cs="Arial"/>
          <w:sz w:val="20"/>
          <w:szCs w:val="20"/>
        </w:rPr>
      </w:pPr>
    </w:p>
    <w:p w14:paraId="4A7241A5" w14:textId="1C4D2ED6" w:rsidR="00B467F2" w:rsidRPr="00221347" w:rsidRDefault="00B467F2" w:rsidP="00D03B70">
      <w:pPr>
        <w:ind w:left="708"/>
        <w:rPr>
          <w:rFonts w:ascii="Arial" w:hAnsi="Arial" w:cs="Arial"/>
          <w:sz w:val="20"/>
          <w:szCs w:val="20"/>
        </w:rPr>
      </w:pPr>
    </w:p>
    <w:p w14:paraId="580A7DB0" w14:textId="2584C0C0" w:rsidR="00B467F2" w:rsidRPr="00221347" w:rsidRDefault="00B467F2" w:rsidP="00D03B70">
      <w:pPr>
        <w:ind w:left="708"/>
        <w:rPr>
          <w:rFonts w:ascii="Arial" w:hAnsi="Arial" w:cs="Arial"/>
          <w:sz w:val="20"/>
          <w:szCs w:val="20"/>
        </w:rPr>
      </w:pPr>
    </w:p>
    <w:p w14:paraId="5AA3BA62" w14:textId="00777A41" w:rsidR="00B467F2" w:rsidRPr="00221347" w:rsidRDefault="00B467F2" w:rsidP="00B467F2">
      <w:pPr>
        <w:rPr>
          <w:rFonts w:ascii="Arial" w:hAnsi="Arial" w:cs="Arial"/>
          <w:sz w:val="20"/>
          <w:szCs w:val="20"/>
        </w:rPr>
      </w:pPr>
      <w:r w:rsidRPr="00221347">
        <w:rPr>
          <w:rFonts w:ascii="Arial" w:hAnsi="Arial" w:cs="Arial"/>
          <w:b/>
          <w:bCs/>
          <w:sz w:val="20"/>
          <w:szCs w:val="20"/>
        </w:rPr>
        <w:t>Tabela 2:</w:t>
      </w:r>
      <w:r w:rsidRPr="00221347">
        <w:rPr>
          <w:rFonts w:ascii="Arial" w:hAnsi="Arial" w:cs="Arial"/>
          <w:sz w:val="20"/>
          <w:szCs w:val="20"/>
        </w:rPr>
        <w:t xml:space="preserve"> Causa do óbito em pacientes submetidos a </w:t>
      </w:r>
      <w:r w:rsidR="00DE41D7">
        <w:rPr>
          <w:rFonts w:ascii="Arial" w:hAnsi="Arial" w:cs="Arial"/>
          <w:sz w:val="20"/>
          <w:szCs w:val="20"/>
        </w:rPr>
        <w:t>transplante hepático</w:t>
      </w:r>
      <w:r w:rsidR="00DE41D7" w:rsidRPr="00221347">
        <w:rPr>
          <w:rFonts w:ascii="Arial" w:hAnsi="Arial" w:cs="Arial"/>
          <w:sz w:val="20"/>
          <w:szCs w:val="20"/>
        </w:rPr>
        <w:t xml:space="preserve"> por Carcinoma Hepatocelular</w:t>
      </w:r>
    </w:p>
    <w:tbl>
      <w:tblPr>
        <w:tblW w:w="739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02"/>
        <w:gridCol w:w="1144"/>
        <w:gridCol w:w="1144"/>
      </w:tblGrid>
      <w:tr w:rsidR="00B467F2" w:rsidRPr="000A3F11" w14:paraId="13242BAB" w14:textId="77777777" w:rsidTr="00221347">
        <w:trPr>
          <w:trHeight w:val="289"/>
          <w:jc w:val="center"/>
        </w:trPr>
        <w:tc>
          <w:tcPr>
            <w:tcW w:w="5102" w:type="dxa"/>
            <w:tcBorders>
              <w:bottom w:val="single" w:sz="4" w:space="0" w:color="auto"/>
            </w:tcBorders>
            <w:shd w:val="clear" w:color="auto" w:fill="auto"/>
            <w:noWrap/>
            <w:vAlign w:val="bottom"/>
          </w:tcPr>
          <w:p w14:paraId="563232AB" w14:textId="77777777" w:rsidR="00B467F2" w:rsidRPr="00221347" w:rsidRDefault="00B467F2"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Causa do óbito</w:t>
            </w:r>
          </w:p>
        </w:tc>
        <w:tc>
          <w:tcPr>
            <w:tcW w:w="1144" w:type="dxa"/>
            <w:tcBorders>
              <w:bottom w:val="single" w:sz="4" w:space="0" w:color="auto"/>
            </w:tcBorders>
            <w:shd w:val="clear" w:color="auto" w:fill="auto"/>
            <w:noWrap/>
            <w:vAlign w:val="bottom"/>
          </w:tcPr>
          <w:p w14:paraId="5ECEA7A1" w14:textId="77777777" w:rsidR="00B467F2" w:rsidRPr="00221347" w:rsidRDefault="00B467F2" w:rsidP="00FD00E1">
            <w:pPr>
              <w:jc w:val="right"/>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n</w:t>
            </w:r>
          </w:p>
        </w:tc>
        <w:tc>
          <w:tcPr>
            <w:tcW w:w="1144" w:type="dxa"/>
            <w:tcBorders>
              <w:bottom w:val="single" w:sz="4" w:space="0" w:color="auto"/>
            </w:tcBorders>
            <w:shd w:val="clear" w:color="auto" w:fill="auto"/>
            <w:noWrap/>
            <w:vAlign w:val="bottom"/>
          </w:tcPr>
          <w:p w14:paraId="3901BFB4" w14:textId="77777777" w:rsidR="00B467F2" w:rsidRPr="00221347" w:rsidRDefault="00B467F2" w:rsidP="00FD00E1">
            <w:pPr>
              <w:jc w:val="right"/>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w:t>
            </w:r>
          </w:p>
        </w:tc>
      </w:tr>
      <w:tr w:rsidR="00B467F2" w:rsidRPr="000A3F11" w14:paraId="18FFB2EA" w14:textId="77777777" w:rsidTr="00221347">
        <w:trPr>
          <w:trHeight w:val="289"/>
          <w:jc w:val="center"/>
        </w:trPr>
        <w:tc>
          <w:tcPr>
            <w:tcW w:w="5102" w:type="dxa"/>
            <w:tcBorders>
              <w:top w:val="single" w:sz="4" w:space="0" w:color="auto"/>
            </w:tcBorders>
            <w:shd w:val="clear" w:color="auto" w:fill="auto"/>
            <w:noWrap/>
            <w:vAlign w:val="bottom"/>
          </w:tcPr>
          <w:p w14:paraId="6DABF957"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Carcinoma hepatocelular</w:t>
            </w:r>
          </w:p>
        </w:tc>
        <w:tc>
          <w:tcPr>
            <w:tcW w:w="1144" w:type="dxa"/>
            <w:tcBorders>
              <w:top w:val="single" w:sz="4" w:space="0" w:color="auto"/>
            </w:tcBorders>
            <w:shd w:val="clear" w:color="auto" w:fill="auto"/>
            <w:noWrap/>
            <w:vAlign w:val="bottom"/>
          </w:tcPr>
          <w:p w14:paraId="79895D9D"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tcBorders>
              <w:top w:val="single" w:sz="4" w:space="0" w:color="auto"/>
            </w:tcBorders>
            <w:shd w:val="clear" w:color="auto" w:fill="auto"/>
            <w:noWrap/>
            <w:vAlign w:val="bottom"/>
          </w:tcPr>
          <w:p w14:paraId="25D9362A"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208BED68" w14:textId="77777777" w:rsidTr="00221347">
        <w:trPr>
          <w:trHeight w:val="289"/>
          <w:jc w:val="center"/>
        </w:trPr>
        <w:tc>
          <w:tcPr>
            <w:tcW w:w="5102" w:type="dxa"/>
            <w:shd w:val="clear" w:color="auto" w:fill="auto"/>
            <w:noWrap/>
            <w:vAlign w:val="bottom"/>
            <w:hideMark/>
          </w:tcPr>
          <w:p w14:paraId="247F83B1"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Choque hipovolêmico</w:t>
            </w:r>
          </w:p>
        </w:tc>
        <w:tc>
          <w:tcPr>
            <w:tcW w:w="1144" w:type="dxa"/>
            <w:shd w:val="clear" w:color="auto" w:fill="auto"/>
            <w:noWrap/>
            <w:vAlign w:val="bottom"/>
            <w:hideMark/>
          </w:tcPr>
          <w:p w14:paraId="4AEBD81F"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w:t>
            </w:r>
          </w:p>
        </w:tc>
        <w:tc>
          <w:tcPr>
            <w:tcW w:w="1144" w:type="dxa"/>
            <w:shd w:val="clear" w:color="auto" w:fill="auto"/>
            <w:noWrap/>
            <w:vAlign w:val="bottom"/>
            <w:hideMark/>
          </w:tcPr>
          <w:p w14:paraId="54CEE74A"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15,91</w:t>
            </w:r>
          </w:p>
        </w:tc>
      </w:tr>
      <w:tr w:rsidR="00B467F2" w:rsidRPr="000A3F11" w14:paraId="3FD0AAD1" w14:textId="77777777" w:rsidTr="00221347">
        <w:trPr>
          <w:trHeight w:val="289"/>
          <w:jc w:val="center"/>
        </w:trPr>
        <w:tc>
          <w:tcPr>
            <w:tcW w:w="5102" w:type="dxa"/>
            <w:shd w:val="clear" w:color="auto" w:fill="auto"/>
            <w:noWrap/>
            <w:vAlign w:val="bottom"/>
            <w:hideMark/>
          </w:tcPr>
          <w:p w14:paraId="331F7B5C"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Choque não especificado</w:t>
            </w:r>
          </w:p>
        </w:tc>
        <w:tc>
          <w:tcPr>
            <w:tcW w:w="1144" w:type="dxa"/>
            <w:shd w:val="clear" w:color="auto" w:fill="auto"/>
            <w:noWrap/>
            <w:vAlign w:val="bottom"/>
            <w:hideMark/>
          </w:tcPr>
          <w:p w14:paraId="59CC4453"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0C65FE12"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2758E410" w14:textId="77777777" w:rsidTr="00221347">
        <w:trPr>
          <w:trHeight w:val="289"/>
          <w:jc w:val="center"/>
        </w:trPr>
        <w:tc>
          <w:tcPr>
            <w:tcW w:w="5102" w:type="dxa"/>
            <w:shd w:val="clear" w:color="auto" w:fill="auto"/>
            <w:noWrap/>
            <w:vAlign w:val="bottom"/>
            <w:hideMark/>
          </w:tcPr>
          <w:p w14:paraId="4335E932"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Choque secundário a Insuficiência Hepática</w:t>
            </w:r>
          </w:p>
        </w:tc>
        <w:tc>
          <w:tcPr>
            <w:tcW w:w="1144" w:type="dxa"/>
            <w:shd w:val="clear" w:color="auto" w:fill="auto"/>
            <w:noWrap/>
            <w:vAlign w:val="bottom"/>
            <w:hideMark/>
          </w:tcPr>
          <w:p w14:paraId="063FF1C5"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5E2AB46F"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64FFF62C" w14:textId="77777777" w:rsidTr="00221347">
        <w:trPr>
          <w:trHeight w:val="289"/>
          <w:jc w:val="center"/>
        </w:trPr>
        <w:tc>
          <w:tcPr>
            <w:tcW w:w="5102" w:type="dxa"/>
            <w:shd w:val="clear" w:color="auto" w:fill="auto"/>
            <w:noWrap/>
            <w:vAlign w:val="bottom"/>
            <w:hideMark/>
          </w:tcPr>
          <w:p w14:paraId="1831F635"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Disfunção primária do enxerto</w:t>
            </w:r>
          </w:p>
        </w:tc>
        <w:tc>
          <w:tcPr>
            <w:tcW w:w="1144" w:type="dxa"/>
            <w:shd w:val="clear" w:color="auto" w:fill="auto"/>
            <w:noWrap/>
            <w:vAlign w:val="bottom"/>
            <w:hideMark/>
          </w:tcPr>
          <w:p w14:paraId="4FBF122A"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w:t>
            </w:r>
          </w:p>
        </w:tc>
        <w:tc>
          <w:tcPr>
            <w:tcW w:w="1144" w:type="dxa"/>
            <w:shd w:val="clear" w:color="auto" w:fill="auto"/>
            <w:noWrap/>
            <w:vAlign w:val="bottom"/>
            <w:hideMark/>
          </w:tcPr>
          <w:p w14:paraId="7028B6F6"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9,09</w:t>
            </w:r>
          </w:p>
        </w:tc>
      </w:tr>
      <w:tr w:rsidR="00B467F2" w:rsidRPr="000A3F11" w14:paraId="24D82C88" w14:textId="77777777" w:rsidTr="00221347">
        <w:trPr>
          <w:trHeight w:val="289"/>
          <w:jc w:val="center"/>
        </w:trPr>
        <w:tc>
          <w:tcPr>
            <w:tcW w:w="5102" w:type="dxa"/>
            <w:shd w:val="clear" w:color="auto" w:fill="auto"/>
            <w:noWrap/>
            <w:vAlign w:val="bottom"/>
            <w:hideMark/>
          </w:tcPr>
          <w:p w14:paraId="4A93EB19"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Edema agudo de pulmão</w:t>
            </w:r>
          </w:p>
        </w:tc>
        <w:tc>
          <w:tcPr>
            <w:tcW w:w="1144" w:type="dxa"/>
            <w:shd w:val="clear" w:color="auto" w:fill="auto"/>
            <w:noWrap/>
            <w:vAlign w:val="bottom"/>
            <w:hideMark/>
          </w:tcPr>
          <w:p w14:paraId="27AEF440"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7DDD10BD"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03FC36BA" w14:textId="77777777" w:rsidTr="00221347">
        <w:trPr>
          <w:trHeight w:val="289"/>
          <w:jc w:val="center"/>
        </w:trPr>
        <w:tc>
          <w:tcPr>
            <w:tcW w:w="5102" w:type="dxa"/>
            <w:shd w:val="clear" w:color="auto" w:fill="auto"/>
            <w:noWrap/>
            <w:vAlign w:val="bottom"/>
            <w:hideMark/>
          </w:tcPr>
          <w:p w14:paraId="14311947"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Falência hepática</w:t>
            </w:r>
          </w:p>
        </w:tc>
        <w:tc>
          <w:tcPr>
            <w:tcW w:w="1144" w:type="dxa"/>
            <w:shd w:val="clear" w:color="auto" w:fill="auto"/>
            <w:noWrap/>
            <w:vAlign w:val="bottom"/>
            <w:hideMark/>
          </w:tcPr>
          <w:p w14:paraId="3AA3714A"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2B3DFC13"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200DB513" w14:textId="77777777" w:rsidTr="00221347">
        <w:trPr>
          <w:trHeight w:val="289"/>
          <w:jc w:val="center"/>
        </w:trPr>
        <w:tc>
          <w:tcPr>
            <w:tcW w:w="5102" w:type="dxa"/>
            <w:shd w:val="clear" w:color="auto" w:fill="auto"/>
            <w:noWrap/>
            <w:vAlign w:val="bottom"/>
            <w:hideMark/>
          </w:tcPr>
          <w:p w14:paraId="7DCC3E88"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Falência múltipla de órgãos</w:t>
            </w:r>
          </w:p>
        </w:tc>
        <w:tc>
          <w:tcPr>
            <w:tcW w:w="1144" w:type="dxa"/>
            <w:shd w:val="clear" w:color="auto" w:fill="auto"/>
            <w:noWrap/>
            <w:vAlign w:val="bottom"/>
            <w:hideMark/>
          </w:tcPr>
          <w:p w14:paraId="1F87D3C1"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38D35FC4"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78A5035C" w14:textId="77777777" w:rsidTr="00221347">
        <w:trPr>
          <w:trHeight w:val="289"/>
          <w:jc w:val="center"/>
        </w:trPr>
        <w:tc>
          <w:tcPr>
            <w:tcW w:w="5102" w:type="dxa"/>
            <w:shd w:val="clear" w:color="auto" w:fill="auto"/>
            <w:noWrap/>
            <w:vAlign w:val="bottom"/>
            <w:hideMark/>
          </w:tcPr>
          <w:p w14:paraId="48E86FB2"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Insuficiência hepática aguda</w:t>
            </w:r>
          </w:p>
        </w:tc>
        <w:tc>
          <w:tcPr>
            <w:tcW w:w="1144" w:type="dxa"/>
            <w:shd w:val="clear" w:color="auto" w:fill="auto"/>
            <w:noWrap/>
            <w:vAlign w:val="bottom"/>
            <w:hideMark/>
          </w:tcPr>
          <w:p w14:paraId="1811D8AE"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w:t>
            </w:r>
          </w:p>
        </w:tc>
        <w:tc>
          <w:tcPr>
            <w:tcW w:w="1144" w:type="dxa"/>
            <w:shd w:val="clear" w:color="auto" w:fill="auto"/>
            <w:noWrap/>
            <w:vAlign w:val="bottom"/>
            <w:hideMark/>
          </w:tcPr>
          <w:p w14:paraId="7FB25CF4"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4,55</w:t>
            </w:r>
          </w:p>
        </w:tc>
      </w:tr>
      <w:tr w:rsidR="00B467F2" w:rsidRPr="000A3F11" w14:paraId="7D4CBE4F" w14:textId="77777777" w:rsidTr="00221347">
        <w:trPr>
          <w:trHeight w:val="289"/>
          <w:jc w:val="center"/>
        </w:trPr>
        <w:tc>
          <w:tcPr>
            <w:tcW w:w="5102" w:type="dxa"/>
            <w:shd w:val="clear" w:color="auto" w:fill="auto"/>
            <w:noWrap/>
            <w:vAlign w:val="bottom"/>
            <w:hideMark/>
          </w:tcPr>
          <w:p w14:paraId="6D7ED109"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Insuficiência respiratória</w:t>
            </w:r>
          </w:p>
        </w:tc>
        <w:tc>
          <w:tcPr>
            <w:tcW w:w="1144" w:type="dxa"/>
            <w:shd w:val="clear" w:color="auto" w:fill="auto"/>
            <w:noWrap/>
            <w:vAlign w:val="bottom"/>
            <w:hideMark/>
          </w:tcPr>
          <w:p w14:paraId="352646C6"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w:t>
            </w:r>
          </w:p>
        </w:tc>
        <w:tc>
          <w:tcPr>
            <w:tcW w:w="1144" w:type="dxa"/>
            <w:shd w:val="clear" w:color="auto" w:fill="auto"/>
            <w:noWrap/>
            <w:vAlign w:val="bottom"/>
            <w:hideMark/>
          </w:tcPr>
          <w:p w14:paraId="1875E130"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4,55</w:t>
            </w:r>
          </w:p>
        </w:tc>
      </w:tr>
      <w:tr w:rsidR="00B467F2" w:rsidRPr="000A3F11" w14:paraId="21AEE77B" w14:textId="77777777" w:rsidTr="00221347">
        <w:trPr>
          <w:trHeight w:val="289"/>
          <w:jc w:val="center"/>
        </w:trPr>
        <w:tc>
          <w:tcPr>
            <w:tcW w:w="5102" w:type="dxa"/>
            <w:shd w:val="clear" w:color="auto" w:fill="auto"/>
            <w:noWrap/>
            <w:vAlign w:val="bottom"/>
            <w:hideMark/>
          </w:tcPr>
          <w:p w14:paraId="042DCEAB"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Neoplasia cabeça e pescoço</w:t>
            </w:r>
          </w:p>
        </w:tc>
        <w:tc>
          <w:tcPr>
            <w:tcW w:w="1144" w:type="dxa"/>
            <w:shd w:val="clear" w:color="auto" w:fill="auto"/>
            <w:noWrap/>
            <w:vAlign w:val="bottom"/>
            <w:hideMark/>
          </w:tcPr>
          <w:p w14:paraId="6C5E343C"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7506D1E3"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r w:rsidR="00B467F2" w:rsidRPr="000A3F11" w14:paraId="141D4E54" w14:textId="77777777" w:rsidTr="00221347">
        <w:trPr>
          <w:trHeight w:val="289"/>
          <w:jc w:val="center"/>
        </w:trPr>
        <w:tc>
          <w:tcPr>
            <w:tcW w:w="5102" w:type="dxa"/>
            <w:shd w:val="clear" w:color="auto" w:fill="auto"/>
            <w:noWrap/>
            <w:vAlign w:val="bottom"/>
            <w:hideMark/>
          </w:tcPr>
          <w:p w14:paraId="4DF31075"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 xml:space="preserve">Parada </w:t>
            </w:r>
            <w:proofErr w:type="spellStart"/>
            <w:r w:rsidRPr="00221347">
              <w:rPr>
                <w:rFonts w:ascii="Arial" w:eastAsia="Times New Roman" w:hAnsi="Arial" w:cs="Arial"/>
                <w:color w:val="000000"/>
                <w:sz w:val="20"/>
                <w:szCs w:val="20"/>
                <w:lang w:eastAsia="pt-BR"/>
              </w:rPr>
              <w:t>cardiorespiratória</w:t>
            </w:r>
            <w:proofErr w:type="spellEnd"/>
          </w:p>
        </w:tc>
        <w:tc>
          <w:tcPr>
            <w:tcW w:w="1144" w:type="dxa"/>
            <w:shd w:val="clear" w:color="auto" w:fill="auto"/>
            <w:noWrap/>
            <w:vAlign w:val="bottom"/>
            <w:hideMark/>
          </w:tcPr>
          <w:p w14:paraId="00CB29E1"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w:t>
            </w:r>
          </w:p>
        </w:tc>
        <w:tc>
          <w:tcPr>
            <w:tcW w:w="1144" w:type="dxa"/>
            <w:shd w:val="clear" w:color="auto" w:fill="auto"/>
            <w:noWrap/>
            <w:vAlign w:val="bottom"/>
            <w:hideMark/>
          </w:tcPr>
          <w:p w14:paraId="0D125A42"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6,82</w:t>
            </w:r>
          </w:p>
        </w:tc>
      </w:tr>
      <w:tr w:rsidR="00B467F2" w:rsidRPr="000A3F11" w14:paraId="06624894" w14:textId="77777777" w:rsidTr="00221347">
        <w:trPr>
          <w:trHeight w:val="289"/>
          <w:jc w:val="center"/>
        </w:trPr>
        <w:tc>
          <w:tcPr>
            <w:tcW w:w="5102" w:type="dxa"/>
            <w:shd w:val="clear" w:color="auto" w:fill="auto"/>
            <w:noWrap/>
            <w:vAlign w:val="bottom"/>
            <w:hideMark/>
          </w:tcPr>
          <w:p w14:paraId="43529BE8"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Septicemia</w:t>
            </w:r>
          </w:p>
        </w:tc>
        <w:tc>
          <w:tcPr>
            <w:tcW w:w="1144" w:type="dxa"/>
            <w:shd w:val="clear" w:color="auto" w:fill="auto"/>
            <w:noWrap/>
            <w:vAlign w:val="bottom"/>
            <w:hideMark/>
          </w:tcPr>
          <w:p w14:paraId="5333FBFE"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18</w:t>
            </w:r>
          </w:p>
        </w:tc>
        <w:tc>
          <w:tcPr>
            <w:tcW w:w="1144" w:type="dxa"/>
            <w:shd w:val="clear" w:color="auto" w:fill="auto"/>
            <w:noWrap/>
            <w:vAlign w:val="bottom"/>
            <w:hideMark/>
          </w:tcPr>
          <w:p w14:paraId="0C57263A"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40,91</w:t>
            </w:r>
          </w:p>
        </w:tc>
      </w:tr>
      <w:tr w:rsidR="00B467F2" w:rsidRPr="000A3F11" w14:paraId="2D0D3DA1" w14:textId="77777777" w:rsidTr="00221347">
        <w:trPr>
          <w:trHeight w:val="289"/>
          <w:jc w:val="center"/>
        </w:trPr>
        <w:tc>
          <w:tcPr>
            <w:tcW w:w="5102" w:type="dxa"/>
            <w:shd w:val="clear" w:color="auto" w:fill="auto"/>
            <w:noWrap/>
            <w:vAlign w:val="bottom"/>
            <w:hideMark/>
          </w:tcPr>
          <w:p w14:paraId="03871083" w14:textId="77777777" w:rsidR="00B467F2" w:rsidRPr="00221347" w:rsidRDefault="00B467F2"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Síndrome pós-reperfusão</w:t>
            </w:r>
          </w:p>
        </w:tc>
        <w:tc>
          <w:tcPr>
            <w:tcW w:w="1144" w:type="dxa"/>
            <w:shd w:val="clear" w:color="auto" w:fill="auto"/>
            <w:noWrap/>
            <w:vAlign w:val="bottom"/>
            <w:hideMark/>
          </w:tcPr>
          <w:p w14:paraId="6F9134A6"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w:t>
            </w:r>
          </w:p>
        </w:tc>
        <w:tc>
          <w:tcPr>
            <w:tcW w:w="1144" w:type="dxa"/>
            <w:shd w:val="clear" w:color="auto" w:fill="auto"/>
            <w:noWrap/>
            <w:vAlign w:val="bottom"/>
            <w:hideMark/>
          </w:tcPr>
          <w:p w14:paraId="309DB3F3" w14:textId="77777777" w:rsidR="00B467F2" w:rsidRPr="00221347" w:rsidRDefault="00B467F2" w:rsidP="00FD00E1">
            <w:pPr>
              <w:jc w:val="right"/>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2,27</w:t>
            </w:r>
          </w:p>
        </w:tc>
      </w:tr>
    </w:tbl>
    <w:p w14:paraId="70E34A3B" w14:textId="0E6B98F1" w:rsidR="00B467F2" w:rsidRPr="00221347" w:rsidRDefault="00B467F2" w:rsidP="00D03B70">
      <w:pPr>
        <w:ind w:left="708"/>
        <w:rPr>
          <w:rFonts w:ascii="Arial" w:hAnsi="Arial" w:cs="Arial"/>
          <w:sz w:val="20"/>
          <w:szCs w:val="20"/>
        </w:rPr>
      </w:pPr>
    </w:p>
    <w:p w14:paraId="50D6FF23" w14:textId="6306B449" w:rsidR="00BF4291" w:rsidRPr="00221347" w:rsidRDefault="00BF4291" w:rsidP="00D03B70">
      <w:pPr>
        <w:ind w:left="708"/>
        <w:rPr>
          <w:rFonts w:ascii="Arial" w:hAnsi="Arial" w:cs="Arial"/>
          <w:sz w:val="20"/>
          <w:szCs w:val="20"/>
        </w:rPr>
      </w:pPr>
    </w:p>
    <w:p w14:paraId="133F34CE" w14:textId="7AD985F8" w:rsidR="00BF4291" w:rsidRPr="00221347" w:rsidRDefault="00BF4291" w:rsidP="00D03B70">
      <w:pPr>
        <w:ind w:left="708"/>
        <w:rPr>
          <w:rFonts w:ascii="Arial" w:hAnsi="Arial" w:cs="Arial"/>
          <w:sz w:val="20"/>
          <w:szCs w:val="20"/>
        </w:rPr>
      </w:pPr>
    </w:p>
    <w:p w14:paraId="6C282B5E" w14:textId="77777777" w:rsidR="001C4A1E" w:rsidRPr="00221347" w:rsidRDefault="001C4A1E" w:rsidP="00BF4291">
      <w:pPr>
        <w:jc w:val="both"/>
        <w:rPr>
          <w:rFonts w:ascii="Arial" w:hAnsi="Arial" w:cs="Arial"/>
          <w:sz w:val="20"/>
          <w:szCs w:val="20"/>
        </w:rPr>
      </w:pPr>
    </w:p>
    <w:p w14:paraId="1FD4A296" w14:textId="77777777" w:rsidR="001C4A1E" w:rsidRPr="00221347" w:rsidRDefault="001C4A1E" w:rsidP="00BF4291">
      <w:pPr>
        <w:jc w:val="both"/>
        <w:rPr>
          <w:rFonts w:ascii="Arial" w:hAnsi="Arial" w:cs="Arial"/>
          <w:sz w:val="20"/>
          <w:szCs w:val="20"/>
        </w:rPr>
      </w:pPr>
    </w:p>
    <w:p w14:paraId="0799223E" w14:textId="77777777" w:rsidR="001C4A1E" w:rsidRPr="00221347" w:rsidRDefault="001C4A1E" w:rsidP="00BF4291">
      <w:pPr>
        <w:jc w:val="both"/>
        <w:rPr>
          <w:rFonts w:ascii="Arial" w:hAnsi="Arial" w:cs="Arial"/>
          <w:sz w:val="20"/>
          <w:szCs w:val="20"/>
        </w:rPr>
      </w:pPr>
    </w:p>
    <w:p w14:paraId="1A641A8B" w14:textId="77777777" w:rsidR="001C4A1E" w:rsidRPr="00221347" w:rsidRDefault="001C4A1E" w:rsidP="00BF4291">
      <w:pPr>
        <w:jc w:val="both"/>
        <w:rPr>
          <w:rFonts w:ascii="Arial" w:hAnsi="Arial" w:cs="Arial"/>
          <w:sz w:val="20"/>
          <w:szCs w:val="20"/>
        </w:rPr>
      </w:pPr>
    </w:p>
    <w:p w14:paraId="3D046122" w14:textId="77777777" w:rsidR="007D3C29" w:rsidRPr="00D80D14" w:rsidRDefault="007D3C29" w:rsidP="00BF4291">
      <w:pPr>
        <w:jc w:val="both"/>
        <w:rPr>
          <w:rFonts w:ascii="Arial" w:hAnsi="Arial" w:cs="Arial"/>
          <w:sz w:val="20"/>
          <w:szCs w:val="20"/>
        </w:rPr>
      </w:pPr>
    </w:p>
    <w:p w14:paraId="1A9B5E9E" w14:textId="77777777" w:rsidR="007D3C29" w:rsidRPr="00D80D14" w:rsidRDefault="007D3C29" w:rsidP="00BF4291">
      <w:pPr>
        <w:jc w:val="both"/>
        <w:rPr>
          <w:rFonts w:ascii="Arial" w:hAnsi="Arial" w:cs="Arial"/>
          <w:sz w:val="20"/>
          <w:szCs w:val="20"/>
        </w:rPr>
      </w:pPr>
    </w:p>
    <w:p w14:paraId="1A0D79C5" w14:textId="77777777" w:rsidR="007D3C29" w:rsidRPr="00D80D14" w:rsidRDefault="007D3C29" w:rsidP="00BF4291">
      <w:pPr>
        <w:jc w:val="both"/>
        <w:rPr>
          <w:rFonts w:ascii="Arial" w:hAnsi="Arial" w:cs="Arial"/>
          <w:sz w:val="20"/>
          <w:szCs w:val="20"/>
        </w:rPr>
      </w:pPr>
    </w:p>
    <w:p w14:paraId="6F844278" w14:textId="77777777" w:rsidR="007D3C29" w:rsidRPr="00D80D14" w:rsidRDefault="007D3C29" w:rsidP="00BF4291">
      <w:pPr>
        <w:jc w:val="both"/>
        <w:rPr>
          <w:rFonts w:ascii="Arial" w:hAnsi="Arial" w:cs="Arial"/>
          <w:sz w:val="20"/>
          <w:szCs w:val="20"/>
        </w:rPr>
      </w:pPr>
    </w:p>
    <w:p w14:paraId="00E15D9E" w14:textId="77777777" w:rsidR="007D3C29" w:rsidRPr="00D80D14" w:rsidRDefault="007D3C29" w:rsidP="00BF4291">
      <w:pPr>
        <w:jc w:val="both"/>
        <w:rPr>
          <w:rFonts w:ascii="Arial" w:hAnsi="Arial" w:cs="Arial"/>
          <w:sz w:val="20"/>
          <w:szCs w:val="20"/>
        </w:rPr>
      </w:pPr>
    </w:p>
    <w:p w14:paraId="54235DD5" w14:textId="77777777" w:rsidR="007D3C29" w:rsidRPr="00D80D14" w:rsidRDefault="007D3C29" w:rsidP="00BF4291">
      <w:pPr>
        <w:jc w:val="both"/>
        <w:rPr>
          <w:rFonts w:ascii="Arial" w:hAnsi="Arial" w:cs="Arial"/>
          <w:sz w:val="20"/>
          <w:szCs w:val="20"/>
        </w:rPr>
      </w:pPr>
    </w:p>
    <w:p w14:paraId="2CDE9935" w14:textId="77777777" w:rsidR="007D3C29" w:rsidRPr="00D80D14" w:rsidRDefault="007D3C29" w:rsidP="00BF4291">
      <w:pPr>
        <w:jc w:val="both"/>
        <w:rPr>
          <w:rFonts w:ascii="Arial" w:hAnsi="Arial" w:cs="Arial"/>
          <w:sz w:val="20"/>
          <w:szCs w:val="20"/>
        </w:rPr>
      </w:pPr>
    </w:p>
    <w:p w14:paraId="402ACE03" w14:textId="77777777" w:rsidR="007D3C29" w:rsidRPr="00D80D14" w:rsidRDefault="007D3C29" w:rsidP="00BF4291">
      <w:pPr>
        <w:jc w:val="both"/>
        <w:rPr>
          <w:rFonts w:ascii="Arial" w:hAnsi="Arial" w:cs="Arial"/>
          <w:sz w:val="20"/>
          <w:szCs w:val="20"/>
        </w:rPr>
      </w:pPr>
    </w:p>
    <w:p w14:paraId="15FED623" w14:textId="77777777" w:rsidR="007D3C29" w:rsidRPr="00D80D14" w:rsidRDefault="007D3C29" w:rsidP="00BF4291">
      <w:pPr>
        <w:jc w:val="both"/>
        <w:rPr>
          <w:rFonts w:ascii="Arial" w:hAnsi="Arial" w:cs="Arial"/>
          <w:sz w:val="20"/>
          <w:szCs w:val="20"/>
        </w:rPr>
      </w:pPr>
    </w:p>
    <w:p w14:paraId="2D87DA40" w14:textId="77777777" w:rsidR="007D3C29" w:rsidRPr="00D80D14" w:rsidRDefault="007D3C29" w:rsidP="00BF4291">
      <w:pPr>
        <w:jc w:val="both"/>
        <w:rPr>
          <w:rFonts w:ascii="Arial" w:hAnsi="Arial" w:cs="Arial"/>
          <w:sz w:val="20"/>
          <w:szCs w:val="20"/>
        </w:rPr>
      </w:pPr>
    </w:p>
    <w:p w14:paraId="767D1356" w14:textId="77777777" w:rsidR="007D3C29" w:rsidRPr="00D80D14" w:rsidRDefault="007D3C29" w:rsidP="00BF4291">
      <w:pPr>
        <w:jc w:val="both"/>
        <w:rPr>
          <w:rFonts w:ascii="Arial" w:hAnsi="Arial" w:cs="Arial"/>
          <w:sz w:val="20"/>
          <w:szCs w:val="20"/>
        </w:rPr>
      </w:pPr>
    </w:p>
    <w:p w14:paraId="58807D01" w14:textId="77777777" w:rsidR="007D3C29" w:rsidRPr="00D80D14" w:rsidRDefault="007D3C29" w:rsidP="00BF4291">
      <w:pPr>
        <w:jc w:val="both"/>
        <w:rPr>
          <w:rFonts w:ascii="Arial" w:hAnsi="Arial" w:cs="Arial"/>
          <w:sz w:val="20"/>
          <w:szCs w:val="20"/>
        </w:rPr>
      </w:pPr>
    </w:p>
    <w:p w14:paraId="79207A9B" w14:textId="77777777" w:rsidR="00A27CCB" w:rsidRDefault="00A27CCB" w:rsidP="00BF4291">
      <w:pPr>
        <w:jc w:val="both"/>
        <w:rPr>
          <w:rFonts w:ascii="Arial" w:hAnsi="Arial" w:cs="Arial"/>
          <w:sz w:val="20"/>
          <w:szCs w:val="20"/>
        </w:rPr>
      </w:pPr>
    </w:p>
    <w:p w14:paraId="70F060EC" w14:textId="77777777" w:rsidR="00A27CCB" w:rsidRDefault="00A27CCB" w:rsidP="00BF4291">
      <w:pPr>
        <w:jc w:val="both"/>
        <w:rPr>
          <w:rFonts w:ascii="Arial" w:hAnsi="Arial" w:cs="Arial"/>
          <w:sz w:val="20"/>
          <w:szCs w:val="20"/>
        </w:rPr>
      </w:pPr>
    </w:p>
    <w:p w14:paraId="6BEA006B" w14:textId="77777777" w:rsidR="00A27CCB" w:rsidRDefault="00A27CCB" w:rsidP="00BF4291">
      <w:pPr>
        <w:jc w:val="both"/>
        <w:rPr>
          <w:rFonts w:ascii="Arial" w:hAnsi="Arial" w:cs="Arial"/>
          <w:sz w:val="20"/>
          <w:szCs w:val="20"/>
        </w:rPr>
      </w:pPr>
    </w:p>
    <w:p w14:paraId="3417F4E9" w14:textId="65F9D258" w:rsidR="00BF4291" w:rsidRPr="00221347" w:rsidRDefault="00BF4291" w:rsidP="00BF4291">
      <w:pPr>
        <w:jc w:val="both"/>
        <w:rPr>
          <w:rFonts w:ascii="Arial" w:hAnsi="Arial" w:cs="Arial"/>
          <w:sz w:val="20"/>
          <w:szCs w:val="20"/>
        </w:rPr>
      </w:pPr>
      <w:r w:rsidRPr="00221347">
        <w:rPr>
          <w:rFonts w:ascii="Arial" w:hAnsi="Arial" w:cs="Arial"/>
          <w:sz w:val="20"/>
          <w:szCs w:val="20"/>
        </w:rPr>
        <w:t xml:space="preserve">Tabela 3: Características laboratoriais dos pacientes submetidos a análise histopatológica após </w:t>
      </w:r>
      <w:r w:rsidR="00DE41D7">
        <w:rPr>
          <w:rFonts w:ascii="Arial" w:hAnsi="Arial" w:cs="Arial"/>
          <w:sz w:val="20"/>
          <w:szCs w:val="20"/>
        </w:rPr>
        <w:t>transplante hepático</w:t>
      </w:r>
      <w:r w:rsidR="00DE41D7" w:rsidRPr="00221347">
        <w:rPr>
          <w:rFonts w:ascii="Arial" w:hAnsi="Arial" w:cs="Arial"/>
          <w:sz w:val="20"/>
          <w:szCs w:val="20"/>
        </w:rPr>
        <w:t xml:space="preserve"> por Carcinoma Hepatocelular</w:t>
      </w:r>
    </w:p>
    <w:tbl>
      <w:tblPr>
        <w:tblW w:w="9210"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020"/>
        <w:gridCol w:w="1011"/>
        <w:gridCol w:w="1009"/>
        <w:gridCol w:w="2586"/>
        <w:gridCol w:w="2584"/>
      </w:tblGrid>
      <w:tr w:rsidR="00BF4291" w:rsidRPr="000A3F11" w14:paraId="117C01CE" w14:textId="77777777" w:rsidTr="00221347">
        <w:trPr>
          <w:trHeight w:val="278"/>
          <w:jc w:val="center"/>
        </w:trPr>
        <w:tc>
          <w:tcPr>
            <w:tcW w:w="2020" w:type="dxa"/>
            <w:tcBorders>
              <w:bottom w:val="single" w:sz="4" w:space="0" w:color="auto"/>
            </w:tcBorders>
            <w:shd w:val="clear" w:color="auto" w:fill="auto"/>
            <w:noWrap/>
            <w:vAlign w:val="bottom"/>
            <w:hideMark/>
          </w:tcPr>
          <w:p w14:paraId="161B656A" w14:textId="77777777" w:rsidR="00BF4291" w:rsidRPr="00221347" w:rsidRDefault="00BF4291"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Variável</w:t>
            </w:r>
          </w:p>
        </w:tc>
        <w:tc>
          <w:tcPr>
            <w:tcW w:w="2020" w:type="dxa"/>
            <w:gridSpan w:val="2"/>
            <w:tcBorders>
              <w:bottom w:val="single" w:sz="4" w:space="0" w:color="auto"/>
            </w:tcBorders>
            <w:shd w:val="clear" w:color="auto" w:fill="auto"/>
            <w:vAlign w:val="center"/>
          </w:tcPr>
          <w:p w14:paraId="340E5406" w14:textId="77777777" w:rsidR="00BF4291" w:rsidRPr="00221347" w:rsidRDefault="00BF4291"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Mediana (AI) Sem IMV</w:t>
            </w:r>
          </w:p>
        </w:tc>
        <w:tc>
          <w:tcPr>
            <w:tcW w:w="2584" w:type="dxa"/>
            <w:tcBorders>
              <w:bottom w:val="single" w:sz="4" w:space="0" w:color="auto"/>
            </w:tcBorders>
            <w:shd w:val="clear" w:color="auto" w:fill="auto"/>
            <w:noWrap/>
            <w:vAlign w:val="center"/>
            <w:hideMark/>
          </w:tcPr>
          <w:p w14:paraId="24BA2CB8" w14:textId="77777777" w:rsidR="00BF4291" w:rsidRPr="00221347" w:rsidRDefault="00BF4291"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Mediana (AI) Com IMV</w:t>
            </w:r>
          </w:p>
        </w:tc>
        <w:tc>
          <w:tcPr>
            <w:tcW w:w="2584" w:type="dxa"/>
            <w:tcBorders>
              <w:bottom w:val="single" w:sz="4" w:space="0" w:color="auto"/>
            </w:tcBorders>
          </w:tcPr>
          <w:p w14:paraId="15524DB6" w14:textId="77777777" w:rsidR="00BF4291" w:rsidRPr="00221347" w:rsidRDefault="00BF4291"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P-Valor</w:t>
            </w:r>
          </w:p>
        </w:tc>
      </w:tr>
      <w:tr w:rsidR="00BF4291" w:rsidRPr="000A3F11" w14:paraId="65AB4CC5" w14:textId="77777777" w:rsidTr="00221347">
        <w:trPr>
          <w:trHeight w:val="278"/>
          <w:jc w:val="center"/>
        </w:trPr>
        <w:tc>
          <w:tcPr>
            <w:tcW w:w="3031" w:type="dxa"/>
            <w:gridSpan w:val="2"/>
            <w:tcBorders>
              <w:top w:val="single" w:sz="4" w:space="0" w:color="auto"/>
            </w:tcBorders>
            <w:shd w:val="clear" w:color="auto" w:fill="auto"/>
            <w:noWrap/>
            <w:vAlign w:val="center"/>
          </w:tcPr>
          <w:p w14:paraId="5D5E08A3" w14:textId="77777777" w:rsidR="00BF4291" w:rsidRPr="00221347" w:rsidRDefault="00BF4291" w:rsidP="00FD00E1">
            <w:pPr>
              <w:rPr>
                <w:rFonts w:ascii="Arial" w:eastAsia="Times New Roman" w:hAnsi="Arial" w:cs="Arial"/>
                <w:b/>
                <w:bCs/>
                <w:color w:val="000000"/>
                <w:sz w:val="20"/>
                <w:szCs w:val="20"/>
                <w:lang w:eastAsia="pt-BR"/>
              </w:rPr>
            </w:pPr>
          </w:p>
        </w:tc>
        <w:tc>
          <w:tcPr>
            <w:tcW w:w="3595" w:type="dxa"/>
            <w:gridSpan w:val="2"/>
            <w:tcBorders>
              <w:top w:val="single" w:sz="4" w:space="0" w:color="auto"/>
            </w:tcBorders>
            <w:shd w:val="clear" w:color="auto" w:fill="auto"/>
            <w:noWrap/>
            <w:vAlign w:val="center"/>
          </w:tcPr>
          <w:p w14:paraId="7B7E3605" w14:textId="77777777" w:rsidR="00BF4291" w:rsidRPr="00221347" w:rsidRDefault="00BF4291" w:rsidP="00FD00E1">
            <w:pPr>
              <w:rPr>
                <w:rFonts w:ascii="Arial" w:eastAsia="Times New Roman" w:hAnsi="Arial" w:cs="Arial"/>
                <w:color w:val="000000"/>
                <w:sz w:val="20"/>
                <w:szCs w:val="20"/>
                <w:lang w:eastAsia="pt-BR"/>
              </w:rPr>
            </w:pPr>
          </w:p>
        </w:tc>
        <w:tc>
          <w:tcPr>
            <w:tcW w:w="2584" w:type="dxa"/>
            <w:tcBorders>
              <w:top w:val="single" w:sz="4" w:space="0" w:color="auto"/>
            </w:tcBorders>
          </w:tcPr>
          <w:p w14:paraId="33EB51BB" w14:textId="77777777" w:rsidR="00BF4291" w:rsidRPr="00221347" w:rsidRDefault="00BF4291" w:rsidP="00FD00E1">
            <w:pPr>
              <w:jc w:val="center"/>
              <w:rPr>
                <w:rFonts w:ascii="Arial" w:eastAsia="Times New Roman" w:hAnsi="Arial" w:cs="Arial"/>
                <w:color w:val="000000"/>
                <w:sz w:val="20"/>
                <w:szCs w:val="20"/>
                <w:lang w:eastAsia="pt-BR"/>
              </w:rPr>
            </w:pPr>
          </w:p>
        </w:tc>
      </w:tr>
      <w:tr w:rsidR="00BF4291" w:rsidRPr="000A3F11" w14:paraId="2C2DDA34" w14:textId="77777777" w:rsidTr="00221347">
        <w:trPr>
          <w:trHeight w:val="278"/>
          <w:jc w:val="center"/>
        </w:trPr>
        <w:tc>
          <w:tcPr>
            <w:tcW w:w="2020" w:type="dxa"/>
            <w:shd w:val="clear" w:color="auto" w:fill="auto"/>
            <w:noWrap/>
            <w:vAlign w:val="bottom"/>
          </w:tcPr>
          <w:p w14:paraId="77AD1999" w14:textId="77777777" w:rsidR="00BF4291" w:rsidRPr="00221347" w:rsidRDefault="00BF4291" w:rsidP="00FD00E1">
            <w:pPr>
              <w:rPr>
                <w:rFonts w:ascii="Arial" w:eastAsia="Times New Roman" w:hAnsi="Arial" w:cs="Arial"/>
                <w:b/>
                <w:bCs/>
                <w:sz w:val="20"/>
                <w:szCs w:val="20"/>
                <w:lang w:eastAsia="pt-BR"/>
              </w:rPr>
            </w:pPr>
            <w:proofErr w:type="spellStart"/>
            <w:r w:rsidRPr="00221347">
              <w:rPr>
                <w:rFonts w:ascii="Arial" w:eastAsia="Times New Roman" w:hAnsi="Arial" w:cs="Arial"/>
                <w:b/>
                <w:bCs/>
                <w:sz w:val="20"/>
                <w:szCs w:val="20"/>
                <w:lang w:eastAsia="pt-BR"/>
              </w:rPr>
              <w:t>Alfafetoproteína</w:t>
            </w:r>
            <w:proofErr w:type="spellEnd"/>
          </w:p>
        </w:tc>
        <w:tc>
          <w:tcPr>
            <w:tcW w:w="2020" w:type="dxa"/>
            <w:gridSpan w:val="2"/>
            <w:shd w:val="clear" w:color="auto" w:fill="auto"/>
            <w:noWrap/>
            <w:vAlign w:val="center"/>
          </w:tcPr>
          <w:p w14:paraId="46BC0256"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11,05 (29,16)</w:t>
            </w:r>
          </w:p>
        </w:tc>
        <w:tc>
          <w:tcPr>
            <w:tcW w:w="2584" w:type="dxa"/>
            <w:shd w:val="clear" w:color="auto" w:fill="auto"/>
            <w:noWrap/>
            <w:vAlign w:val="center"/>
          </w:tcPr>
          <w:p w14:paraId="35B26B8B"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11,3 (90,4)</w:t>
            </w:r>
          </w:p>
        </w:tc>
        <w:tc>
          <w:tcPr>
            <w:tcW w:w="2584" w:type="dxa"/>
          </w:tcPr>
          <w:p w14:paraId="18D48638"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0,994</w:t>
            </w:r>
          </w:p>
        </w:tc>
      </w:tr>
      <w:tr w:rsidR="00BF4291" w:rsidRPr="000A3F11" w14:paraId="02ABD0DE" w14:textId="77777777" w:rsidTr="00221347">
        <w:trPr>
          <w:trHeight w:val="278"/>
          <w:jc w:val="center"/>
        </w:trPr>
        <w:tc>
          <w:tcPr>
            <w:tcW w:w="2020" w:type="dxa"/>
            <w:shd w:val="clear" w:color="auto" w:fill="auto"/>
            <w:noWrap/>
            <w:vAlign w:val="bottom"/>
          </w:tcPr>
          <w:p w14:paraId="7618B7C8"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Albumina Sérica*</w:t>
            </w:r>
          </w:p>
        </w:tc>
        <w:tc>
          <w:tcPr>
            <w:tcW w:w="2020" w:type="dxa"/>
            <w:gridSpan w:val="2"/>
            <w:shd w:val="clear" w:color="auto" w:fill="auto"/>
            <w:noWrap/>
            <w:vAlign w:val="center"/>
          </w:tcPr>
          <w:p w14:paraId="2D4F6B05"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3,32 (0,94)</w:t>
            </w:r>
          </w:p>
        </w:tc>
        <w:tc>
          <w:tcPr>
            <w:tcW w:w="2584" w:type="dxa"/>
            <w:shd w:val="clear" w:color="auto" w:fill="auto"/>
            <w:noWrap/>
            <w:vAlign w:val="center"/>
          </w:tcPr>
          <w:p w14:paraId="5AC95FEE"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3,66 (0,71)</w:t>
            </w:r>
          </w:p>
        </w:tc>
        <w:tc>
          <w:tcPr>
            <w:tcW w:w="2584" w:type="dxa"/>
          </w:tcPr>
          <w:p w14:paraId="7A720161"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0,082</w:t>
            </w:r>
          </w:p>
        </w:tc>
      </w:tr>
      <w:tr w:rsidR="00BF4291" w:rsidRPr="000A3F11" w14:paraId="378FD65E" w14:textId="77777777" w:rsidTr="00221347">
        <w:trPr>
          <w:trHeight w:val="278"/>
          <w:jc w:val="center"/>
        </w:trPr>
        <w:tc>
          <w:tcPr>
            <w:tcW w:w="2020" w:type="dxa"/>
            <w:shd w:val="clear" w:color="auto" w:fill="auto"/>
            <w:noWrap/>
            <w:vAlign w:val="bottom"/>
            <w:hideMark/>
          </w:tcPr>
          <w:p w14:paraId="1478740C"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Bilirrubina sérica</w:t>
            </w:r>
          </w:p>
        </w:tc>
        <w:tc>
          <w:tcPr>
            <w:tcW w:w="2020" w:type="dxa"/>
            <w:gridSpan w:val="2"/>
            <w:shd w:val="clear" w:color="auto" w:fill="auto"/>
            <w:noWrap/>
            <w:vAlign w:val="center"/>
          </w:tcPr>
          <w:p w14:paraId="6C08A7F5"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1,68 (2,38)</w:t>
            </w:r>
          </w:p>
        </w:tc>
        <w:tc>
          <w:tcPr>
            <w:tcW w:w="2584" w:type="dxa"/>
            <w:shd w:val="clear" w:color="auto" w:fill="auto"/>
            <w:noWrap/>
            <w:vAlign w:val="center"/>
          </w:tcPr>
          <w:p w14:paraId="23204A4E"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0,96 (1,81)</w:t>
            </w:r>
          </w:p>
        </w:tc>
        <w:tc>
          <w:tcPr>
            <w:tcW w:w="2584" w:type="dxa"/>
          </w:tcPr>
          <w:p w14:paraId="28CF662F"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0,078</w:t>
            </w:r>
          </w:p>
        </w:tc>
      </w:tr>
      <w:tr w:rsidR="00BF4291" w:rsidRPr="000A3F11" w14:paraId="48E0FC27" w14:textId="77777777" w:rsidTr="00221347">
        <w:trPr>
          <w:trHeight w:val="278"/>
          <w:jc w:val="center"/>
        </w:trPr>
        <w:tc>
          <w:tcPr>
            <w:tcW w:w="2020" w:type="dxa"/>
            <w:shd w:val="clear" w:color="auto" w:fill="auto"/>
            <w:noWrap/>
            <w:vAlign w:val="center"/>
            <w:hideMark/>
          </w:tcPr>
          <w:p w14:paraId="241F9DF4"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Plaquetas</w:t>
            </w:r>
          </w:p>
        </w:tc>
        <w:tc>
          <w:tcPr>
            <w:tcW w:w="2020" w:type="dxa"/>
            <w:gridSpan w:val="2"/>
            <w:shd w:val="clear" w:color="auto" w:fill="auto"/>
            <w:noWrap/>
            <w:vAlign w:val="center"/>
          </w:tcPr>
          <w:p w14:paraId="6BFB7041"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65,000 (51,000)</w:t>
            </w:r>
          </w:p>
        </w:tc>
        <w:tc>
          <w:tcPr>
            <w:tcW w:w="2584" w:type="dxa"/>
            <w:shd w:val="clear" w:color="auto" w:fill="auto"/>
            <w:noWrap/>
            <w:vAlign w:val="center"/>
          </w:tcPr>
          <w:p w14:paraId="280E6CEB"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109,000 (98,000)</w:t>
            </w:r>
          </w:p>
        </w:tc>
        <w:tc>
          <w:tcPr>
            <w:tcW w:w="2584" w:type="dxa"/>
          </w:tcPr>
          <w:p w14:paraId="4C753E39"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0,078</w:t>
            </w:r>
          </w:p>
        </w:tc>
      </w:tr>
      <w:tr w:rsidR="00BF4291" w:rsidRPr="000A3F11" w14:paraId="6EDB53A0" w14:textId="77777777" w:rsidTr="00221347">
        <w:trPr>
          <w:trHeight w:val="278"/>
          <w:jc w:val="center"/>
        </w:trPr>
        <w:tc>
          <w:tcPr>
            <w:tcW w:w="2020" w:type="dxa"/>
            <w:shd w:val="clear" w:color="auto" w:fill="auto"/>
            <w:noWrap/>
            <w:vAlign w:val="center"/>
            <w:hideMark/>
          </w:tcPr>
          <w:p w14:paraId="7A365023"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Creatinina</w:t>
            </w:r>
          </w:p>
        </w:tc>
        <w:tc>
          <w:tcPr>
            <w:tcW w:w="2020" w:type="dxa"/>
            <w:gridSpan w:val="2"/>
            <w:shd w:val="clear" w:color="auto" w:fill="auto"/>
            <w:noWrap/>
            <w:vAlign w:val="center"/>
          </w:tcPr>
          <w:p w14:paraId="10AD451B"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0,86 (0,32)</w:t>
            </w:r>
          </w:p>
        </w:tc>
        <w:tc>
          <w:tcPr>
            <w:tcW w:w="2584" w:type="dxa"/>
            <w:shd w:val="clear" w:color="auto" w:fill="auto"/>
            <w:noWrap/>
            <w:vAlign w:val="center"/>
          </w:tcPr>
          <w:p w14:paraId="6240CFFC"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0,85 (0,20)</w:t>
            </w:r>
          </w:p>
        </w:tc>
        <w:tc>
          <w:tcPr>
            <w:tcW w:w="2584" w:type="dxa"/>
          </w:tcPr>
          <w:p w14:paraId="6B77D2B5"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sz w:val="20"/>
                <w:szCs w:val="20"/>
                <w:lang w:eastAsia="pt-BR"/>
              </w:rPr>
              <w:t>0,798</w:t>
            </w:r>
          </w:p>
        </w:tc>
      </w:tr>
      <w:tr w:rsidR="00BF4291" w:rsidRPr="000A3F11" w14:paraId="0AFCA82B" w14:textId="77777777" w:rsidTr="00221347">
        <w:trPr>
          <w:trHeight w:val="278"/>
          <w:jc w:val="center"/>
        </w:trPr>
        <w:tc>
          <w:tcPr>
            <w:tcW w:w="2020" w:type="dxa"/>
            <w:shd w:val="clear" w:color="auto" w:fill="auto"/>
            <w:noWrap/>
            <w:vAlign w:val="bottom"/>
            <w:hideMark/>
          </w:tcPr>
          <w:p w14:paraId="6F24144A"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TGO</w:t>
            </w:r>
          </w:p>
        </w:tc>
        <w:tc>
          <w:tcPr>
            <w:tcW w:w="2020" w:type="dxa"/>
            <w:gridSpan w:val="2"/>
            <w:shd w:val="clear" w:color="auto" w:fill="auto"/>
            <w:noWrap/>
            <w:vAlign w:val="center"/>
          </w:tcPr>
          <w:p w14:paraId="562B3BC4"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65 (86)</w:t>
            </w:r>
          </w:p>
        </w:tc>
        <w:tc>
          <w:tcPr>
            <w:tcW w:w="2584" w:type="dxa"/>
            <w:shd w:val="clear" w:color="auto" w:fill="auto"/>
            <w:noWrap/>
            <w:vAlign w:val="center"/>
          </w:tcPr>
          <w:p w14:paraId="53A0A2CC"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55 (48,5)</w:t>
            </w:r>
          </w:p>
        </w:tc>
        <w:tc>
          <w:tcPr>
            <w:tcW w:w="2584" w:type="dxa"/>
          </w:tcPr>
          <w:p w14:paraId="549248B8"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0,248</w:t>
            </w:r>
          </w:p>
        </w:tc>
      </w:tr>
      <w:tr w:rsidR="00BF4291" w:rsidRPr="000A3F11" w14:paraId="0C3012C5" w14:textId="77777777" w:rsidTr="00221347">
        <w:trPr>
          <w:trHeight w:val="278"/>
          <w:jc w:val="center"/>
        </w:trPr>
        <w:tc>
          <w:tcPr>
            <w:tcW w:w="2020" w:type="dxa"/>
            <w:shd w:val="clear" w:color="auto" w:fill="auto"/>
            <w:noWrap/>
            <w:vAlign w:val="bottom"/>
            <w:hideMark/>
          </w:tcPr>
          <w:p w14:paraId="19CC2DA0"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TGP</w:t>
            </w:r>
          </w:p>
        </w:tc>
        <w:tc>
          <w:tcPr>
            <w:tcW w:w="2020" w:type="dxa"/>
            <w:gridSpan w:val="2"/>
            <w:shd w:val="clear" w:color="auto" w:fill="auto"/>
            <w:noWrap/>
            <w:vAlign w:val="center"/>
          </w:tcPr>
          <w:p w14:paraId="48FF08D9"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55 (89)</w:t>
            </w:r>
          </w:p>
        </w:tc>
        <w:tc>
          <w:tcPr>
            <w:tcW w:w="2584" w:type="dxa"/>
            <w:shd w:val="clear" w:color="auto" w:fill="auto"/>
            <w:noWrap/>
            <w:vAlign w:val="center"/>
          </w:tcPr>
          <w:p w14:paraId="7B034FBC"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46 (48)</w:t>
            </w:r>
          </w:p>
        </w:tc>
        <w:tc>
          <w:tcPr>
            <w:tcW w:w="2584" w:type="dxa"/>
          </w:tcPr>
          <w:p w14:paraId="4916D682"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0,542</w:t>
            </w:r>
          </w:p>
        </w:tc>
      </w:tr>
      <w:tr w:rsidR="00BF4291" w:rsidRPr="000A3F11" w14:paraId="18D30C1F" w14:textId="77777777" w:rsidTr="00221347">
        <w:trPr>
          <w:trHeight w:val="278"/>
          <w:jc w:val="center"/>
        </w:trPr>
        <w:tc>
          <w:tcPr>
            <w:tcW w:w="2020" w:type="dxa"/>
            <w:shd w:val="clear" w:color="auto" w:fill="auto"/>
            <w:noWrap/>
            <w:vAlign w:val="bottom"/>
            <w:hideMark/>
          </w:tcPr>
          <w:p w14:paraId="2B4CC55E"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RNI</w:t>
            </w:r>
          </w:p>
        </w:tc>
        <w:tc>
          <w:tcPr>
            <w:tcW w:w="2020" w:type="dxa"/>
            <w:gridSpan w:val="2"/>
            <w:shd w:val="clear" w:color="auto" w:fill="auto"/>
            <w:noWrap/>
            <w:vAlign w:val="center"/>
          </w:tcPr>
          <w:p w14:paraId="3B3C6AA9"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 (0,38)</w:t>
            </w:r>
          </w:p>
        </w:tc>
        <w:tc>
          <w:tcPr>
            <w:tcW w:w="2584" w:type="dxa"/>
            <w:shd w:val="clear" w:color="auto" w:fill="auto"/>
            <w:noWrap/>
            <w:vAlign w:val="center"/>
          </w:tcPr>
          <w:p w14:paraId="17D4A220"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1,18 (0,45)</w:t>
            </w:r>
          </w:p>
        </w:tc>
        <w:tc>
          <w:tcPr>
            <w:tcW w:w="2584" w:type="dxa"/>
          </w:tcPr>
          <w:p w14:paraId="535C591A"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0,090</w:t>
            </w:r>
          </w:p>
        </w:tc>
      </w:tr>
      <w:tr w:rsidR="00BF4291" w:rsidRPr="000A3F11" w14:paraId="5ABEDBEF" w14:textId="77777777" w:rsidTr="00221347">
        <w:trPr>
          <w:trHeight w:val="278"/>
          <w:jc w:val="center"/>
        </w:trPr>
        <w:tc>
          <w:tcPr>
            <w:tcW w:w="2020" w:type="dxa"/>
            <w:shd w:val="clear" w:color="auto" w:fill="auto"/>
            <w:noWrap/>
            <w:vAlign w:val="bottom"/>
            <w:hideMark/>
          </w:tcPr>
          <w:p w14:paraId="7384B449"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Gama-</w:t>
            </w:r>
            <w:proofErr w:type="spellStart"/>
            <w:r w:rsidRPr="00221347">
              <w:rPr>
                <w:rFonts w:ascii="Arial" w:eastAsia="Times New Roman" w:hAnsi="Arial" w:cs="Arial"/>
                <w:b/>
                <w:bCs/>
                <w:color w:val="000000"/>
                <w:sz w:val="20"/>
                <w:szCs w:val="20"/>
                <w:lang w:eastAsia="pt-BR"/>
              </w:rPr>
              <w:t>Gt</w:t>
            </w:r>
            <w:proofErr w:type="spellEnd"/>
          </w:p>
        </w:tc>
        <w:tc>
          <w:tcPr>
            <w:tcW w:w="2020" w:type="dxa"/>
            <w:gridSpan w:val="2"/>
            <w:shd w:val="clear" w:color="auto" w:fill="auto"/>
            <w:noWrap/>
            <w:vAlign w:val="center"/>
          </w:tcPr>
          <w:p w14:paraId="4505491C"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97 (126)</w:t>
            </w:r>
          </w:p>
        </w:tc>
        <w:tc>
          <w:tcPr>
            <w:tcW w:w="2584" w:type="dxa"/>
            <w:shd w:val="clear" w:color="auto" w:fill="auto"/>
            <w:noWrap/>
            <w:vAlign w:val="center"/>
          </w:tcPr>
          <w:p w14:paraId="76D282EC"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144 (224)</w:t>
            </w:r>
          </w:p>
        </w:tc>
        <w:tc>
          <w:tcPr>
            <w:tcW w:w="2584" w:type="dxa"/>
          </w:tcPr>
          <w:p w14:paraId="04F58A14"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0,168</w:t>
            </w:r>
          </w:p>
        </w:tc>
      </w:tr>
      <w:tr w:rsidR="00BF4291" w:rsidRPr="000A3F11" w14:paraId="01BF87ED" w14:textId="77777777" w:rsidTr="00221347">
        <w:trPr>
          <w:trHeight w:val="278"/>
          <w:jc w:val="center"/>
        </w:trPr>
        <w:tc>
          <w:tcPr>
            <w:tcW w:w="2020" w:type="dxa"/>
            <w:shd w:val="clear" w:color="auto" w:fill="auto"/>
            <w:noWrap/>
            <w:vAlign w:val="center"/>
            <w:hideMark/>
          </w:tcPr>
          <w:p w14:paraId="67084247"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Sódio sérico</w:t>
            </w:r>
          </w:p>
        </w:tc>
        <w:tc>
          <w:tcPr>
            <w:tcW w:w="2020" w:type="dxa"/>
            <w:gridSpan w:val="2"/>
            <w:shd w:val="clear" w:color="auto" w:fill="auto"/>
            <w:noWrap/>
            <w:vAlign w:val="center"/>
          </w:tcPr>
          <w:p w14:paraId="42E3918F"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140 (5)</w:t>
            </w:r>
          </w:p>
        </w:tc>
        <w:tc>
          <w:tcPr>
            <w:tcW w:w="2584" w:type="dxa"/>
            <w:shd w:val="clear" w:color="auto" w:fill="auto"/>
            <w:noWrap/>
            <w:vAlign w:val="center"/>
          </w:tcPr>
          <w:p w14:paraId="2F53E6C7"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139 (5)</w:t>
            </w:r>
          </w:p>
        </w:tc>
        <w:tc>
          <w:tcPr>
            <w:tcW w:w="2584" w:type="dxa"/>
          </w:tcPr>
          <w:p w14:paraId="40C9333D"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0,478</w:t>
            </w:r>
          </w:p>
        </w:tc>
      </w:tr>
      <w:tr w:rsidR="00BF4291" w:rsidRPr="000A3F11" w14:paraId="4D5B43CA" w14:textId="77777777" w:rsidTr="00221347">
        <w:trPr>
          <w:trHeight w:val="278"/>
          <w:jc w:val="center"/>
        </w:trPr>
        <w:tc>
          <w:tcPr>
            <w:tcW w:w="2020" w:type="dxa"/>
            <w:shd w:val="clear" w:color="auto" w:fill="auto"/>
            <w:noWrap/>
            <w:vAlign w:val="center"/>
            <w:hideMark/>
          </w:tcPr>
          <w:p w14:paraId="2BCE3DA1"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Fosfatase Alcalina</w:t>
            </w:r>
          </w:p>
        </w:tc>
        <w:tc>
          <w:tcPr>
            <w:tcW w:w="2020" w:type="dxa"/>
            <w:gridSpan w:val="2"/>
            <w:shd w:val="clear" w:color="auto" w:fill="auto"/>
            <w:noWrap/>
            <w:vAlign w:val="center"/>
          </w:tcPr>
          <w:p w14:paraId="221F1B9D"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109 (76)</w:t>
            </w:r>
          </w:p>
        </w:tc>
        <w:tc>
          <w:tcPr>
            <w:tcW w:w="2584" w:type="dxa"/>
            <w:shd w:val="clear" w:color="auto" w:fill="auto"/>
            <w:noWrap/>
            <w:vAlign w:val="center"/>
          </w:tcPr>
          <w:p w14:paraId="1E732383"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125 (122)</w:t>
            </w:r>
          </w:p>
        </w:tc>
        <w:tc>
          <w:tcPr>
            <w:tcW w:w="2584" w:type="dxa"/>
          </w:tcPr>
          <w:p w14:paraId="42262B63"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0,085</w:t>
            </w:r>
          </w:p>
        </w:tc>
      </w:tr>
      <w:tr w:rsidR="00BF4291" w:rsidRPr="000A3F11" w14:paraId="5411A657" w14:textId="77777777" w:rsidTr="00221347">
        <w:trPr>
          <w:trHeight w:val="278"/>
          <w:jc w:val="center"/>
        </w:trPr>
        <w:tc>
          <w:tcPr>
            <w:tcW w:w="2020" w:type="dxa"/>
            <w:shd w:val="clear" w:color="auto" w:fill="auto"/>
            <w:noWrap/>
            <w:vAlign w:val="bottom"/>
            <w:hideMark/>
          </w:tcPr>
          <w:p w14:paraId="41447985" w14:textId="77777777" w:rsidR="00BF4291" w:rsidRPr="00221347" w:rsidRDefault="00BF4291" w:rsidP="00FD00E1">
            <w:pPr>
              <w:rPr>
                <w:rFonts w:ascii="Arial" w:eastAsia="Times New Roman" w:hAnsi="Arial" w:cs="Arial"/>
                <w:b/>
                <w:bCs/>
                <w:sz w:val="20"/>
                <w:szCs w:val="20"/>
                <w:lang w:eastAsia="pt-BR"/>
              </w:rPr>
            </w:pPr>
            <w:r w:rsidRPr="00221347">
              <w:rPr>
                <w:rFonts w:ascii="Arial" w:eastAsia="Times New Roman" w:hAnsi="Arial" w:cs="Arial"/>
                <w:b/>
                <w:bCs/>
                <w:color w:val="000000"/>
                <w:sz w:val="20"/>
                <w:szCs w:val="20"/>
                <w:lang w:eastAsia="pt-BR"/>
              </w:rPr>
              <w:t>MELD</w:t>
            </w:r>
          </w:p>
        </w:tc>
        <w:tc>
          <w:tcPr>
            <w:tcW w:w="2020" w:type="dxa"/>
            <w:gridSpan w:val="2"/>
            <w:shd w:val="clear" w:color="auto" w:fill="auto"/>
            <w:noWrap/>
            <w:vAlign w:val="center"/>
            <w:hideMark/>
          </w:tcPr>
          <w:p w14:paraId="7AF6B4AF"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12 (7)</w:t>
            </w:r>
          </w:p>
        </w:tc>
        <w:tc>
          <w:tcPr>
            <w:tcW w:w="2584" w:type="dxa"/>
            <w:shd w:val="clear" w:color="auto" w:fill="auto"/>
            <w:noWrap/>
            <w:vAlign w:val="center"/>
            <w:hideMark/>
          </w:tcPr>
          <w:p w14:paraId="657EA7D1"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 (5,5)</w:t>
            </w:r>
          </w:p>
        </w:tc>
        <w:tc>
          <w:tcPr>
            <w:tcW w:w="2584" w:type="dxa"/>
          </w:tcPr>
          <w:p w14:paraId="46F8DBB6"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0,159</w:t>
            </w:r>
          </w:p>
        </w:tc>
      </w:tr>
      <w:tr w:rsidR="00BF4291" w:rsidRPr="000A3F11" w14:paraId="47CCCB95" w14:textId="77777777" w:rsidTr="00221347">
        <w:trPr>
          <w:trHeight w:val="278"/>
          <w:jc w:val="center"/>
        </w:trPr>
        <w:tc>
          <w:tcPr>
            <w:tcW w:w="2020" w:type="dxa"/>
            <w:shd w:val="clear" w:color="auto" w:fill="auto"/>
            <w:noWrap/>
            <w:vAlign w:val="bottom"/>
            <w:hideMark/>
          </w:tcPr>
          <w:p w14:paraId="44272D8C" w14:textId="77777777" w:rsidR="00BF4291" w:rsidRPr="00221347" w:rsidRDefault="00BF4291" w:rsidP="00FD00E1">
            <w:pPr>
              <w:rPr>
                <w:rFonts w:ascii="Arial" w:eastAsia="Times New Roman" w:hAnsi="Arial" w:cs="Arial"/>
                <w:b/>
                <w:bCs/>
                <w:sz w:val="20"/>
                <w:szCs w:val="20"/>
                <w:lang w:eastAsia="pt-BR"/>
              </w:rPr>
            </w:pPr>
            <w:proofErr w:type="spellStart"/>
            <w:r w:rsidRPr="00221347">
              <w:rPr>
                <w:rFonts w:ascii="Arial" w:eastAsia="Times New Roman" w:hAnsi="Arial" w:cs="Arial"/>
                <w:b/>
                <w:bCs/>
                <w:color w:val="000000"/>
                <w:sz w:val="20"/>
                <w:szCs w:val="20"/>
                <w:lang w:eastAsia="pt-BR"/>
              </w:rPr>
              <w:t>MELD-Na</w:t>
            </w:r>
            <w:proofErr w:type="spellEnd"/>
          </w:p>
        </w:tc>
        <w:tc>
          <w:tcPr>
            <w:tcW w:w="2020" w:type="dxa"/>
            <w:gridSpan w:val="2"/>
            <w:shd w:val="clear" w:color="auto" w:fill="auto"/>
            <w:noWrap/>
            <w:vAlign w:val="center"/>
            <w:hideMark/>
          </w:tcPr>
          <w:p w14:paraId="2E0B3AD0"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 (11)</w:t>
            </w:r>
          </w:p>
        </w:tc>
        <w:tc>
          <w:tcPr>
            <w:tcW w:w="2584" w:type="dxa"/>
            <w:shd w:val="clear" w:color="auto" w:fill="auto"/>
            <w:noWrap/>
            <w:vAlign w:val="center"/>
            <w:hideMark/>
          </w:tcPr>
          <w:p w14:paraId="7FDC0710"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8 (6,5)</w:t>
            </w:r>
          </w:p>
        </w:tc>
        <w:tc>
          <w:tcPr>
            <w:tcW w:w="2584" w:type="dxa"/>
          </w:tcPr>
          <w:p w14:paraId="3707F849" w14:textId="77777777" w:rsidR="00BF4291" w:rsidRPr="00221347" w:rsidRDefault="00BF4291"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0,141</w:t>
            </w:r>
          </w:p>
        </w:tc>
      </w:tr>
    </w:tbl>
    <w:p w14:paraId="16AADC69" w14:textId="77777777" w:rsidR="00BF4291" w:rsidRPr="00221347" w:rsidRDefault="00BF4291" w:rsidP="00BF4291">
      <w:pPr>
        <w:rPr>
          <w:rFonts w:ascii="Arial" w:hAnsi="Arial" w:cs="Arial"/>
          <w:sz w:val="20"/>
          <w:szCs w:val="20"/>
        </w:rPr>
      </w:pPr>
      <w:r w:rsidRPr="00221347">
        <w:rPr>
          <w:rFonts w:ascii="Arial" w:hAnsi="Arial" w:cs="Arial"/>
          <w:sz w:val="20"/>
          <w:szCs w:val="20"/>
        </w:rPr>
        <w:t>*Média e desvio-padrão</w:t>
      </w:r>
    </w:p>
    <w:p w14:paraId="60EB58C3" w14:textId="60006B9E" w:rsidR="00A378D3" w:rsidRPr="00221347" w:rsidRDefault="00A378D3" w:rsidP="00A378D3">
      <w:pPr>
        <w:rPr>
          <w:rFonts w:ascii="Arial" w:hAnsi="Arial" w:cs="Arial"/>
          <w:sz w:val="20"/>
          <w:szCs w:val="20"/>
        </w:rPr>
      </w:pPr>
    </w:p>
    <w:p w14:paraId="0B2D87A9" w14:textId="6CBA0A26" w:rsidR="00A378D3" w:rsidRPr="00221347" w:rsidRDefault="00A378D3" w:rsidP="00A378D3">
      <w:pPr>
        <w:rPr>
          <w:rFonts w:ascii="Arial" w:hAnsi="Arial" w:cs="Arial"/>
          <w:sz w:val="20"/>
          <w:szCs w:val="20"/>
        </w:rPr>
      </w:pPr>
    </w:p>
    <w:p w14:paraId="38245701" w14:textId="652A9D4C" w:rsidR="00A378D3" w:rsidRPr="00221347" w:rsidRDefault="00A378D3" w:rsidP="00A378D3">
      <w:pPr>
        <w:rPr>
          <w:rFonts w:ascii="Arial" w:hAnsi="Arial" w:cs="Arial"/>
          <w:sz w:val="20"/>
          <w:szCs w:val="20"/>
        </w:rPr>
      </w:pPr>
    </w:p>
    <w:p w14:paraId="2EE167F1" w14:textId="185D61A5" w:rsidR="00A378D3" w:rsidRPr="00221347" w:rsidRDefault="00A378D3" w:rsidP="00A378D3">
      <w:pPr>
        <w:rPr>
          <w:rFonts w:ascii="Arial" w:hAnsi="Arial" w:cs="Arial"/>
          <w:sz w:val="20"/>
          <w:szCs w:val="20"/>
        </w:rPr>
      </w:pPr>
    </w:p>
    <w:p w14:paraId="395E609C" w14:textId="7B190F2B" w:rsidR="001C4A1E" w:rsidRPr="00D80D14" w:rsidRDefault="001C4A1E" w:rsidP="00A378D3">
      <w:pPr>
        <w:jc w:val="both"/>
        <w:rPr>
          <w:rFonts w:ascii="Arial" w:hAnsi="Arial" w:cs="Arial"/>
          <w:sz w:val="20"/>
          <w:szCs w:val="20"/>
        </w:rPr>
      </w:pPr>
    </w:p>
    <w:p w14:paraId="0B67E1D4" w14:textId="2B4F4993" w:rsidR="007D3C29" w:rsidRPr="00D80D14" w:rsidRDefault="007D3C29" w:rsidP="00A378D3">
      <w:pPr>
        <w:jc w:val="both"/>
        <w:rPr>
          <w:rFonts w:ascii="Arial" w:hAnsi="Arial" w:cs="Arial"/>
          <w:sz w:val="20"/>
          <w:szCs w:val="20"/>
        </w:rPr>
      </w:pPr>
    </w:p>
    <w:p w14:paraId="1BC651CA" w14:textId="223C6D81" w:rsidR="007D3C29" w:rsidRPr="00D80D14" w:rsidRDefault="007D3C29" w:rsidP="00A378D3">
      <w:pPr>
        <w:jc w:val="both"/>
        <w:rPr>
          <w:rFonts w:ascii="Arial" w:hAnsi="Arial" w:cs="Arial"/>
          <w:sz w:val="20"/>
          <w:szCs w:val="20"/>
        </w:rPr>
      </w:pPr>
    </w:p>
    <w:p w14:paraId="0341AD68" w14:textId="09A62376" w:rsidR="007D3C29" w:rsidRPr="00D80D14" w:rsidRDefault="007D3C29" w:rsidP="00A378D3">
      <w:pPr>
        <w:jc w:val="both"/>
        <w:rPr>
          <w:rFonts w:ascii="Arial" w:hAnsi="Arial" w:cs="Arial"/>
          <w:sz w:val="20"/>
          <w:szCs w:val="20"/>
        </w:rPr>
      </w:pPr>
    </w:p>
    <w:p w14:paraId="45AB0D95" w14:textId="4E34E1F0" w:rsidR="007D3C29" w:rsidRPr="00D80D14" w:rsidRDefault="007D3C29" w:rsidP="00A378D3">
      <w:pPr>
        <w:jc w:val="both"/>
        <w:rPr>
          <w:rFonts w:ascii="Arial" w:hAnsi="Arial" w:cs="Arial"/>
          <w:sz w:val="20"/>
          <w:szCs w:val="20"/>
        </w:rPr>
      </w:pPr>
    </w:p>
    <w:p w14:paraId="5DCC966B" w14:textId="0CB365BC" w:rsidR="007D3C29" w:rsidRPr="00D80D14" w:rsidRDefault="007D3C29" w:rsidP="00A378D3">
      <w:pPr>
        <w:jc w:val="both"/>
        <w:rPr>
          <w:rFonts w:ascii="Arial" w:hAnsi="Arial" w:cs="Arial"/>
          <w:sz w:val="20"/>
          <w:szCs w:val="20"/>
        </w:rPr>
      </w:pPr>
    </w:p>
    <w:p w14:paraId="59528F1F" w14:textId="4F499072" w:rsidR="007D3C29" w:rsidRPr="00D80D14" w:rsidRDefault="007D3C29" w:rsidP="00A378D3">
      <w:pPr>
        <w:jc w:val="both"/>
        <w:rPr>
          <w:rFonts w:ascii="Arial" w:hAnsi="Arial" w:cs="Arial"/>
          <w:sz w:val="20"/>
          <w:szCs w:val="20"/>
        </w:rPr>
      </w:pPr>
    </w:p>
    <w:p w14:paraId="54374CBD" w14:textId="6887DB01" w:rsidR="007D3C29" w:rsidRPr="00D80D14" w:rsidRDefault="007D3C29" w:rsidP="00A378D3">
      <w:pPr>
        <w:jc w:val="both"/>
        <w:rPr>
          <w:rFonts w:ascii="Arial" w:hAnsi="Arial" w:cs="Arial"/>
          <w:sz w:val="20"/>
          <w:szCs w:val="20"/>
        </w:rPr>
      </w:pPr>
    </w:p>
    <w:p w14:paraId="3EE9A83B" w14:textId="24E7A45F" w:rsidR="007D3C29" w:rsidRPr="00D80D14" w:rsidRDefault="007D3C29" w:rsidP="00A378D3">
      <w:pPr>
        <w:jc w:val="both"/>
        <w:rPr>
          <w:rFonts w:ascii="Arial" w:hAnsi="Arial" w:cs="Arial"/>
          <w:sz w:val="20"/>
          <w:szCs w:val="20"/>
        </w:rPr>
      </w:pPr>
    </w:p>
    <w:p w14:paraId="6599882E" w14:textId="4E0A4B57" w:rsidR="007D3C29" w:rsidRPr="00D80D14" w:rsidRDefault="007D3C29" w:rsidP="00A378D3">
      <w:pPr>
        <w:jc w:val="both"/>
        <w:rPr>
          <w:rFonts w:ascii="Arial" w:hAnsi="Arial" w:cs="Arial"/>
          <w:sz w:val="20"/>
          <w:szCs w:val="20"/>
        </w:rPr>
      </w:pPr>
    </w:p>
    <w:p w14:paraId="7BF92164" w14:textId="1F8302E6" w:rsidR="007D3C29" w:rsidRPr="00D80D14" w:rsidRDefault="007D3C29" w:rsidP="00A378D3">
      <w:pPr>
        <w:jc w:val="both"/>
        <w:rPr>
          <w:rFonts w:ascii="Arial" w:hAnsi="Arial" w:cs="Arial"/>
          <w:sz w:val="20"/>
          <w:szCs w:val="20"/>
        </w:rPr>
      </w:pPr>
    </w:p>
    <w:p w14:paraId="0012F7EB" w14:textId="72BD94FC" w:rsidR="007D3C29" w:rsidRPr="00D80D14" w:rsidRDefault="007D3C29" w:rsidP="00A378D3">
      <w:pPr>
        <w:jc w:val="both"/>
        <w:rPr>
          <w:rFonts w:ascii="Arial" w:hAnsi="Arial" w:cs="Arial"/>
          <w:sz w:val="20"/>
          <w:szCs w:val="20"/>
        </w:rPr>
      </w:pPr>
    </w:p>
    <w:p w14:paraId="6E09849A" w14:textId="7E30F590" w:rsidR="007D3C29" w:rsidRPr="00D80D14" w:rsidRDefault="007D3C29" w:rsidP="00A378D3">
      <w:pPr>
        <w:jc w:val="both"/>
        <w:rPr>
          <w:rFonts w:ascii="Arial" w:hAnsi="Arial" w:cs="Arial"/>
          <w:sz w:val="20"/>
          <w:szCs w:val="20"/>
        </w:rPr>
      </w:pPr>
    </w:p>
    <w:p w14:paraId="37498BA0" w14:textId="1B7E4BC6" w:rsidR="007D3C29" w:rsidRPr="00D80D14" w:rsidRDefault="007D3C29" w:rsidP="00A378D3">
      <w:pPr>
        <w:jc w:val="both"/>
        <w:rPr>
          <w:rFonts w:ascii="Arial" w:hAnsi="Arial" w:cs="Arial"/>
          <w:sz w:val="20"/>
          <w:szCs w:val="20"/>
        </w:rPr>
      </w:pPr>
    </w:p>
    <w:p w14:paraId="572DABD1" w14:textId="0E25564F" w:rsidR="007D3C29" w:rsidRPr="00D80D14" w:rsidRDefault="007D3C29" w:rsidP="00A378D3">
      <w:pPr>
        <w:jc w:val="both"/>
        <w:rPr>
          <w:rFonts w:ascii="Arial" w:hAnsi="Arial" w:cs="Arial"/>
          <w:sz w:val="20"/>
          <w:szCs w:val="20"/>
        </w:rPr>
      </w:pPr>
    </w:p>
    <w:p w14:paraId="496CBEF5" w14:textId="6BE6A7ED" w:rsidR="007D3C29" w:rsidRPr="00D80D14" w:rsidRDefault="007D3C29" w:rsidP="00A378D3">
      <w:pPr>
        <w:jc w:val="both"/>
        <w:rPr>
          <w:rFonts w:ascii="Arial" w:hAnsi="Arial" w:cs="Arial"/>
          <w:sz w:val="20"/>
          <w:szCs w:val="20"/>
        </w:rPr>
      </w:pPr>
    </w:p>
    <w:p w14:paraId="0AC510A8" w14:textId="451CC3B0" w:rsidR="007D3C29" w:rsidRPr="00D80D14" w:rsidRDefault="007D3C29" w:rsidP="00A378D3">
      <w:pPr>
        <w:jc w:val="both"/>
        <w:rPr>
          <w:rFonts w:ascii="Arial" w:hAnsi="Arial" w:cs="Arial"/>
          <w:sz w:val="20"/>
          <w:szCs w:val="20"/>
        </w:rPr>
      </w:pPr>
    </w:p>
    <w:p w14:paraId="7B8C1BCA" w14:textId="491300F4" w:rsidR="007D3C29" w:rsidRPr="00D80D14" w:rsidRDefault="007D3C29" w:rsidP="00A378D3">
      <w:pPr>
        <w:jc w:val="both"/>
        <w:rPr>
          <w:rFonts w:ascii="Arial" w:hAnsi="Arial" w:cs="Arial"/>
          <w:sz w:val="20"/>
          <w:szCs w:val="20"/>
        </w:rPr>
      </w:pPr>
    </w:p>
    <w:p w14:paraId="7918721F" w14:textId="39DEF52A" w:rsidR="007D3C29" w:rsidRPr="00D80D14" w:rsidRDefault="007D3C29" w:rsidP="00A378D3">
      <w:pPr>
        <w:jc w:val="both"/>
        <w:rPr>
          <w:rFonts w:ascii="Arial" w:hAnsi="Arial" w:cs="Arial"/>
          <w:sz w:val="20"/>
          <w:szCs w:val="20"/>
        </w:rPr>
      </w:pPr>
    </w:p>
    <w:p w14:paraId="3970274C" w14:textId="1EA05CB0" w:rsidR="007D3C29" w:rsidRPr="00D80D14" w:rsidRDefault="007D3C29" w:rsidP="00A378D3">
      <w:pPr>
        <w:jc w:val="both"/>
        <w:rPr>
          <w:rFonts w:ascii="Arial" w:hAnsi="Arial" w:cs="Arial"/>
          <w:sz w:val="20"/>
          <w:szCs w:val="20"/>
        </w:rPr>
      </w:pPr>
    </w:p>
    <w:p w14:paraId="091089C2" w14:textId="5A818555" w:rsidR="007D3C29" w:rsidRPr="00D80D14" w:rsidRDefault="007D3C29" w:rsidP="00A378D3">
      <w:pPr>
        <w:jc w:val="both"/>
        <w:rPr>
          <w:rFonts w:ascii="Arial" w:hAnsi="Arial" w:cs="Arial"/>
          <w:sz w:val="20"/>
          <w:szCs w:val="20"/>
        </w:rPr>
      </w:pPr>
    </w:p>
    <w:p w14:paraId="35E4EE03" w14:textId="2A8BC4A7" w:rsidR="007D3C29" w:rsidRPr="00D80D14" w:rsidRDefault="007D3C29" w:rsidP="00A378D3">
      <w:pPr>
        <w:jc w:val="both"/>
        <w:rPr>
          <w:rFonts w:ascii="Arial" w:hAnsi="Arial" w:cs="Arial"/>
          <w:sz w:val="20"/>
          <w:szCs w:val="20"/>
        </w:rPr>
      </w:pPr>
    </w:p>
    <w:p w14:paraId="4F041328" w14:textId="6A5FD339" w:rsidR="007D3C29" w:rsidRPr="00D80D14" w:rsidRDefault="007D3C29" w:rsidP="00A378D3">
      <w:pPr>
        <w:jc w:val="both"/>
        <w:rPr>
          <w:rFonts w:ascii="Arial" w:hAnsi="Arial" w:cs="Arial"/>
          <w:sz w:val="20"/>
          <w:szCs w:val="20"/>
        </w:rPr>
      </w:pPr>
    </w:p>
    <w:p w14:paraId="79372EE9" w14:textId="550F8E7D" w:rsidR="007D3C29" w:rsidRPr="00D80D14" w:rsidRDefault="007D3C29" w:rsidP="00A378D3">
      <w:pPr>
        <w:jc w:val="both"/>
        <w:rPr>
          <w:rFonts w:ascii="Arial" w:hAnsi="Arial" w:cs="Arial"/>
          <w:sz w:val="20"/>
          <w:szCs w:val="20"/>
        </w:rPr>
      </w:pPr>
    </w:p>
    <w:p w14:paraId="50DA3656" w14:textId="5E6374C8" w:rsidR="007D3C29" w:rsidRPr="00D80D14" w:rsidRDefault="007D3C29" w:rsidP="00A378D3">
      <w:pPr>
        <w:jc w:val="both"/>
        <w:rPr>
          <w:rFonts w:ascii="Arial" w:hAnsi="Arial" w:cs="Arial"/>
          <w:sz w:val="20"/>
          <w:szCs w:val="20"/>
        </w:rPr>
      </w:pPr>
    </w:p>
    <w:p w14:paraId="2883F9F2" w14:textId="6A1871DB" w:rsidR="007D3C29" w:rsidRPr="00D80D14" w:rsidRDefault="007D3C29" w:rsidP="00A378D3">
      <w:pPr>
        <w:jc w:val="both"/>
        <w:rPr>
          <w:rFonts w:ascii="Arial" w:hAnsi="Arial" w:cs="Arial"/>
          <w:sz w:val="20"/>
          <w:szCs w:val="20"/>
        </w:rPr>
      </w:pPr>
    </w:p>
    <w:p w14:paraId="46D4E08F" w14:textId="6FB7AD68" w:rsidR="007D3C29" w:rsidRPr="00D80D14" w:rsidRDefault="007D3C29" w:rsidP="00A378D3">
      <w:pPr>
        <w:jc w:val="both"/>
        <w:rPr>
          <w:rFonts w:ascii="Arial" w:hAnsi="Arial" w:cs="Arial"/>
          <w:sz w:val="20"/>
          <w:szCs w:val="20"/>
        </w:rPr>
      </w:pPr>
    </w:p>
    <w:p w14:paraId="7484585A" w14:textId="143E725A" w:rsidR="007D3C29" w:rsidRPr="00D80D14" w:rsidRDefault="007D3C29" w:rsidP="00A378D3">
      <w:pPr>
        <w:jc w:val="both"/>
        <w:rPr>
          <w:rFonts w:ascii="Arial" w:hAnsi="Arial" w:cs="Arial"/>
          <w:sz w:val="20"/>
          <w:szCs w:val="20"/>
        </w:rPr>
      </w:pPr>
    </w:p>
    <w:p w14:paraId="3AB5B1B3" w14:textId="676EF30C" w:rsidR="007D3C29" w:rsidRPr="00D80D14" w:rsidRDefault="007D3C29" w:rsidP="00A378D3">
      <w:pPr>
        <w:jc w:val="both"/>
        <w:rPr>
          <w:rFonts w:ascii="Arial" w:hAnsi="Arial" w:cs="Arial"/>
          <w:sz w:val="20"/>
          <w:szCs w:val="20"/>
        </w:rPr>
      </w:pPr>
    </w:p>
    <w:p w14:paraId="266EF717" w14:textId="77777777" w:rsidR="007D3C29" w:rsidRPr="00221347" w:rsidRDefault="007D3C29" w:rsidP="00A378D3">
      <w:pPr>
        <w:jc w:val="both"/>
        <w:rPr>
          <w:rFonts w:ascii="Arial" w:hAnsi="Arial" w:cs="Arial"/>
          <w:sz w:val="20"/>
          <w:szCs w:val="20"/>
        </w:rPr>
      </w:pPr>
    </w:p>
    <w:p w14:paraId="2BF0D287" w14:textId="77777777" w:rsidR="001C4A1E" w:rsidRPr="00221347" w:rsidRDefault="001C4A1E" w:rsidP="00A378D3">
      <w:pPr>
        <w:jc w:val="both"/>
        <w:rPr>
          <w:rFonts w:ascii="Arial" w:hAnsi="Arial" w:cs="Arial"/>
          <w:sz w:val="20"/>
          <w:szCs w:val="20"/>
        </w:rPr>
      </w:pPr>
    </w:p>
    <w:p w14:paraId="55E87131" w14:textId="77777777" w:rsidR="001C4A1E" w:rsidRPr="00221347" w:rsidRDefault="001C4A1E" w:rsidP="00A378D3">
      <w:pPr>
        <w:jc w:val="both"/>
        <w:rPr>
          <w:rFonts w:ascii="Arial" w:hAnsi="Arial" w:cs="Arial"/>
          <w:sz w:val="20"/>
          <w:szCs w:val="20"/>
        </w:rPr>
      </w:pPr>
    </w:p>
    <w:p w14:paraId="4D503B07" w14:textId="77777777" w:rsidR="001C4A1E" w:rsidRPr="00221347" w:rsidRDefault="001C4A1E" w:rsidP="00A378D3">
      <w:pPr>
        <w:jc w:val="both"/>
        <w:rPr>
          <w:rFonts w:ascii="Arial" w:hAnsi="Arial" w:cs="Arial"/>
          <w:sz w:val="20"/>
          <w:szCs w:val="20"/>
        </w:rPr>
      </w:pPr>
    </w:p>
    <w:p w14:paraId="76A67E7B" w14:textId="4302953D" w:rsidR="00A378D3" w:rsidRPr="00221347" w:rsidRDefault="00A378D3" w:rsidP="00A378D3">
      <w:pPr>
        <w:jc w:val="both"/>
        <w:rPr>
          <w:rFonts w:ascii="Arial" w:hAnsi="Arial" w:cs="Arial"/>
          <w:sz w:val="20"/>
          <w:szCs w:val="20"/>
        </w:rPr>
      </w:pPr>
      <w:r w:rsidRPr="00221347">
        <w:rPr>
          <w:rFonts w:ascii="Arial" w:hAnsi="Arial" w:cs="Arial"/>
          <w:sz w:val="20"/>
          <w:szCs w:val="20"/>
        </w:rPr>
        <w:lastRenderedPageBreak/>
        <w:t xml:space="preserve">Tabela 4: Fatores pré-clínicos associados à Invasão Microvascular e ao óbito em pacientes submetidos a </w:t>
      </w:r>
      <w:r w:rsidR="00DE41D7">
        <w:rPr>
          <w:rFonts w:ascii="Arial" w:hAnsi="Arial" w:cs="Arial"/>
          <w:sz w:val="20"/>
          <w:szCs w:val="20"/>
        </w:rPr>
        <w:t>transplante hepático</w:t>
      </w:r>
      <w:r w:rsidR="00DE41D7" w:rsidRPr="00221347">
        <w:rPr>
          <w:rFonts w:ascii="Arial" w:hAnsi="Arial" w:cs="Arial"/>
          <w:sz w:val="20"/>
          <w:szCs w:val="20"/>
        </w:rPr>
        <w:t xml:space="preserve"> por Carcinoma Hepatocelular</w:t>
      </w:r>
    </w:p>
    <w:tbl>
      <w:tblPr>
        <w:tblW w:w="1009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16"/>
        <w:gridCol w:w="1167"/>
        <w:gridCol w:w="752"/>
        <w:gridCol w:w="908"/>
        <w:gridCol w:w="752"/>
        <w:gridCol w:w="1193"/>
        <w:gridCol w:w="1080"/>
        <w:gridCol w:w="805"/>
        <w:gridCol w:w="752"/>
        <w:gridCol w:w="866"/>
      </w:tblGrid>
      <w:tr w:rsidR="00A378D3" w:rsidRPr="000A3F11" w14:paraId="4897161E" w14:textId="77777777" w:rsidTr="00221347">
        <w:trPr>
          <w:trHeight w:val="315"/>
          <w:jc w:val="center"/>
        </w:trPr>
        <w:tc>
          <w:tcPr>
            <w:tcW w:w="1816" w:type="dxa"/>
            <w:shd w:val="clear" w:color="auto" w:fill="auto"/>
            <w:noWrap/>
            <w:vAlign w:val="bottom"/>
            <w:hideMark/>
          </w:tcPr>
          <w:p w14:paraId="6C4F2586" w14:textId="77777777" w:rsidR="00A378D3" w:rsidRPr="00221347" w:rsidRDefault="00A378D3" w:rsidP="00FD00E1">
            <w:pPr>
              <w:rPr>
                <w:rFonts w:ascii="Arial" w:eastAsia="Times New Roman" w:hAnsi="Arial" w:cs="Arial"/>
                <w:b/>
                <w:bCs/>
                <w:sz w:val="20"/>
                <w:szCs w:val="20"/>
                <w:lang w:eastAsia="pt-BR"/>
              </w:rPr>
            </w:pPr>
          </w:p>
        </w:tc>
        <w:tc>
          <w:tcPr>
            <w:tcW w:w="4772" w:type="dxa"/>
            <w:gridSpan w:val="5"/>
            <w:tcBorders>
              <w:bottom w:val="single" w:sz="4" w:space="0" w:color="auto"/>
            </w:tcBorders>
            <w:shd w:val="clear" w:color="auto" w:fill="auto"/>
            <w:noWrap/>
            <w:vAlign w:val="center"/>
            <w:hideMark/>
          </w:tcPr>
          <w:p w14:paraId="335F74CD"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Regressão logística bivariada</w:t>
            </w:r>
          </w:p>
        </w:tc>
        <w:tc>
          <w:tcPr>
            <w:tcW w:w="3503" w:type="dxa"/>
            <w:gridSpan w:val="4"/>
            <w:shd w:val="clear" w:color="auto" w:fill="auto"/>
            <w:noWrap/>
            <w:vAlign w:val="center"/>
            <w:hideMark/>
          </w:tcPr>
          <w:p w14:paraId="70109E55"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Regressão logística multivariada*</w:t>
            </w:r>
          </w:p>
        </w:tc>
      </w:tr>
      <w:tr w:rsidR="00A378D3" w:rsidRPr="000A3F11" w14:paraId="18FCCE30" w14:textId="77777777" w:rsidTr="00221347">
        <w:trPr>
          <w:trHeight w:val="315"/>
          <w:jc w:val="center"/>
        </w:trPr>
        <w:tc>
          <w:tcPr>
            <w:tcW w:w="1816" w:type="dxa"/>
            <w:tcBorders>
              <w:bottom w:val="single" w:sz="4" w:space="0" w:color="auto"/>
            </w:tcBorders>
            <w:shd w:val="clear" w:color="auto" w:fill="auto"/>
            <w:noWrap/>
            <w:vAlign w:val="bottom"/>
          </w:tcPr>
          <w:p w14:paraId="673864D2" w14:textId="77777777" w:rsidR="00A378D3" w:rsidRPr="00221347" w:rsidRDefault="00A378D3" w:rsidP="00FD00E1">
            <w:pPr>
              <w:rPr>
                <w:rFonts w:ascii="Arial" w:eastAsia="Times New Roman" w:hAnsi="Arial" w:cs="Arial"/>
                <w:b/>
                <w:bCs/>
                <w:color w:val="000000"/>
                <w:sz w:val="20"/>
                <w:szCs w:val="20"/>
                <w:lang w:eastAsia="pt-BR"/>
              </w:rPr>
            </w:pPr>
          </w:p>
        </w:tc>
        <w:tc>
          <w:tcPr>
            <w:tcW w:w="1167" w:type="dxa"/>
            <w:tcBorders>
              <w:top w:val="single" w:sz="4" w:space="0" w:color="auto"/>
              <w:bottom w:val="single" w:sz="4" w:space="0" w:color="auto"/>
            </w:tcBorders>
            <w:shd w:val="clear" w:color="auto" w:fill="auto"/>
            <w:noWrap/>
            <w:vAlign w:val="center"/>
            <w:hideMark/>
          </w:tcPr>
          <w:p w14:paraId="7980CA04"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n (%)</w:t>
            </w:r>
          </w:p>
        </w:tc>
        <w:tc>
          <w:tcPr>
            <w:tcW w:w="752" w:type="dxa"/>
            <w:tcBorders>
              <w:top w:val="single" w:sz="4" w:space="0" w:color="auto"/>
              <w:bottom w:val="single" w:sz="4" w:space="0" w:color="auto"/>
            </w:tcBorders>
            <w:shd w:val="clear" w:color="auto" w:fill="auto"/>
            <w:noWrap/>
            <w:vAlign w:val="center"/>
            <w:hideMark/>
          </w:tcPr>
          <w:p w14:paraId="5CD2F3B6" w14:textId="77777777" w:rsidR="00A378D3" w:rsidRPr="00221347" w:rsidRDefault="00A378D3" w:rsidP="00FD00E1">
            <w:pPr>
              <w:jc w:val="center"/>
              <w:rPr>
                <w:rFonts w:ascii="Arial" w:eastAsia="Times New Roman" w:hAnsi="Arial" w:cs="Arial"/>
                <w:b/>
                <w:bCs/>
                <w:color w:val="000000"/>
                <w:sz w:val="20"/>
                <w:szCs w:val="20"/>
                <w:lang w:eastAsia="pt-BR"/>
              </w:rPr>
            </w:pPr>
            <w:proofErr w:type="spellStart"/>
            <w:r w:rsidRPr="00221347">
              <w:rPr>
                <w:rFonts w:ascii="Arial" w:eastAsia="Times New Roman" w:hAnsi="Arial" w:cs="Arial"/>
                <w:b/>
                <w:bCs/>
                <w:color w:val="000000"/>
                <w:sz w:val="20"/>
                <w:szCs w:val="20"/>
                <w:lang w:eastAsia="pt-BR"/>
              </w:rPr>
              <w:t>Odds</w:t>
            </w:r>
            <w:proofErr w:type="spellEnd"/>
            <w:r w:rsidRPr="00221347">
              <w:rPr>
                <w:rFonts w:ascii="Arial" w:eastAsia="Times New Roman" w:hAnsi="Arial" w:cs="Arial"/>
                <w:b/>
                <w:bCs/>
                <w:color w:val="000000"/>
                <w:sz w:val="20"/>
                <w:szCs w:val="20"/>
                <w:lang w:eastAsia="pt-BR"/>
              </w:rPr>
              <w:t xml:space="preserve"> </w:t>
            </w:r>
            <w:proofErr w:type="spellStart"/>
            <w:r w:rsidRPr="00221347">
              <w:rPr>
                <w:rFonts w:ascii="Arial" w:eastAsia="Times New Roman" w:hAnsi="Arial" w:cs="Arial"/>
                <w:b/>
                <w:bCs/>
                <w:color w:val="000000"/>
                <w:sz w:val="20"/>
                <w:szCs w:val="20"/>
                <w:lang w:eastAsia="pt-BR"/>
              </w:rPr>
              <w:t>Ratio</w:t>
            </w:r>
            <w:proofErr w:type="spellEnd"/>
          </w:p>
        </w:tc>
        <w:tc>
          <w:tcPr>
            <w:tcW w:w="908" w:type="dxa"/>
            <w:tcBorders>
              <w:top w:val="single" w:sz="4" w:space="0" w:color="auto"/>
              <w:bottom w:val="single" w:sz="4" w:space="0" w:color="auto"/>
            </w:tcBorders>
            <w:shd w:val="clear" w:color="auto" w:fill="auto"/>
            <w:noWrap/>
            <w:vAlign w:val="center"/>
            <w:hideMark/>
          </w:tcPr>
          <w:p w14:paraId="23DC7B7D"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P-Valor</w:t>
            </w:r>
          </w:p>
        </w:tc>
        <w:tc>
          <w:tcPr>
            <w:tcW w:w="1944" w:type="dxa"/>
            <w:gridSpan w:val="2"/>
            <w:tcBorders>
              <w:top w:val="single" w:sz="4" w:space="0" w:color="auto"/>
              <w:bottom w:val="single" w:sz="4" w:space="0" w:color="auto"/>
            </w:tcBorders>
            <w:shd w:val="clear" w:color="auto" w:fill="auto"/>
            <w:noWrap/>
            <w:vAlign w:val="center"/>
            <w:hideMark/>
          </w:tcPr>
          <w:p w14:paraId="5C7A333D"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Intervalo de Confiança 95%</w:t>
            </w:r>
          </w:p>
        </w:tc>
        <w:tc>
          <w:tcPr>
            <w:tcW w:w="1080" w:type="dxa"/>
            <w:tcBorders>
              <w:top w:val="single" w:sz="4" w:space="0" w:color="auto"/>
              <w:bottom w:val="single" w:sz="4" w:space="0" w:color="auto"/>
            </w:tcBorders>
            <w:shd w:val="clear" w:color="auto" w:fill="auto"/>
            <w:noWrap/>
            <w:vAlign w:val="center"/>
            <w:hideMark/>
          </w:tcPr>
          <w:p w14:paraId="570C9A47" w14:textId="77777777" w:rsidR="00A378D3" w:rsidRPr="00221347" w:rsidRDefault="00A378D3" w:rsidP="00FD00E1">
            <w:pPr>
              <w:jc w:val="center"/>
              <w:rPr>
                <w:rFonts w:ascii="Arial" w:eastAsia="Times New Roman" w:hAnsi="Arial" w:cs="Arial"/>
                <w:b/>
                <w:bCs/>
                <w:color w:val="000000"/>
                <w:sz w:val="20"/>
                <w:szCs w:val="20"/>
                <w:lang w:eastAsia="pt-BR"/>
              </w:rPr>
            </w:pPr>
            <w:proofErr w:type="spellStart"/>
            <w:r w:rsidRPr="00221347">
              <w:rPr>
                <w:rFonts w:ascii="Arial" w:eastAsia="Times New Roman" w:hAnsi="Arial" w:cs="Arial"/>
                <w:b/>
                <w:bCs/>
                <w:color w:val="000000"/>
                <w:sz w:val="20"/>
                <w:szCs w:val="20"/>
                <w:lang w:eastAsia="pt-BR"/>
              </w:rPr>
              <w:t>Odds</w:t>
            </w:r>
            <w:proofErr w:type="spellEnd"/>
            <w:r w:rsidRPr="00221347">
              <w:rPr>
                <w:rFonts w:ascii="Arial" w:eastAsia="Times New Roman" w:hAnsi="Arial" w:cs="Arial"/>
                <w:b/>
                <w:bCs/>
                <w:color w:val="000000"/>
                <w:sz w:val="20"/>
                <w:szCs w:val="20"/>
                <w:lang w:eastAsia="pt-BR"/>
              </w:rPr>
              <w:t xml:space="preserve"> </w:t>
            </w:r>
            <w:proofErr w:type="spellStart"/>
            <w:r w:rsidRPr="00221347">
              <w:rPr>
                <w:rFonts w:ascii="Arial" w:eastAsia="Times New Roman" w:hAnsi="Arial" w:cs="Arial"/>
                <w:b/>
                <w:bCs/>
                <w:color w:val="000000"/>
                <w:sz w:val="20"/>
                <w:szCs w:val="20"/>
                <w:lang w:eastAsia="pt-BR"/>
              </w:rPr>
              <w:t>Ratio</w:t>
            </w:r>
            <w:proofErr w:type="spellEnd"/>
          </w:p>
        </w:tc>
        <w:tc>
          <w:tcPr>
            <w:tcW w:w="805" w:type="dxa"/>
            <w:tcBorders>
              <w:top w:val="single" w:sz="4" w:space="0" w:color="auto"/>
              <w:bottom w:val="single" w:sz="4" w:space="0" w:color="auto"/>
            </w:tcBorders>
            <w:shd w:val="clear" w:color="auto" w:fill="auto"/>
            <w:noWrap/>
            <w:vAlign w:val="center"/>
            <w:hideMark/>
          </w:tcPr>
          <w:p w14:paraId="19877DF2"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P-Valor</w:t>
            </w:r>
          </w:p>
        </w:tc>
        <w:tc>
          <w:tcPr>
            <w:tcW w:w="1616" w:type="dxa"/>
            <w:gridSpan w:val="2"/>
            <w:tcBorders>
              <w:top w:val="single" w:sz="4" w:space="0" w:color="auto"/>
              <w:bottom w:val="single" w:sz="4" w:space="0" w:color="auto"/>
            </w:tcBorders>
            <w:shd w:val="clear" w:color="auto" w:fill="auto"/>
            <w:noWrap/>
            <w:vAlign w:val="center"/>
            <w:hideMark/>
          </w:tcPr>
          <w:p w14:paraId="7DF772D2"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Intervalo de Confiança 95%</w:t>
            </w:r>
          </w:p>
        </w:tc>
      </w:tr>
      <w:tr w:rsidR="001C4A1E" w:rsidRPr="000A3F11" w14:paraId="6C5A239A" w14:textId="77777777" w:rsidTr="00221347">
        <w:trPr>
          <w:trHeight w:val="315"/>
          <w:jc w:val="center"/>
        </w:trPr>
        <w:tc>
          <w:tcPr>
            <w:tcW w:w="1816" w:type="dxa"/>
            <w:tcBorders>
              <w:top w:val="single" w:sz="4" w:space="0" w:color="auto"/>
            </w:tcBorders>
            <w:shd w:val="clear" w:color="auto" w:fill="auto"/>
            <w:noWrap/>
            <w:vAlign w:val="center"/>
          </w:tcPr>
          <w:p w14:paraId="357ED07E"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 xml:space="preserve">Desfecho: Invasão Microvascular </w:t>
            </w:r>
          </w:p>
        </w:tc>
        <w:tc>
          <w:tcPr>
            <w:tcW w:w="1167" w:type="dxa"/>
            <w:tcBorders>
              <w:top w:val="single" w:sz="4" w:space="0" w:color="auto"/>
            </w:tcBorders>
            <w:shd w:val="clear" w:color="auto" w:fill="auto"/>
            <w:noWrap/>
            <w:vAlign w:val="center"/>
          </w:tcPr>
          <w:p w14:paraId="5D114F6F"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29 (100,00)</w:t>
            </w:r>
          </w:p>
        </w:tc>
        <w:tc>
          <w:tcPr>
            <w:tcW w:w="752" w:type="dxa"/>
            <w:tcBorders>
              <w:top w:val="single" w:sz="4" w:space="0" w:color="auto"/>
            </w:tcBorders>
            <w:shd w:val="clear" w:color="auto" w:fill="auto"/>
            <w:noWrap/>
            <w:vAlign w:val="center"/>
          </w:tcPr>
          <w:p w14:paraId="7C21311C" w14:textId="77777777" w:rsidR="00A378D3" w:rsidRPr="00221347" w:rsidRDefault="00A378D3" w:rsidP="00FD00E1">
            <w:pPr>
              <w:jc w:val="center"/>
              <w:rPr>
                <w:rFonts w:ascii="Arial" w:eastAsia="Times New Roman" w:hAnsi="Arial" w:cs="Arial"/>
                <w:color w:val="000000"/>
                <w:sz w:val="20"/>
                <w:szCs w:val="20"/>
                <w:lang w:eastAsia="pt-BR"/>
              </w:rPr>
            </w:pPr>
          </w:p>
        </w:tc>
        <w:tc>
          <w:tcPr>
            <w:tcW w:w="908" w:type="dxa"/>
            <w:tcBorders>
              <w:top w:val="single" w:sz="4" w:space="0" w:color="auto"/>
            </w:tcBorders>
            <w:shd w:val="clear" w:color="auto" w:fill="auto"/>
            <w:noWrap/>
            <w:vAlign w:val="center"/>
          </w:tcPr>
          <w:p w14:paraId="2065EC92" w14:textId="77777777" w:rsidR="00A378D3" w:rsidRPr="00221347" w:rsidRDefault="00A378D3" w:rsidP="00FD00E1">
            <w:pPr>
              <w:jc w:val="center"/>
              <w:rPr>
                <w:rFonts w:ascii="Arial" w:eastAsia="Times New Roman" w:hAnsi="Arial" w:cs="Arial"/>
                <w:color w:val="000000"/>
                <w:sz w:val="20"/>
                <w:szCs w:val="20"/>
                <w:lang w:eastAsia="pt-BR"/>
              </w:rPr>
            </w:pPr>
          </w:p>
        </w:tc>
        <w:tc>
          <w:tcPr>
            <w:tcW w:w="752" w:type="dxa"/>
            <w:tcBorders>
              <w:top w:val="single" w:sz="4" w:space="0" w:color="auto"/>
            </w:tcBorders>
            <w:shd w:val="clear" w:color="auto" w:fill="auto"/>
            <w:noWrap/>
            <w:vAlign w:val="center"/>
          </w:tcPr>
          <w:p w14:paraId="01315803" w14:textId="77777777" w:rsidR="00A378D3" w:rsidRPr="00221347" w:rsidRDefault="00A378D3" w:rsidP="00FD00E1">
            <w:pPr>
              <w:jc w:val="center"/>
              <w:rPr>
                <w:rFonts w:ascii="Arial" w:eastAsia="Times New Roman" w:hAnsi="Arial" w:cs="Arial"/>
                <w:color w:val="000000"/>
                <w:sz w:val="20"/>
                <w:szCs w:val="20"/>
                <w:lang w:eastAsia="pt-BR"/>
              </w:rPr>
            </w:pPr>
          </w:p>
        </w:tc>
        <w:tc>
          <w:tcPr>
            <w:tcW w:w="1191" w:type="dxa"/>
            <w:tcBorders>
              <w:top w:val="single" w:sz="4" w:space="0" w:color="auto"/>
            </w:tcBorders>
            <w:shd w:val="clear" w:color="auto" w:fill="auto"/>
            <w:noWrap/>
            <w:vAlign w:val="center"/>
          </w:tcPr>
          <w:p w14:paraId="5D0A1CB1" w14:textId="77777777" w:rsidR="00A378D3" w:rsidRPr="00221347" w:rsidRDefault="00A378D3" w:rsidP="00FD00E1">
            <w:pPr>
              <w:jc w:val="center"/>
              <w:rPr>
                <w:rFonts w:ascii="Arial" w:eastAsia="Times New Roman" w:hAnsi="Arial" w:cs="Arial"/>
                <w:color w:val="000000"/>
                <w:sz w:val="20"/>
                <w:szCs w:val="20"/>
                <w:lang w:eastAsia="pt-BR"/>
              </w:rPr>
            </w:pPr>
          </w:p>
        </w:tc>
        <w:tc>
          <w:tcPr>
            <w:tcW w:w="1080" w:type="dxa"/>
            <w:tcBorders>
              <w:top w:val="single" w:sz="4" w:space="0" w:color="auto"/>
            </w:tcBorders>
            <w:shd w:val="clear" w:color="auto" w:fill="auto"/>
            <w:noWrap/>
            <w:vAlign w:val="center"/>
          </w:tcPr>
          <w:p w14:paraId="67FB9594" w14:textId="77777777" w:rsidR="00A378D3" w:rsidRPr="00221347" w:rsidRDefault="00A378D3" w:rsidP="00FD00E1">
            <w:pPr>
              <w:jc w:val="center"/>
              <w:rPr>
                <w:rFonts w:ascii="Arial" w:eastAsia="Times New Roman" w:hAnsi="Arial" w:cs="Arial"/>
                <w:color w:val="000000"/>
                <w:sz w:val="20"/>
                <w:szCs w:val="20"/>
                <w:lang w:eastAsia="pt-BR"/>
              </w:rPr>
            </w:pPr>
          </w:p>
        </w:tc>
        <w:tc>
          <w:tcPr>
            <w:tcW w:w="805" w:type="dxa"/>
            <w:tcBorders>
              <w:top w:val="single" w:sz="4" w:space="0" w:color="auto"/>
            </w:tcBorders>
            <w:shd w:val="clear" w:color="auto" w:fill="auto"/>
            <w:noWrap/>
            <w:vAlign w:val="center"/>
          </w:tcPr>
          <w:p w14:paraId="39A64DEB" w14:textId="77777777" w:rsidR="00A378D3" w:rsidRPr="00221347" w:rsidRDefault="00A378D3" w:rsidP="00FD00E1">
            <w:pPr>
              <w:jc w:val="center"/>
              <w:rPr>
                <w:rFonts w:ascii="Arial" w:eastAsia="Times New Roman" w:hAnsi="Arial" w:cs="Arial"/>
                <w:sz w:val="20"/>
                <w:szCs w:val="20"/>
                <w:lang w:eastAsia="pt-BR"/>
              </w:rPr>
            </w:pPr>
          </w:p>
        </w:tc>
        <w:tc>
          <w:tcPr>
            <w:tcW w:w="752" w:type="dxa"/>
            <w:tcBorders>
              <w:top w:val="single" w:sz="4" w:space="0" w:color="auto"/>
            </w:tcBorders>
            <w:shd w:val="clear" w:color="auto" w:fill="auto"/>
            <w:noWrap/>
            <w:vAlign w:val="center"/>
          </w:tcPr>
          <w:p w14:paraId="3C081394" w14:textId="77777777" w:rsidR="00A378D3" w:rsidRPr="00221347" w:rsidRDefault="00A378D3" w:rsidP="00FD00E1">
            <w:pPr>
              <w:jc w:val="center"/>
              <w:rPr>
                <w:rFonts w:ascii="Arial" w:eastAsia="Times New Roman" w:hAnsi="Arial" w:cs="Arial"/>
                <w:sz w:val="20"/>
                <w:szCs w:val="20"/>
                <w:lang w:eastAsia="pt-BR"/>
              </w:rPr>
            </w:pPr>
          </w:p>
        </w:tc>
        <w:tc>
          <w:tcPr>
            <w:tcW w:w="864" w:type="dxa"/>
            <w:tcBorders>
              <w:top w:val="single" w:sz="4" w:space="0" w:color="auto"/>
            </w:tcBorders>
            <w:shd w:val="clear" w:color="auto" w:fill="auto"/>
            <w:noWrap/>
            <w:vAlign w:val="center"/>
          </w:tcPr>
          <w:p w14:paraId="1CE3DB20"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386407DC" w14:textId="77777777" w:rsidTr="00221347">
        <w:trPr>
          <w:trHeight w:val="315"/>
          <w:jc w:val="center"/>
        </w:trPr>
        <w:tc>
          <w:tcPr>
            <w:tcW w:w="1816" w:type="dxa"/>
            <w:shd w:val="clear" w:color="auto" w:fill="auto"/>
            <w:noWrap/>
            <w:vAlign w:val="center"/>
          </w:tcPr>
          <w:p w14:paraId="5914C800" w14:textId="77777777" w:rsidR="00A378D3" w:rsidRPr="00221347" w:rsidRDefault="00A378D3" w:rsidP="00FD00E1">
            <w:pPr>
              <w:rPr>
                <w:rFonts w:ascii="Arial" w:eastAsia="Times New Roman" w:hAnsi="Arial" w:cs="Arial"/>
                <w:color w:val="000000"/>
                <w:sz w:val="20"/>
                <w:szCs w:val="20"/>
                <w:vertAlign w:val="superscript"/>
                <w:lang w:eastAsia="pt-BR"/>
              </w:rPr>
            </w:pPr>
            <w:r w:rsidRPr="00221347">
              <w:rPr>
                <w:rFonts w:ascii="Arial" w:eastAsia="Times New Roman" w:hAnsi="Arial" w:cs="Arial"/>
                <w:color w:val="000000"/>
                <w:sz w:val="20"/>
                <w:szCs w:val="20"/>
                <w:lang w:eastAsia="pt-BR"/>
              </w:rPr>
              <w:t xml:space="preserve">Hepatopatia </w:t>
            </w:r>
            <w:proofErr w:type="spellStart"/>
            <w:r w:rsidRPr="00221347">
              <w:rPr>
                <w:rFonts w:ascii="Arial" w:eastAsia="Times New Roman" w:hAnsi="Arial" w:cs="Arial"/>
                <w:color w:val="000000"/>
                <w:sz w:val="20"/>
                <w:szCs w:val="20"/>
                <w:lang w:eastAsia="pt-BR"/>
              </w:rPr>
              <w:t>Viral</w:t>
            </w:r>
            <w:r w:rsidRPr="00221347">
              <w:rPr>
                <w:rFonts w:ascii="Arial" w:eastAsia="Times New Roman" w:hAnsi="Arial" w:cs="Arial"/>
                <w:color w:val="000000"/>
                <w:sz w:val="20"/>
                <w:szCs w:val="20"/>
                <w:vertAlign w:val="superscript"/>
                <w:lang w:eastAsia="pt-BR"/>
              </w:rPr>
              <w:t>a</w:t>
            </w:r>
            <w:proofErr w:type="spellEnd"/>
          </w:p>
        </w:tc>
        <w:tc>
          <w:tcPr>
            <w:tcW w:w="1167" w:type="dxa"/>
            <w:shd w:val="clear" w:color="auto" w:fill="auto"/>
            <w:noWrap/>
            <w:vAlign w:val="center"/>
          </w:tcPr>
          <w:p w14:paraId="0D4987FD"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19 (65,52)</w:t>
            </w:r>
          </w:p>
        </w:tc>
        <w:tc>
          <w:tcPr>
            <w:tcW w:w="752" w:type="dxa"/>
            <w:shd w:val="clear" w:color="auto" w:fill="auto"/>
            <w:noWrap/>
            <w:vAlign w:val="center"/>
          </w:tcPr>
          <w:p w14:paraId="58F29C2C"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1,5132</w:t>
            </w:r>
          </w:p>
        </w:tc>
        <w:tc>
          <w:tcPr>
            <w:tcW w:w="908" w:type="dxa"/>
            <w:shd w:val="clear" w:color="auto" w:fill="auto"/>
            <w:noWrap/>
            <w:vAlign w:val="center"/>
          </w:tcPr>
          <w:p w14:paraId="6E5E24B7"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0,403</w:t>
            </w:r>
          </w:p>
        </w:tc>
        <w:tc>
          <w:tcPr>
            <w:tcW w:w="752" w:type="dxa"/>
            <w:shd w:val="clear" w:color="auto" w:fill="auto"/>
            <w:noWrap/>
            <w:vAlign w:val="center"/>
          </w:tcPr>
          <w:p w14:paraId="2CB36D6D"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0,5738</w:t>
            </w:r>
          </w:p>
        </w:tc>
        <w:tc>
          <w:tcPr>
            <w:tcW w:w="1191" w:type="dxa"/>
            <w:shd w:val="clear" w:color="auto" w:fill="auto"/>
            <w:noWrap/>
            <w:vAlign w:val="center"/>
          </w:tcPr>
          <w:p w14:paraId="7A79CCA1"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3,9905</w:t>
            </w:r>
          </w:p>
        </w:tc>
        <w:tc>
          <w:tcPr>
            <w:tcW w:w="1080" w:type="dxa"/>
            <w:shd w:val="clear" w:color="auto" w:fill="auto"/>
            <w:noWrap/>
            <w:vAlign w:val="center"/>
          </w:tcPr>
          <w:p w14:paraId="2DAC3B1E" w14:textId="77777777" w:rsidR="00A378D3" w:rsidRPr="00221347" w:rsidRDefault="00A378D3" w:rsidP="00FD00E1">
            <w:pPr>
              <w:jc w:val="center"/>
              <w:rPr>
                <w:rFonts w:ascii="Arial" w:eastAsia="Times New Roman" w:hAnsi="Arial" w:cs="Arial"/>
                <w:color w:val="000000"/>
                <w:sz w:val="20"/>
                <w:szCs w:val="20"/>
                <w:lang w:eastAsia="pt-BR"/>
              </w:rPr>
            </w:pPr>
          </w:p>
        </w:tc>
        <w:tc>
          <w:tcPr>
            <w:tcW w:w="805" w:type="dxa"/>
            <w:shd w:val="clear" w:color="auto" w:fill="auto"/>
            <w:noWrap/>
            <w:vAlign w:val="center"/>
          </w:tcPr>
          <w:p w14:paraId="4364C6D7"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tcPr>
          <w:p w14:paraId="0C2CF0E3" w14:textId="77777777" w:rsidR="00A378D3" w:rsidRPr="00221347" w:rsidRDefault="00A378D3" w:rsidP="00FD00E1">
            <w:pPr>
              <w:jc w:val="center"/>
              <w:rPr>
                <w:rFonts w:ascii="Arial" w:eastAsia="Times New Roman" w:hAnsi="Arial" w:cs="Arial"/>
                <w:sz w:val="20"/>
                <w:szCs w:val="20"/>
                <w:lang w:eastAsia="pt-BR"/>
              </w:rPr>
            </w:pPr>
          </w:p>
        </w:tc>
        <w:tc>
          <w:tcPr>
            <w:tcW w:w="864" w:type="dxa"/>
            <w:shd w:val="clear" w:color="auto" w:fill="auto"/>
            <w:noWrap/>
            <w:vAlign w:val="center"/>
          </w:tcPr>
          <w:p w14:paraId="3321F295"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7F4EF293" w14:textId="77777777" w:rsidTr="00221347">
        <w:trPr>
          <w:trHeight w:val="315"/>
          <w:jc w:val="center"/>
        </w:trPr>
        <w:tc>
          <w:tcPr>
            <w:tcW w:w="1816" w:type="dxa"/>
            <w:shd w:val="clear" w:color="auto" w:fill="auto"/>
            <w:noWrap/>
            <w:vAlign w:val="center"/>
          </w:tcPr>
          <w:p w14:paraId="708E5291" w14:textId="77777777" w:rsidR="00A378D3" w:rsidRPr="00221347" w:rsidRDefault="00A378D3" w:rsidP="00FD00E1">
            <w:pPr>
              <w:rPr>
                <w:rFonts w:ascii="Arial" w:eastAsia="Times New Roman" w:hAnsi="Arial" w:cs="Arial"/>
                <w:color w:val="000000"/>
                <w:sz w:val="20"/>
                <w:szCs w:val="20"/>
                <w:vertAlign w:val="superscript"/>
                <w:lang w:eastAsia="pt-BR"/>
              </w:rPr>
            </w:pPr>
            <w:r w:rsidRPr="00221347">
              <w:rPr>
                <w:rFonts w:ascii="Arial" w:eastAsia="Times New Roman" w:hAnsi="Arial" w:cs="Arial"/>
                <w:color w:val="000000"/>
                <w:sz w:val="20"/>
                <w:szCs w:val="20"/>
                <w:lang w:eastAsia="pt-BR"/>
              </w:rPr>
              <w:t xml:space="preserve">Hepatopatia </w:t>
            </w:r>
            <w:proofErr w:type="spellStart"/>
            <w:r w:rsidRPr="00221347">
              <w:rPr>
                <w:rFonts w:ascii="Arial" w:eastAsia="Times New Roman" w:hAnsi="Arial" w:cs="Arial"/>
                <w:color w:val="000000"/>
                <w:sz w:val="20"/>
                <w:szCs w:val="20"/>
                <w:lang w:eastAsia="pt-BR"/>
              </w:rPr>
              <w:t>Mista</w:t>
            </w:r>
            <w:r w:rsidRPr="00221347">
              <w:rPr>
                <w:rFonts w:ascii="Arial" w:eastAsia="Times New Roman" w:hAnsi="Arial" w:cs="Arial"/>
                <w:color w:val="000000"/>
                <w:sz w:val="20"/>
                <w:szCs w:val="20"/>
                <w:vertAlign w:val="superscript"/>
                <w:lang w:eastAsia="pt-BR"/>
              </w:rPr>
              <w:t>a</w:t>
            </w:r>
            <w:proofErr w:type="spellEnd"/>
          </w:p>
        </w:tc>
        <w:tc>
          <w:tcPr>
            <w:tcW w:w="1167" w:type="dxa"/>
            <w:shd w:val="clear" w:color="auto" w:fill="auto"/>
            <w:noWrap/>
            <w:vAlign w:val="center"/>
          </w:tcPr>
          <w:p w14:paraId="1F02881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 (06,90)</w:t>
            </w:r>
          </w:p>
        </w:tc>
        <w:tc>
          <w:tcPr>
            <w:tcW w:w="752" w:type="dxa"/>
            <w:shd w:val="clear" w:color="auto" w:fill="auto"/>
            <w:noWrap/>
            <w:vAlign w:val="center"/>
          </w:tcPr>
          <w:p w14:paraId="3F2C1800"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1,4375</w:t>
            </w:r>
          </w:p>
        </w:tc>
        <w:tc>
          <w:tcPr>
            <w:tcW w:w="908" w:type="dxa"/>
            <w:shd w:val="clear" w:color="auto" w:fill="auto"/>
            <w:noWrap/>
            <w:vAlign w:val="center"/>
          </w:tcPr>
          <w:p w14:paraId="19A1879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0,779</w:t>
            </w:r>
          </w:p>
        </w:tc>
        <w:tc>
          <w:tcPr>
            <w:tcW w:w="752" w:type="dxa"/>
            <w:shd w:val="clear" w:color="auto" w:fill="auto"/>
            <w:noWrap/>
            <w:vAlign w:val="center"/>
          </w:tcPr>
          <w:p w14:paraId="64DAE87E"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0,1143</w:t>
            </w:r>
          </w:p>
        </w:tc>
        <w:tc>
          <w:tcPr>
            <w:tcW w:w="1191" w:type="dxa"/>
            <w:shd w:val="clear" w:color="auto" w:fill="auto"/>
            <w:noWrap/>
            <w:vAlign w:val="center"/>
          </w:tcPr>
          <w:p w14:paraId="3D161EA9"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18,076</w:t>
            </w:r>
          </w:p>
        </w:tc>
        <w:tc>
          <w:tcPr>
            <w:tcW w:w="1080" w:type="dxa"/>
            <w:shd w:val="clear" w:color="auto" w:fill="auto"/>
            <w:noWrap/>
            <w:vAlign w:val="center"/>
          </w:tcPr>
          <w:p w14:paraId="14A32106" w14:textId="77777777" w:rsidR="00A378D3" w:rsidRPr="00221347" w:rsidRDefault="00A378D3" w:rsidP="00FD00E1">
            <w:pPr>
              <w:jc w:val="center"/>
              <w:rPr>
                <w:rFonts w:ascii="Arial" w:eastAsia="Times New Roman" w:hAnsi="Arial" w:cs="Arial"/>
                <w:color w:val="000000"/>
                <w:sz w:val="20"/>
                <w:szCs w:val="20"/>
                <w:lang w:eastAsia="pt-BR"/>
              </w:rPr>
            </w:pPr>
          </w:p>
        </w:tc>
        <w:tc>
          <w:tcPr>
            <w:tcW w:w="805" w:type="dxa"/>
            <w:shd w:val="clear" w:color="auto" w:fill="auto"/>
            <w:noWrap/>
            <w:vAlign w:val="center"/>
          </w:tcPr>
          <w:p w14:paraId="51369EAC"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tcPr>
          <w:p w14:paraId="37720EDE" w14:textId="77777777" w:rsidR="00A378D3" w:rsidRPr="00221347" w:rsidRDefault="00A378D3" w:rsidP="00FD00E1">
            <w:pPr>
              <w:jc w:val="center"/>
              <w:rPr>
                <w:rFonts w:ascii="Arial" w:eastAsia="Times New Roman" w:hAnsi="Arial" w:cs="Arial"/>
                <w:sz w:val="20"/>
                <w:szCs w:val="20"/>
                <w:lang w:eastAsia="pt-BR"/>
              </w:rPr>
            </w:pPr>
          </w:p>
        </w:tc>
        <w:tc>
          <w:tcPr>
            <w:tcW w:w="864" w:type="dxa"/>
            <w:shd w:val="clear" w:color="auto" w:fill="auto"/>
            <w:noWrap/>
            <w:vAlign w:val="center"/>
          </w:tcPr>
          <w:p w14:paraId="2DB12115"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33F60D47" w14:textId="77777777" w:rsidTr="00221347">
        <w:trPr>
          <w:trHeight w:val="315"/>
          <w:jc w:val="center"/>
        </w:trPr>
        <w:tc>
          <w:tcPr>
            <w:tcW w:w="1816" w:type="dxa"/>
            <w:shd w:val="clear" w:color="auto" w:fill="auto"/>
            <w:noWrap/>
            <w:vAlign w:val="center"/>
            <w:hideMark/>
          </w:tcPr>
          <w:p w14:paraId="12BCEA57"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Sexo Masculino</w:t>
            </w:r>
          </w:p>
        </w:tc>
        <w:tc>
          <w:tcPr>
            <w:tcW w:w="1167" w:type="dxa"/>
            <w:shd w:val="clear" w:color="auto" w:fill="auto"/>
            <w:noWrap/>
            <w:vAlign w:val="center"/>
            <w:hideMark/>
          </w:tcPr>
          <w:p w14:paraId="7476C5AC"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26 (89,66)</w:t>
            </w:r>
          </w:p>
        </w:tc>
        <w:tc>
          <w:tcPr>
            <w:tcW w:w="752" w:type="dxa"/>
            <w:shd w:val="clear" w:color="auto" w:fill="auto"/>
            <w:noWrap/>
            <w:vAlign w:val="center"/>
            <w:hideMark/>
          </w:tcPr>
          <w:p w14:paraId="0B8A4EEC"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3,2029</w:t>
            </w:r>
          </w:p>
        </w:tc>
        <w:tc>
          <w:tcPr>
            <w:tcW w:w="908" w:type="dxa"/>
            <w:shd w:val="clear" w:color="auto" w:fill="auto"/>
            <w:noWrap/>
            <w:vAlign w:val="center"/>
            <w:hideMark/>
          </w:tcPr>
          <w:p w14:paraId="54027BE4"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0,083</w:t>
            </w:r>
          </w:p>
        </w:tc>
        <w:tc>
          <w:tcPr>
            <w:tcW w:w="752" w:type="dxa"/>
            <w:shd w:val="clear" w:color="auto" w:fill="auto"/>
            <w:noWrap/>
            <w:vAlign w:val="center"/>
            <w:hideMark/>
          </w:tcPr>
          <w:p w14:paraId="7E57B097"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0,8571</w:t>
            </w:r>
          </w:p>
        </w:tc>
        <w:tc>
          <w:tcPr>
            <w:tcW w:w="1191" w:type="dxa"/>
            <w:shd w:val="clear" w:color="auto" w:fill="auto"/>
            <w:noWrap/>
            <w:vAlign w:val="center"/>
            <w:hideMark/>
          </w:tcPr>
          <w:p w14:paraId="051E9E19"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11,9685</w:t>
            </w:r>
          </w:p>
        </w:tc>
        <w:tc>
          <w:tcPr>
            <w:tcW w:w="1080" w:type="dxa"/>
            <w:shd w:val="clear" w:color="auto" w:fill="auto"/>
            <w:noWrap/>
            <w:vAlign w:val="center"/>
            <w:hideMark/>
          </w:tcPr>
          <w:p w14:paraId="02A3E7B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2,6845</w:t>
            </w:r>
          </w:p>
        </w:tc>
        <w:tc>
          <w:tcPr>
            <w:tcW w:w="805" w:type="dxa"/>
            <w:shd w:val="clear" w:color="auto" w:fill="auto"/>
            <w:noWrap/>
            <w:vAlign w:val="center"/>
            <w:hideMark/>
          </w:tcPr>
          <w:p w14:paraId="64FC5D7F"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0,151</w:t>
            </w:r>
          </w:p>
        </w:tc>
        <w:tc>
          <w:tcPr>
            <w:tcW w:w="752" w:type="dxa"/>
            <w:shd w:val="clear" w:color="auto" w:fill="auto"/>
            <w:noWrap/>
            <w:vAlign w:val="center"/>
            <w:hideMark/>
          </w:tcPr>
          <w:p w14:paraId="409BB611"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0,6986</w:t>
            </w:r>
          </w:p>
        </w:tc>
        <w:tc>
          <w:tcPr>
            <w:tcW w:w="864" w:type="dxa"/>
            <w:shd w:val="clear" w:color="auto" w:fill="auto"/>
            <w:noWrap/>
            <w:vAlign w:val="center"/>
            <w:hideMark/>
          </w:tcPr>
          <w:p w14:paraId="30A48E5B"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10,3161</w:t>
            </w:r>
          </w:p>
        </w:tc>
      </w:tr>
      <w:tr w:rsidR="001C4A1E" w:rsidRPr="000A3F11" w14:paraId="3F1D807A" w14:textId="77777777" w:rsidTr="00221347">
        <w:trPr>
          <w:trHeight w:val="315"/>
          <w:jc w:val="center"/>
        </w:trPr>
        <w:tc>
          <w:tcPr>
            <w:tcW w:w="1816" w:type="dxa"/>
            <w:shd w:val="clear" w:color="auto" w:fill="auto"/>
            <w:noWrap/>
            <w:vAlign w:val="center"/>
            <w:hideMark/>
          </w:tcPr>
          <w:p w14:paraId="01683CEE"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Tabagismo</w:t>
            </w:r>
          </w:p>
        </w:tc>
        <w:tc>
          <w:tcPr>
            <w:tcW w:w="1167" w:type="dxa"/>
            <w:shd w:val="clear" w:color="auto" w:fill="auto"/>
            <w:noWrap/>
            <w:vAlign w:val="center"/>
            <w:hideMark/>
          </w:tcPr>
          <w:p w14:paraId="16F62BA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23 (79,31)</w:t>
            </w:r>
          </w:p>
        </w:tc>
        <w:tc>
          <w:tcPr>
            <w:tcW w:w="752" w:type="dxa"/>
            <w:shd w:val="clear" w:color="auto" w:fill="auto"/>
            <w:noWrap/>
            <w:vAlign w:val="center"/>
            <w:hideMark/>
          </w:tcPr>
          <w:p w14:paraId="7CF5CAE2"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2,5219</w:t>
            </w:r>
          </w:p>
        </w:tc>
        <w:tc>
          <w:tcPr>
            <w:tcW w:w="908" w:type="dxa"/>
            <w:shd w:val="clear" w:color="auto" w:fill="auto"/>
            <w:noWrap/>
            <w:vAlign w:val="center"/>
            <w:hideMark/>
          </w:tcPr>
          <w:p w14:paraId="7C75394B"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0,079</w:t>
            </w:r>
          </w:p>
        </w:tc>
        <w:tc>
          <w:tcPr>
            <w:tcW w:w="752" w:type="dxa"/>
            <w:shd w:val="clear" w:color="auto" w:fill="auto"/>
            <w:noWrap/>
            <w:vAlign w:val="center"/>
            <w:hideMark/>
          </w:tcPr>
          <w:p w14:paraId="3823FE2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0,8999</w:t>
            </w:r>
          </w:p>
        </w:tc>
        <w:tc>
          <w:tcPr>
            <w:tcW w:w="1191" w:type="dxa"/>
            <w:shd w:val="clear" w:color="auto" w:fill="auto"/>
            <w:noWrap/>
            <w:vAlign w:val="center"/>
            <w:hideMark/>
          </w:tcPr>
          <w:p w14:paraId="57D96359"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7,0679</w:t>
            </w:r>
          </w:p>
        </w:tc>
        <w:tc>
          <w:tcPr>
            <w:tcW w:w="1080" w:type="dxa"/>
            <w:shd w:val="clear" w:color="auto" w:fill="auto"/>
            <w:noWrap/>
            <w:vAlign w:val="center"/>
            <w:hideMark/>
          </w:tcPr>
          <w:p w14:paraId="49C536FB"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2,1545</w:t>
            </w:r>
          </w:p>
        </w:tc>
        <w:tc>
          <w:tcPr>
            <w:tcW w:w="805" w:type="dxa"/>
            <w:shd w:val="clear" w:color="auto" w:fill="auto"/>
            <w:noWrap/>
            <w:vAlign w:val="center"/>
            <w:hideMark/>
          </w:tcPr>
          <w:p w14:paraId="2DDB195F"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0,154</w:t>
            </w:r>
          </w:p>
        </w:tc>
        <w:tc>
          <w:tcPr>
            <w:tcW w:w="752" w:type="dxa"/>
            <w:shd w:val="clear" w:color="auto" w:fill="auto"/>
            <w:noWrap/>
            <w:vAlign w:val="center"/>
            <w:hideMark/>
          </w:tcPr>
          <w:p w14:paraId="4969115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0,7495</w:t>
            </w:r>
          </w:p>
        </w:tc>
        <w:tc>
          <w:tcPr>
            <w:tcW w:w="864" w:type="dxa"/>
            <w:shd w:val="clear" w:color="auto" w:fill="auto"/>
            <w:noWrap/>
            <w:vAlign w:val="center"/>
            <w:hideMark/>
          </w:tcPr>
          <w:p w14:paraId="5ECB7A3E"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6,1936</w:t>
            </w:r>
          </w:p>
        </w:tc>
      </w:tr>
      <w:tr w:rsidR="001C4A1E" w:rsidRPr="000A3F11" w14:paraId="15B1548D" w14:textId="77777777" w:rsidTr="00221347">
        <w:trPr>
          <w:trHeight w:val="315"/>
          <w:jc w:val="center"/>
        </w:trPr>
        <w:tc>
          <w:tcPr>
            <w:tcW w:w="1816" w:type="dxa"/>
            <w:shd w:val="clear" w:color="auto" w:fill="auto"/>
            <w:noWrap/>
            <w:vAlign w:val="center"/>
            <w:hideMark/>
          </w:tcPr>
          <w:p w14:paraId="69D6ADFF"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Hipertensão Arterial Sistêmica</w:t>
            </w:r>
          </w:p>
        </w:tc>
        <w:tc>
          <w:tcPr>
            <w:tcW w:w="1167" w:type="dxa"/>
            <w:shd w:val="clear" w:color="auto" w:fill="auto"/>
            <w:noWrap/>
            <w:vAlign w:val="center"/>
            <w:hideMark/>
          </w:tcPr>
          <w:p w14:paraId="6BDDFC21"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 (48,28)</w:t>
            </w:r>
          </w:p>
        </w:tc>
        <w:tc>
          <w:tcPr>
            <w:tcW w:w="752" w:type="dxa"/>
            <w:shd w:val="clear" w:color="auto" w:fill="auto"/>
            <w:noWrap/>
            <w:vAlign w:val="center"/>
            <w:hideMark/>
          </w:tcPr>
          <w:p w14:paraId="3E1E7EC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0,7467</w:t>
            </w:r>
          </w:p>
        </w:tc>
        <w:tc>
          <w:tcPr>
            <w:tcW w:w="908" w:type="dxa"/>
            <w:shd w:val="clear" w:color="auto" w:fill="auto"/>
            <w:noWrap/>
            <w:vAlign w:val="center"/>
            <w:hideMark/>
          </w:tcPr>
          <w:p w14:paraId="32F2EE8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0,516</w:t>
            </w:r>
          </w:p>
        </w:tc>
        <w:tc>
          <w:tcPr>
            <w:tcW w:w="752" w:type="dxa"/>
            <w:shd w:val="clear" w:color="auto" w:fill="auto"/>
            <w:noWrap/>
            <w:vAlign w:val="center"/>
            <w:hideMark/>
          </w:tcPr>
          <w:p w14:paraId="2CB4FD5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0,3092</w:t>
            </w:r>
          </w:p>
        </w:tc>
        <w:tc>
          <w:tcPr>
            <w:tcW w:w="1191" w:type="dxa"/>
            <w:shd w:val="clear" w:color="auto" w:fill="auto"/>
            <w:noWrap/>
            <w:vAlign w:val="center"/>
            <w:hideMark/>
          </w:tcPr>
          <w:p w14:paraId="3667E612"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1,8032</w:t>
            </w:r>
          </w:p>
        </w:tc>
        <w:tc>
          <w:tcPr>
            <w:tcW w:w="1080" w:type="dxa"/>
            <w:shd w:val="clear" w:color="auto" w:fill="auto"/>
            <w:noWrap/>
            <w:vAlign w:val="center"/>
            <w:hideMark/>
          </w:tcPr>
          <w:p w14:paraId="4AF216DB" w14:textId="77777777" w:rsidR="00A378D3" w:rsidRPr="00221347" w:rsidRDefault="00A378D3" w:rsidP="00FD00E1">
            <w:pPr>
              <w:jc w:val="center"/>
              <w:rPr>
                <w:rFonts w:ascii="Arial" w:eastAsia="Times New Roman" w:hAnsi="Arial" w:cs="Arial"/>
                <w:color w:val="000000"/>
                <w:sz w:val="20"/>
                <w:szCs w:val="20"/>
                <w:lang w:eastAsia="pt-BR"/>
              </w:rPr>
            </w:pPr>
          </w:p>
        </w:tc>
        <w:tc>
          <w:tcPr>
            <w:tcW w:w="805" w:type="dxa"/>
            <w:shd w:val="clear" w:color="auto" w:fill="auto"/>
            <w:noWrap/>
            <w:vAlign w:val="center"/>
            <w:hideMark/>
          </w:tcPr>
          <w:p w14:paraId="4463B2FD"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hideMark/>
          </w:tcPr>
          <w:p w14:paraId="3FD66F2C" w14:textId="77777777" w:rsidR="00A378D3" w:rsidRPr="00221347" w:rsidRDefault="00A378D3" w:rsidP="00FD00E1">
            <w:pPr>
              <w:jc w:val="center"/>
              <w:rPr>
                <w:rFonts w:ascii="Arial" w:eastAsia="Times New Roman" w:hAnsi="Arial" w:cs="Arial"/>
                <w:sz w:val="20"/>
                <w:szCs w:val="20"/>
                <w:lang w:eastAsia="pt-BR"/>
              </w:rPr>
            </w:pPr>
          </w:p>
        </w:tc>
        <w:tc>
          <w:tcPr>
            <w:tcW w:w="864" w:type="dxa"/>
            <w:shd w:val="clear" w:color="auto" w:fill="auto"/>
            <w:noWrap/>
            <w:vAlign w:val="center"/>
            <w:hideMark/>
          </w:tcPr>
          <w:p w14:paraId="2073CDF8"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5587679F" w14:textId="77777777" w:rsidTr="00221347">
        <w:trPr>
          <w:trHeight w:val="315"/>
          <w:jc w:val="center"/>
        </w:trPr>
        <w:tc>
          <w:tcPr>
            <w:tcW w:w="1816" w:type="dxa"/>
            <w:shd w:val="clear" w:color="auto" w:fill="auto"/>
            <w:noWrap/>
            <w:vAlign w:val="center"/>
            <w:hideMark/>
          </w:tcPr>
          <w:p w14:paraId="4F055434" w14:textId="77777777" w:rsidR="00A378D3" w:rsidRPr="00221347" w:rsidRDefault="00A378D3"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Desfecho: Óbito</w:t>
            </w:r>
          </w:p>
        </w:tc>
        <w:tc>
          <w:tcPr>
            <w:tcW w:w="1167" w:type="dxa"/>
            <w:shd w:val="clear" w:color="auto" w:fill="auto"/>
            <w:noWrap/>
            <w:vAlign w:val="center"/>
            <w:hideMark/>
          </w:tcPr>
          <w:p w14:paraId="1A7C2476"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44 (100,00)</w:t>
            </w:r>
          </w:p>
        </w:tc>
        <w:tc>
          <w:tcPr>
            <w:tcW w:w="752" w:type="dxa"/>
            <w:shd w:val="clear" w:color="auto" w:fill="auto"/>
            <w:noWrap/>
            <w:vAlign w:val="center"/>
            <w:hideMark/>
          </w:tcPr>
          <w:p w14:paraId="278F86FB" w14:textId="77777777" w:rsidR="00A378D3" w:rsidRPr="00221347" w:rsidRDefault="00A378D3" w:rsidP="00FD00E1">
            <w:pPr>
              <w:jc w:val="center"/>
              <w:rPr>
                <w:rFonts w:ascii="Arial" w:eastAsia="Times New Roman" w:hAnsi="Arial" w:cs="Arial"/>
                <w:color w:val="000000"/>
                <w:sz w:val="20"/>
                <w:szCs w:val="20"/>
                <w:lang w:eastAsia="pt-BR"/>
              </w:rPr>
            </w:pPr>
          </w:p>
        </w:tc>
        <w:tc>
          <w:tcPr>
            <w:tcW w:w="908" w:type="dxa"/>
            <w:shd w:val="clear" w:color="auto" w:fill="auto"/>
            <w:noWrap/>
            <w:vAlign w:val="center"/>
            <w:hideMark/>
          </w:tcPr>
          <w:p w14:paraId="483A02EE"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hideMark/>
          </w:tcPr>
          <w:p w14:paraId="748F43B1" w14:textId="77777777" w:rsidR="00A378D3" w:rsidRPr="00221347" w:rsidRDefault="00A378D3" w:rsidP="00FD00E1">
            <w:pPr>
              <w:jc w:val="center"/>
              <w:rPr>
                <w:rFonts w:ascii="Arial" w:eastAsia="Times New Roman" w:hAnsi="Arial" w:cs="Arial"/>
                <w:sz w:val="20"/>
                <w:szCs w:val="20"/>
                <w:lang w:eastAsia="pt-BR"/>
              </w:rPr>
            </w:pPr>
          </w:p>
        </w:tc>
        <w:tc>
          <w:tcPr>
            <w:tcW w:w="1191" w:type="dxa"/>
            <w:shd w:val="clear" w:color="auto" w:fill="auto"/>
            <w:noWrap/>
            <w:vAlign w:val="center"/>
            <w:hideMark/>
          </w:tcPr>
          <w:p w14:paraId="3724D855" w14:textId="77777777" w:rsidR="00A378D3" w:rsidRPr="00221347" w:rsidRDefault="00A378D3" w:rsidP="00FD00E1">
            <w:pPr>
              <w:jc w:val="center"/>
              <w:rPr>
                <w:rFonts w:ascii="Arial" w:eastAsia="Times New Roman" w:hAnsi="Arial" w:cs="Arial"/>
                <w:sz w:val="20"/>
                <w:szCs w:val="20"/>
                <w:lang w:eastAsia="pt-BR"/>
              </w:rPr>
            </w:pPr>
          </w:p>
        </w:tc>
        <w:tc>
          <w:tcPr>
            <w:tcW w:w="1080" w:type="dxa"/>
            <w:shd w:val="clear" w:color="auto" w:fill="auto"/>
            <w:noWrap/>
            <w:vAlign w:val="center"/>
            <w:hideMark/>
          </w:tcPr>
          <w:p w14:paraId="1B8C189C" w14:textId="77777777" w:rsidR="00A378D3" w:rsidRPr="00221347" w:rsidRDefault="00A378D3" w:rsidP="00FD00E1">
            <w:pPr>
              <w:jc w:val="center"/>
              <w:rPr>
                <w:rFonts w:ascii="Arial" w:eastAsia="Times New Roman" w:hAnsi="Arial" w:cs="Arial"/>
                <w:sz w:val="20"/>
                <w:szCs w:val="20"/>
                <w:lang w:eastAsia="pt-BR"/>
              </w:rPr>
            </w:pPr>
          </w:p>
        </w:tc>
        <w:tc>
          <w:tcPr>
            <w:tcW w:w="805" w:type="dxa"/>
            <w:shd w:val="clear" w:color="auto" w:fill="auto"/>
            <w:noWrap/>
            <w:vAlign w:val="center"/>
            <w:hideMark/>
          </w:tcPr>
          <w:p w14:paraId="6898E971"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hideMark/>
          </w:tcPr>
          <w:p w14:paraId="4D408CE9" w14:textId="77777777" w:rsidR="00A378D3" w:rsidRPr="00221347" w:rsidRDefault="00A378D3" w:rsidP="00FD00E1">
            <w:pPr>
              <w:jc w:val="center"/>
              <w:rPr>
                <w:rFonts w:ascii="Arial" w:eastAsia="Times New Roman" w:hAnsi="Arial" w:cs="Arial"/>
                <w:sz w:val="20"/>
                <w:szCs w:val="20"/>
                <w:lang w:eastAsia="pt-BR"/>
              </w:rPr>
            </w:pPr>
          </w:p>
        </w:tc>
        <w:tc>
          <w:tcPr>
            <w:tcW w:w="864" w:type="dxa"/>
            <w:shd w:val="clear" w:color="auto" w:fill="auto"/>
            <w:noWrap/>
            <w:vAlign w:val="center"/>
            <w:hideMark/>
          </w:tcPr>
          <w:p w14:paraId="406A9FF6"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19542CB3" w14:textId="77777777" w:rsidTr="00221347">
        <w:trPr>
          <w:trHeight w:val="315"/>
          <w:jc w:val="center"/>
        </w:trPr>
        <w:tc>
          <w:tcPr>
            <w:tcW w:w="1816" w:type="dxa"/>
            <w:shd w:val="clear" w:color="auto" w:fill="auto"/>
            <w:noWrap/>
            <w:vAlign w:val="center"/>
            <w:hideMark/>
          </w:tcPr>
          <w:p w14:paraId="469F3500"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 xml:space="preserve">Hepatopatia </w:t>
            </w:r>
            <w:proofErr w:type="spellStart"/>
            <w:r w:rsidRPr="00221347">
              <w:rPr>
                <w:rFonts w:ascii="Arial" w:eastAsia="Times New Roman" w:hAnsi="Arial" w:cs="Arial"/>
                <w:color w:val="000000"/>
                <w:sz w:val="20"/>
                <w:szCs w:val="20"/>
                <w:lang w:eastAsia="pt-BR"/>
              </w:rPr>
              <w:t>Viral</w:t>
            </w:r>
            <w:r w:rsidRPr="00221347">
              <w:rPr>
                <w:rFonts w:ascii="Arial" w:eastAsia="Times New Roman" w:hAnsi="Arial" w:cs="Arial"/>
                <w:color w:val="000000"/>
                <w:sz w:val="20"/>
                <w:szCs w:val="20"/>
                <w:vertAlign w:val="superscript"/>
                <w:lang w:eastAsia="pt-BR"/>
              </w:rPr>
              <w:t>a</w:t>
            </w:r>
            <w:proofErr w:type="spellEnd"/>
          </w:p>
        </w:tc>
        <w:tc>
          <w:tcPr>
            <w:tcW w:w="1167" w:type="dxa"/>
            <w:shd w:val="clear" w:color="auto" w:fill="auto"/>
            <w:noWrap/>
            <w:vAlign w:val="center"/>
            <w:hideMark/>
          </w:tcPr>
          <w:p w14:paraId="64C10C9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 (50,00)</w:t>
            </w:r>
          </w:p>
        </w:tc>
        <w:tc>
          <w:tcPr>
            <w:tcW w:w="752" w:type="dxa"/>
            <w:shd w:val="clear" w:color="auto" w:fill="auto"/>
            <w:noWrap/>
            <w:vAlign w:val="center"/>
            <w:hideMark/>
          </w:tcPr>
          <w:p w14:paraId="5D0D5459"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0,4539</w:t>
            </w:r>
          </w:p>
        </w:tc>
        <w:tc>
          <w:tcPr>
            <w:tcW w:w="908" w:type="dxa"/>
            <w:shd w:val="clear" w:color="auto" w:fill="auto"/>
            <w:noWrap/>
            <w:vAlign w:val="center"/>
            <w:hideMark/>
          </w:tcPr>
          <w:p w14:paraId="6369C37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0,085</w:t>
            </w:r>
          </w:p>
        </w:tc>
        <w:tc>
          <w:tcPr>
            <w:tcW w:w="752" w:type="dxa"/>
            <w:shd w:val="clear" w:color="auto" w:fill="auto"/>
            <w:noWrap/>
            <w:vAlign w:val="center"/>
            <w:hideMark/>
          </w:tcPr>
          <w:p w14:paraId="6B7C3345"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0,1846</w:t>
            </w:r>
          </w:p>
        </w:tc>
        <w:tc>
          <w:tcPr>
            <w:tcW w:w="1191" w:type="dxa"/>
            <w:shd w:val="clear" w:color="auto" w:fill="auto"/>
            <w:noWrap/>
            <w:vAlign w:val="center"/>
            <w:hideMark/>
          </w:tcPr>
          <w:p w14:paraId="16C7E11E"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1,1161</w:t>
            </w:r>
          </w:p>
        </w:tc>
        <w:tc>
          <w:tcPr>
            <w:tcW w:w="1080" w:type="dxa"/>
            <w:shd w:val="clear" w:color="auto" w:fill="auto"/>
            <w:noWrap/>
            <w:vAlign w:val="center"/>
            <w:hideMark/>
          </w:tcPr>
          <w:p w14:paraId="0D1409E7"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0,6129</w:t>
            </w:r>
          </w:p>
        </w:tc>
        <w:tc>
          <w:tcPr>
            <w:tcW w:w="805" w:type="dxa"/>
            <w:shd w:val="clear" w:color="auto" w:fill="auto"/>
            <w:noWrap/>
            <w:vAlign w:val="center"/>
            <w:hideMark/>
          </w:tcPr>
          <w:p w14:paraId="54CC99C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0,331</w:t>
            </w:r>
          </w:p>
        </w:tc>
        <w:tc>
          <w:tcPr>
            <w:tcW w:w="752" w:type="dxa"/>
            <w:shd w:val="clear" w:color="auto" w:fill="auto"/>
            <w:noWrap/>
            <w:vAlign w:val="center"/>
            <w:hideMark/>
          </w:tcPr>
          <w:p w14:paraId="4833CC8B"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0,2286</w:t>
            </w:r>
          </w:p>
        </w:tc>
        <w:tc>
          <w:tcPr>
            <w:tcW w:w="864" w:type="dxa"/>
            <w:shd w:val="clear" w:color="auto" w:fill="auto"/>
            <w:noWrap/>
            <w:vAlign w:val="center"/>
            <w:hideMark/>
          </w:tcPr>
          <w:p w14:paraId="063AD042"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1,6436</w:t>
            </w:r>
          </w:p>
        </w:tc>
      </w:tr>
      <w:tr w:rsidR="001C4A1E" w:rsidRPr="000A3F11" w14:paraId="1E4FA5C3" w14:textId="77777777" w:rsidTr="00221347">
        <w:trPr>
          <w:trHeight w:val="315"/>
          <w:jc w:val="center"/>
        </w:trPr>
        <w:tc>
          <w:tcPr>
            <w:tcW w:w="1816" w:type="dxa"/>
            <w:shd w:val="clear" w:color="auto" w:fill="auto"/>
            <w:noWrap/>
            <w:vAlign w:val="center"/>
            <w:hideMark/>
          </w:tcPr>
          <w:p w14:paraId="4D4395C2"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 xml:space="preserve">Hepatopatia </w:t>
            </w:r>
            <w:proofErr w:type="spellStart"/>
            <w:r w:rsidRPr="00221347">
              <w:rPr>
                <w:rFonts w:ascii="Arial" w:eastAsia="Times New Roman" w:hAnsi="Arial" w:cs="Arial"/>
                <w:color w:val="000000"/>
                <w:sz w:val="20"/>
                <w:szCs w:val="20"/>
                <w:lang w:eastAsia="pt-BR"/>
              </w:rPr>
              <w:t>Mista</w:t>
            </w:r>
            <w:r w:rsidRPr="00221347">
              <w:rPr>
                <w:rFonts w:ascii="Arial" w:eastAsia="Times New Roman" w:hAnsi="Arial" w:cs="Arial"/>
                <w:color w:val="000000"/>
                <w:sz w:val="20"/>
                <w:szCs w:val="20"/>
                <w:vertAlign w:val="superscript"/>
                <w:lang w:eastAsia="pt-BR"/>
              </w:rPr>
              <w:t>a</w:t>
            </w:r>
            <w:proofErr w:type="spellEnd"/>
          </w:p>
        </w:tc>
        <w:tc>
          <w:tcPr>
            <w:tcW w:w="1167" w:type="dxa"/>
            <w:shd w:val="clear" w:color="auto" w:fill="auto"/>
            <w:noWrap/>
            <w:vAlign w:val="center"/>
            <w:hideMark/>
          </w:tcPr>
          <w:p w14:paraId="34D51F4D"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 (06,82)</w:t>
            </w:r>
          </w:p>
        </w:tc>
        <w:tc>
          <w:tcPr>
            <w:tcW w:w="752" w:type="dxa"/>
            <w:shd w:val="clear" w:color="auto" w:fill="auto"/>
            <w:noWrap/>
            <w:vAlign w:val="center"/>
            <w:hideMark/>
          </w:tcPr>
          <w:p w14:paraId="6F1E8F0F"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0,6316</w:t>
            </w:r>
          </w:p>
        </w:tc>
        <w:tc>
          <w:tcPr>
            <w:tcW w:w="908" w:type="dxa"/>
            <w:shd w:val="clear" w:color="auto" w:fill="auto"/>
            <w:noWrap/>
            <w:vAlign w:val="center"/>
            <w:hideMark/>
          </w:tcPr>
          <w:p w14:paraId="0263143C"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0,608</w:t>
            </w:r>
          </w:p>
        </w:tc>
        <w:tc>
          <w:tcPr>
            <w:tcW w:w="752" w:type="dxa"/>
            <w:shd w:val="clear" w:color="auto" w:fill="auto"/>
            <w:noWrap/>
            <w:vAlign w:val="center"/>
            <w:hideMark/>
          </w:tcPr>
          <w:p w14:paraId="2E0BF6EC"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0,1091</w:t>
            </w:r>
          </w:p>
        </w:tc>
        <w:tc>
          <w:tcPr>
            <w:tcW w:w="1191" w:type="dxa"/>
            <w:shd w:val="clear" w:color="auto" w:fill="auto"/>
            <w:noWrap/>
            <w:vAlign w:val="center"/>
            <w:hideMark/>
          </w:tcPr>
          <w:p w14:paraId="1C0C8D4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3,6561</w:t>
            </w:r>
          </w:p>
        </w:tc>
        <w:tc>
          <w:tcPr>
            <w:tcW w:w="1080" w:type="dxa"/>
            <w:shd w:val="clear" w:color="auto" w:fill="auto"/>
            <w:noWrap/>
            <w:vAlign w:val="center"/>
            <w:hideMark/>
          </w:tcPr>
          <w:p w14:paraId="2893FF6F" w14:textId="77777777" w:rsidR="00A378D3" w:rsidRPr="00221347" w:rsidRDefault="00A378D3" w:rsidP="00FD00E1">
            <w:pPr>
              <w:jc w:val="center"/>
              <w:rPr>
                <w:rFonts w:ascii="Arial" w:eastAsia="Times New Roman" w:hAnsi="Arial" w:cs="Arial"/>
                <w:color w:val="000000"/>
                <w:sz w:val="20"/>
                <w:szCs w:val="20"/>
                <w:lang w:eastAsia="pt-BR"/>
              </w:rPr>
            </w:pPr>
          </w:p>
        </w:tc>
        <w:tc>
          <w:tcPr>
            <w:tcW w:w="805" w:type="dxa"/>
            <w:shd w:val="clear" w:color="auto" w:fill="auto"/>
            <w:noWrap/>
            <w:vAlign w:val="center"/>
            <w:hideMark/>
          </w:tcPr>
          <w:p w14:paraId="50BB12B9" w14:textId="77777777" w:rsidR="00A378D3" w:rsidRPr="00221347" w:rsidRDefault="00A378D3" w:rsidP="00FD00E1">
            <w:pPr>
              <w:jc w:val="center"/>
              <w:rPr>
                <w:rFonts w:ascii="Arial" w:eastAsia="Times New Roman" w:hAnsi="Arial" w:cs="Arial"/>
                <w:sz w:val="20"/>
                <w:szCs w:val="20"/>
                <w:lang w:eastAsia="pt-BR"/>
              </w:rPr>
            </w:pPr>
          </w:p>
        </w:tc>
        <w:tc>
          <w:tcPr>
            <w:tcW w:w="752" w:type="dxa"/>
            <w:shd w:val="clear" w:color="auto" w:fill="auto"/>
            <w:noWrap/>
            <w:vAlign w:val="center"/>
            <w:hideMark/>
          </w:tcPr>
          <w:p w14:paraId="33CA3566" w14:textId="77777777" w:rsidR="00A378D3" w:rsidRPr="00221347" w:rsidRDefault="00A378D3" w:rsidP="00FD00E1">
            <w:pPr>
              <w:jc w:val="center"/>
              <w:rPr>
                <w:rFonts w:ascii="Arial" w:eastAsia="Times New Roman" w:hAnsi="Arial" w:cs="Arial"/>
                <w:sz w:val="20"/>
                <w:szCs w:val="20"/>
                <w:lang w:eastAsia="pt-BR"/>
              </w:rPr>
            </w:pPr>
          </w:p>
        </w:tc>
        <w:tc>
          <w:tcPr>
            <w:tcW w:w="864" w:type="dxa"/>
            <w:shd w:val="clear" w:color="auto" w:fill="auto"/>
            <w:noWrap/>
            <w:vAlign w:val="center"/>
            <w:hideMark/>
          </w:tcPr>
          <w:p w14:paraId="6F6F5CFF" w14:textId="77777777" w:rsidR="00A378D3" w:rsidRPr="00221347" w:rsidRDefault="00A378D3" w:rsidP="00FD00E1">
            <w:pPr>
              <w:jc w:val="center"/>
              <w:rPr>
                <w:rFonts w:ascii="Arial" w:eastAsia="Times New Roman" w:hAnsi="Arial" w:cs="Arial"/>
                <w:sz w:val="20"/>
                <w:szCs w:val="20"/>
                <w:lang w:eastAsia="pt-BR"/>
              </w:rPr>
            </w:pPr>
          </w:p>
        </w:tc>
      </w:tr>
      <w:tr w:rsidR="001C4A1E" w:rsidRPr="000A3F11" w14:paraId="23552F55" w14:textId="77777777" w:rsidTr="00221347">
        <w:trPr>
          <w:trHeight w:val="315"/>
          <w:jc w:val="center"/>
        </w:trPr>
        <w:tc>
          <w:tcPr>
            <w:tcW w:w="1816" w:type="dxa"/>
            <w:shd w:val="clear" w:color="auto" w:fill="auto"/>
            <w:noWrap/>
            <w:vAlign w:val="center"/>
            <w:hideMark/>
          </w:tcPr>
          <w:p w14:paraId="7096FEE1"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Sexo Masculino</w:t>
            </w:r>
          </w:p>
        </w:tc>
        <w:tc>
          <w:tcPr>
            <w:tcW w:w="1167" w:type="dxa"/>
            <w:shd w:val="clear" w:color="auto" w:fill="auto"/>
            <w:noWrap/>
            <w:vAlign w:val="center"/>
            <w:hideMark/>
          </w:tcPr>
          <w:p w14:paraId="6BBD042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29 (65,91)</w:t>
            </w:r>
          </w:p>
        </w:tc>
        <w:tc>
          <w:tcPr>
            <w:tcW w:w="752" w:type="dxa"/>
            <w:shd w:val="clear" w:color="auto" w:fill="auto"/>
            <w:noWrap/>
            <w:vAlign w:val="center"/>
            <w:hideMark/>
          </w:tcPr>
          <w:p w14:paraId="4D556DA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0,2381</w:t>
            </w:r>
          </w:p>
        </w:tc>
        <w:tc>
          <w:tcPr>
            <w:tcW w:w="908" w:type="dxa"/>
            <w:shd w:val="clear" w:color="auto" w:fill="auto"/>
            <w:noWrap/>
            <w:vAlign w:val="center"/>
            <w:hideMark/>
          </w:tcPr>
          <w:p w14:paraId="615BF0D6"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0,012</w:t>
            </w:r>
          </w:p>
        </w:tc>
        <w:tc>
          <w:tcPr>
            <w:tcW w:w="752" w:type="dxa"/>
            <w:shd w:val="clear" w:color="auto" w:fill="auto"/>
            <w:noWrap/>
            <w:vAlign w:val="center"/>
            <w:hideMark/>
          </w:tcPr>
          <w:p w14:paraId="1F332DCB"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0,0781</w:t>
            </w:r>
          </w:p>
        </w:tc>
        <w:tc>
          <w:tcPr>
            <w:tcW w:w="1191" w:type="dxa"/>
            <w:shd w:val="clear" w:color="auto" w:fill="auto"/>
            <w:noWrap/>
            <w:vAlign w:val="center"/>
            <w:hideMark/>
          </w:tcPr>
          <w:p w14:paraId="09707561"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0,7263</w:t>
            </w:r>
          </w:p>
        </w:tc>
        <w:tc>
          <w:tcPr>
            <w:tcW w:w="1080" w:type="dxa"/>
            <w:shd w:val="clear" w:color="auto" w:fill="auto"/>
            <w:noWrap/>
            <w:vAlign w:val="center"/>
            <w:hideMark/>
          </w:tcPr>
          <w:p w14:paraId="3A53B94B"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0,2189</w:t>
            </w:r>
          </w:p>
        </w:tc>
        <w:tc>
          <w:tcPr>
            <w:tcW w:w="805" w:type="dxa"/>
            <w:shd w:val="clear" w:color="auto" w:fill="auto"/>
            <w:noWrap/>
            <w:vAlign w:val="center"/>
            <w:hideMark/>
          </w:tcPr>
          <w:p w14:paraId="38F84EC9"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0,018*</w:t>
            </w:r>
          </w:p>
        </w:tc>
        <w:tc>
          <w:tcPr>
            <w:tcW w:w="752" w:type="dxa"/>
            <w:shd w:val="clear" w:color="auto" w:fill="auto"/>
            <w:noWrap/>
            <w:vAlign w:val="center"/>
            <w:hideMark/>
          </w:tcPr>
          <w:p w14:paraId="28F33503"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0,0624</w:t>
            </w:r>
          </w:p>
        </w:tc>
        <w:tc>
          <w:tcPr>
            <w:tcW w:w="864" w:type="dxa"/>
            <w:shd w:val="clear" w:color="auto" w:fill="auto"/>
            <w:noWrap/>
            <w:vAlign w:val="center"/>
            <w:hideMark/>
          </w:tcPr>
          <w:p w14:paraId="15456C37"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0,7683</w:t>
            </w:r>
          </w:p>
        </w:tc>
      </w:tr>
      <w:tr w:rsidR="001C4A1E" w:rsidRPr="000A3F11" w14:paraId="305FA21E" w14:textId="77777777" w:rsidTr="00221347">
        <w:trPr>
          <w:trHeight w:val="315"/>
          <w:jc w:val="center"/>
        </w:trPr>
        <w:tc>
          <w:tcPr>
            <w:tcW w:w="1816" w:type="dxa"/>
            <w:shd w:val="clear" w:color="auto" w:fill="auto"/>
            <w:noWrap/>
            <w:vAlign w:val="center"/>
            <w:hideMark/>
          </w:tcPr>
          <w:p w14:paraId="16058FF2"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Tabagismo</w:t>
            </w:r>
          </w:p>
        </w:tc>
        <w:tc>
          <w:tcPr>
            <w:tcW w:w="1167" w:type="dxa"/>
            <w:shd w:val="clear" w:color="auto" w:fill="auto"/>
            <w:noWrap/>
            <w:vAlign w:val="center"/>
            <w:hideMark/>
          </w:tcPr>
          <w:p w14:paraId="6E6FF600"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24 (82,76)</w:t>
            </w:r>
          </w:p>
        </w:tc>
        <w:tc>
          <w:tcPr>
            <w:tcW w:w="752" w:type="dxa"/>
            <w:shd w:val="clear" w:color="auto" w:fill="auto"/>
            <w:noWrap/>
            <w:vAlign w:val="center"/>
            <w:hideMark/>
          </w:tcPr>
          <w:p w14:paraId="583D5BF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0,3819</w:t>
            </w:r>
          </w:p>
        </w:tc>
        <w:tc>
          <w:tcPr>
            <w:tcW w:w="908" w:type="dxa"/>
            <w:shd w:val="clear" w:color="auto" w:fill="auto"/>
            <w:noWrap/>
            <w:vAlign w:val="center"/>
            <w:hideMark/>
          </w:tcPr>
          <w:p w14:paraId="44FD8684"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0,035</w:t>
            </w:r>
          </w:p>
        </w:tc>
        <w:tc>
          <w:tcPr>
            <w:tcW w:w="752" w:type="dxa"/>
            <w:shd w:val="clear" w:color="auto" w:fill="auto"/>
            <w:noWrap/>
            <w:vAlign w:val="center"/>
            <w:hideMark/>
          </w:tcPr>
          <w:p w14:paraId="4D1E5ED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0,156</w:t>
            </w:r>
          </w:p>
        </w:tc>
        <w:tc>
          <w:tcPr>
            <w:tcW w:w="1191" w:type="dxa"/>
            <w:shd w:val="clear" w:color="auto" w:fill="auto"/>
            <w:noWrap/>
            <w:vAlign w:val="center"/>
            <w:hideMark/>
          </w:tcPr>
          <w:p w14:paraId="2129B66D"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0,9351</w:t>
            </w:r>
          </w:p>
        </w:tc>
        <w:tc>
          <w:tcPr>
            <w:tcW w:w="1080" w:type="dxa"/>
            <w:shd w:val="clear" w:color="auto" w:fill="auto"/>
            <w:noWrap/>
            <w:vAlign w:val="center"/>
            <w:hideMark/>
          </w:tcPr>
          <w:p w14:paraId="5848364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0,5707</w:t>
            </w:r>
          </w:p>
        </w:tc>
        <w:tc>
          <w:tcPr>
            <w:tcW w:w="805" w:type="dxa"/>
            <w:shd w:val="clear" w:color="auto" w:fill="auto"/>
            <w:noWrap/>
            <w:vAlign w:val="center"/>
            <w:hideMark/>
          </w:tcPr>
          <w:p w14:paraId="65575B52"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0,282</w:t>
            </w:r>
          </w:p>
        </w:tc>
        <w:tc>
          <w:tcPr>
            <w:tcW w:w="752" w:type="dxa"/>
            <w:shd w:val="clear" w:color="auto" w:fill="auto"/>
            <w:noWrap/>
            <w:vAlign w:val="center"/>
            <w:hideMark/>
          </w:tcPr>
          <w:p w14:paraId="6357399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0,2053</w:t>
            </w:r>
          </w:p>
        </w:tc>
        <w:tc>
          <w:tcPr>
            <w:tcW w:w="864" w:type="dxa"/>
            <w:shd w:val="clear" w:color="auto" w:fill="auto"/>
            <w:noWrap/>
            <w:vAlign w:val="center"/>
            <w:hideMark/>
          </w:tcPr>
          <w:p w14:paraId="2449702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1,5865</w:t>
            </w:r>
          </w:p>
        </w:tc>
      </w:tr>
      <w:tr w:rsidR="001C4A1E" w:rsidRPr="000A3F11" w14:paraId="518CB331" w14:textId="77777777" w:rsidTr="00221347">
        <w:trPr>
          <w:trHeight w:val="315"/>
          <w:jc w:val="center"/>
        </w:trPr>
        <w:tc>
          <w:tcPr>
            <w:tcW w:w="1816" w:type="dxa"/>
            <w:shd w:val="clear" w:color="auto" w:fill="auto"/>
            <w:noWrap/>
            <w:vAlign w:val="center"/>
            <w:hideMark/>
          </w:tcPr>
          <w:p w14:paraId="5FDB239A" w14:textId="77777777" w:rsidR="00A378D3" w:rsidRPr="00221347" w:rsidRDefault="00A378D3"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Hipertensão Arterial Sistêmica</w:t>
            </w:r>
          </w:p>
        </w:tc>
        <w:tc>
          <w:tcPr>
            <w:tcW w:w="1167" w:type="dxa"/>
            <w:shd w:val="clear" w:color="auto" w:fill="auto"/>
            <w:noWrap/>
            <w:vAlign w:val="center"/>
            <w:hideMark/>
          </w:tcPr>
          <w:p w14:paraId="74F1A87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28 (96,55)</w:t>
            </w:r>
          </w:p>
        </w:tc>
        <w:tc>
          <w:tcPr>
            <w:tcW w:w="752" w:type="dxa"/>
            <w:shd w:val="clear" w:color="auto" w:fill="auto"/>
            <w:noWrap/>
            <w:vAlign w:val="center"/>
            <w:hideMark/>
          </w:tcPr>
          <w:p w14:paraId="75D85E5A"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2,4469</w:t>
            </w:r>
          </w:p>
        </w:tc>
        <w:tc>
          <w:tcPr>
            <w:tcW w:w="908" w:type="dxa"/>
            <w:shd w:val="clear" w:color="auto" w:fill="auto"/>
            <w:noWrap/>
            <w:vAlign w:val="center"/>
            <w:hideMark/>
          </w:tcPr>
          <w:p w14:paraId="08A89869" w14:textId="77777777" w:rsidR="00A378D3" w:rsidRPr="00221347" w:rsidRDefault="00A378D3"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0,037</w:t>
            </w:r>
          </w:p>
        </w:tc>
        <w:tc>
          <w:tcPr>
            <w:tcW w:w="752" w:type="dxa"/>
            <w:shd w:val="clear" w:color="auto" w:fill="auto"/>
            <w:noWrap/>
            <w:vAlign w:val="center"/>
            <w:hideMark/>
          </w:tcPr>
          <w:p w14:paraId="46EBB56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1,0555</w:t>
            </w:r>
          </w:p>
        </w:tc>
        <w:tc>
          <w:tcPr>
            <w:tcW w:w="1191" w:type="dxa"/>
            <w:shd w:val="clear" w:color="auto" w:fill="auto"/>
            <w:noWrap/>
            <w:vAlign w:val="center"/>
            <w:hideMark/>
          </w:tcPr>
          <w:p w14:paraId="5B9B38A3"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5,6723</w:t>
            </w:r>
          </w:p>
        </w:tc>
        <w:tc>
          <w:tcPr>
            <w:tcW w:w="1080" w:type="dxa"/>
            <w:shd w:val="clear" w:color="auto" w:fill="auto"/>
            <w:noWrap/>
            <w:vAlign w:val="center"/>
            <w:hideMark/>
          </w:tcPr>
          <w:p w14:paraId="6CD8A798"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2,2846</w:t>
            </w:r>
          </w:p>
        </w:tc>
        <w:tc>
          <w:tcPr>
            <w:tcW w:w="805" w:type="dxa"/>
            <w:shd w:val="clear" w:color="auto" w:fill="auto"/>
            <w:noWrap/>
            <w:vAlign w:val="center"/>
            <w:hideMark/>
          </w:tcPr>
          <w:p w14:paraId="4EA25F04"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0,084</w:t>
            </w:r>
          </w:p>
        </w:tc>
        <w:tc>
          <w:tcPr>
            <w:tcW w:w="752" w:type="dxa"/>
            <w:shd w:val="clear" w:color="auto" w:fill="auto"/>
            <w:noWrap/>
            <w:vAlign w:val="center"/>
            <w:hideMark/>
          </w:tcPr>
          <w:p w14:paraId="4623EC67"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0,8957</w:t>
            </w:r>
          </w:p>
        </w:tc>
        <w:tc>
          <w:tcPr>
            <w:tcW w:w="864" w:type="dxa"/>
            <w:shd w:val="clear" w:color="auto" w:fill="auto"/>
            <w:noWrap/>
            <w:vAlign w:val="center"/>
            <w:hideMark/>
          </w:tcPr>
          <w:p w14:paraId="6B30FDFD" w14:textId="77777777" w:rsidR="00A378D3" w:rsidRPr="00221347" w:rsidRDefault="00A378D3"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5,8275</w:t>
            </w:r>
          </w:p>
        </w:tc>
      </w:tr>
    </w:tbl>
    <w:p w14:paraId="5177A94B" w14:textId="3E9B00B2" w:rsidR="00A378D3" w:rsidRPr="00221347" w:rsidRDefault="00A378D3" w:rsidP="00A378D3">
      <w:pPr>
        <w:rPr>
          <w:rFonts w:ascii="Arial" w:eastAsia="Times New Roman" w:hAnsi="Arial" w:cs="Arial"/>
          <w:color w:val="000000" w:themeColor="text1"/>
          <w:sz w:val="20"/>
          <w:szCs w:val="20"/>
          <w:lang w:eastAsia="pt-BR"/>
        </w:rPr>
      </w:pPr>
      <w:proofErr w:type="spellStart"/>
      <w:r w:rsidRPr="00221347">
        <w:rPr>
          <w:rFonts w:ascii="Arial" w:hAnsi="Arial" w:cs="Arial"/>
          <w:sz w:val="20"/>
          <w:szCs w:val="20"/>
          <w:vertAlign w:val="superscript"/>
        </w:rPr>
        <w:t>a</w:t>
      </w:r>
      <w:r w:rsidRPr="00221347">
        <w:rPr>
          <w:rFonts w:ascii="Arial" w:hAnsi="Arial" w:cs="Arial"/>
          <w:sz w:val="20"/>
          <w:szCs w:val="20"/>
        </w:rPr>
        <w:t>Referência</w:t>
      </w:r>
      <w:proofErr w:type="spellEnd"/>
      <w:r w:rsidRPr="00221347">
        <w:rPr>
          <w:rFonts w:ascii="Arial" w:hAnsi="Arial" w:cs="Arial"/>
          <w:sz w:val="20"/>
          <w:szCs w:val="20"/>
        </w:rPr>
        <w:t xml:space="preserve">: </w:t>
      </w:r>
      <w:proofErr w:type="spellStart"/>
      <w:r w:rsidRPr="00221347">
        <w:rPr>
          <w:rFonts w:ascii="Arial" w:hAnsi="Arial" w:cs="Arial"/>
          <w:sz w:val="20"/>
          <w:szCs w:val="20"/>
        </w:rPr>
        <w:t>hepatocarcinoma</w:t>
      </w:r>
      <w:proofErr w:type="spellEnd"/>
      <w:r w:rsidRPr="00221347">
        <w:rPr>
          <w:rFonts w:ascii="Arial" w:hAnsi="Arial" w:cs="Arial"/>
          <w:sz w:val="20"/>
          <w:szCs w:val="20"/>
        </w:rPr>
        <w:t xml:space="preserve"> por etiologia não viral,</w:t>
      </w:r>
      <w:r w:rsidRPr="00221347">
        <w:rPr>
          <w:rFonts w:ascii="Arial" w:hAnsi="Arial" w:cs="Arial"/>
          <w:sz w:val="20"/>
          <w:szCs w:val="20"/>
        </w:rPr>
        <w:br/>
      </w:r>
      <w:r w:rsidRPr="00221347">
        <w:rPr>
          <w:rFonts w:ascii="Arial" w:eastAsia="Times New Roman" w:hAnsi="Arial" w:cs="Arial"/>
          <w:color w:val="000000" w:themeColor="text1"/>
          <w:sz w:val="20"/>
          <w:szCs w:val="20"/>
          <w:vertAlign w:val="superscript"/>
          <w:lang w:eastAsia="pt-BR"/>
        </w:rPr>
        <w:t>*</w:t>
      </w:r>
      <w:r w:rsidRPr="00221347">
        <w:rPr>
          <w:rFonts w:ascii="Arial" w:eastAsia="Times New Roman" w:hAnsi="Arial" w:cs="Arial"/>
          <w:color w:val="000000" w:themeColor="text1"/>
          <w:sz w:val="20"/>
          <w:szCs w:val="20"/>
          <w:lang w:eastAsia="pt-BR"/>
        </w:rPr>
        <w:t xml:space="preserve">Estatísticas de colinearidade: tolerância &gt; 0,1 e VIF &lt;10; Teste de </w:t>
      </w:r>
      <w:proofErr w:type="spellStart"/>
      <w:r w:rsidRPr="00221347">
        <w:rPr>
          <w:rFonts w:ascii="Arial" w:eastAsia="Times New Roman" w:hAnsi="Arial" w:cs="Arial"/>
          <w:color w:val="000000" w:themeColor="text1"/>
          <w:sz w:val="20"/>
          <w:szCs w:val="20"/>
          <w:lang w:eastAsia="pt-BR"/>
        </w:rPr>
        <w:t>Hosmer</w:t>
      </w:r>
      <w:proofErr w:type="spellEnd"/>
      <w:r w:rsidRPr="00221347">
        <w:rPr>
          <w:rFonts w:ascii="Arial" w:eastAsia="Times New Roman" w:hAnsi="Arial" w:cs="Arial"/>
          <w:color w:val="000000" w:themeColor="text1"/>
          <w:sz w:val="20"/>
          <w:szCs w:val="20"/>
          <w:lang w:eastAsia="pt-BR"/>
        </w:rPr>
        <w:t xml:space="preserve"> e </w:t>
      </w:r>
      <w:proofErr w:type="spellStart"/>
      <w:r w:rsidRPr="00221347">
        <w:rPr>
          <w:rFonts w:ascii="Arial" w:eastAsia="Times New Roman" w:hAnsi="Arial" w:cs="Arial"/>
          <w:color w:val="000000" w:themeColor="text1"/>
          <w:sz w:val="20"/>
          <w:szCs w:val="20"/>
          <w:lang w:eastAsia="pt-BR"/>
        </w:rPr>
        <w:t>Lemeshow</w:t>
      </w:r>
      <w:proofErr w:type="spellEnd"/>
      <w:r w:rsidRPr="00221347">
        <w:rPr>
          <w:rFonts w:ascii="Arial" w:eastAsia="Times New Roman" w:hAnsi="Arial" w:cs="Arial"/>
          <w:color w:val="000000" w:themeColor="text1"/>
          <w:sz w:val="20"/>
          <w:szCs w:val="20"/>
          <w:lang w:eastAsia="pt-BR"/>
        </w:rPr>
        <w:t xml:space="preserve">: p=0,181; R² de </w:t>
      </w:r>
      <w:proofErr w:type="spellStart"/>
      <w:r w:rsidRPr="00221347">
        <w:rPr>
          <w:rFonts w:ascii="Arial" w:eastAsia="Times New Roman" w:hAnsi="Arial" w:cs="Arial"/>
          <w:color w:val="000000" w:themeColor="text1"/>
          <w:sz w:val="20"/>
          <w:szCs w:val="20"/>
          <w:lang w:eastAsia="pt-BR"/>
        </w:rPr>
        <w:t>Nagelkerke</w:t>
      </w:r>
      <w:proofErr w:type="spellEnd"/>
      <w:r w:rsidRPr="00221347">
        <w:rPr>
          <w:rFonts w:ascii="Arial" w:eastAsia="Times New Roman" w:hAnsi="Arial" w:cs="Arial"/>
          <w:color w:val="000000" w:themeColor="text1"/>
          <w:sz w:val="20"/>
          <w:szCs w:val="20"/>
          <w:lang w:eastAsia="pt-BR"/>
        </w:rPr>
        <w:t>=0,087</w:t>
      </w:r>
    </w:p>
    <w:p w14:paraId="5B769483" w14:textId="6F2C5C59" w:rsidR="00250E98" w:rsidRPr="00221347" w:rsidRDefault="00250E98" w:rsidP="00A378D3">
      <w:pPr>
        <w:rPr>
          <w:rFonts w:ascii="Arial" w:eastAsia="Times New Roman" w:hAnsi="Arial" w:cs="Arial"/>
          <w:color w:val="000000" w:themeColor="text1"/>
          <w:sz w:val="20"/>
          <w:szCs w:val="20"/>
          <w:lang w:eastAsia="pt-BR"/>
        </w:rPr>
      </w:pPr>
    </w:p>
    <w:p w14:paraId="13DFBEB7" w14:textId="09A43A0A" w:rsidR="00250E98" w:rsidRPr="00221347" w:rsidRDefault="00250E98" w:rsidP="00A378D3">
      <w:pPr>
        <w:rPr>
          <w:rFonts w:ascii="Arial" w:eastAsia="Times New Roman" w:hAnsi="Arial" w:cs="Arial"/>
          <w:color w:val="000000" w:themeColor="text1"/>
          <w:sz w:val="20"/>
          <w:szCs w:val="20"/>
          <w:lang w:eastAsia="pt-BR"/>
        </w:rPr>
      </w:pPr>
    </w:p>
    <w:p w14:paraId="7C535703" w14:textId="243E15F0" w:rsidR="00250E98" w:rsidRPr="00221347" w:rsidRDefault="00250E98" w:rsidP="00A378D3">
      <w:pPr>
        <w:rPr>
          <w:rFonts w:ascii="Arial" w:eastAsia="Times New Roman" w:hAnsi="Arial" w:cs="Arial"/>
          <w:color w:val="000000" w:themeColor="text1"/>
          <w:sz w:val="20"/>
          <w:szCs w:val="20"/>
          <w:lang w:eastAsia="pt-BR"/>
        </w:rPr>
      </w:pPr>
    </w:p>
    <w:p w14:paraId="7CDC57CC" w14:textId="2C21357B" w:rsidR="00250E98" w:rsidRPr="00221347" w:rsidRDefault="00250E98" w:rsidP="00A378D3">
      <w:pPr>
        <w:rPr>
          <w:rFonts w:ascii="Arial" w:eastAsia="Times New Roman" w:hAnsi="Arial" w:cs="Arial"/>
          <w:color w:val="000000" w:themeColor="text1"/>
          <w:sz w:val="20"/>
          <w:szCs w:val="20"/>
          <w:lang w:eastAsia="pt-BR"/>
        </w:rPr>
      </w:pPr>
    </w:p>
    <w:p w14:paraId="110D79A4" w14:textId="4D0046C5" w:rsidR="00250E98" w:rsidRPr="00221347" w:rsidRDefault="00250E98" w:rsidP="00A378D3">
      <w:pPr>
        <w:rPr>
          <w:rFonts w:ascii="Arial" w:eastAsia="Times New Roman" w:hAnsi="Arial" w:cs="Arial"/>
          <w:color w:val="000000" w:themeColor="text1"/>
          <w:sz w:val="20"/>
          <w:szCs w:val="20"/>
          <w:lang w:eastAsia="pt-BR"/>
        </w:rPr>
      </w:pPr>
    </w:p>
    <w:p w14:paraId="575E81E0" w14:textId="77777777" w:rsidR="001C4A1E" w:rsidRPr="00221347" w:rsidRDefault="001C4A1E" w:rsidP="00250E98">
      <w:pPr>
        <w:jc w:val="both"/>
        <w:rPr>
          <w:rFonts w:ascii="Arial" w:hAnsi="Arial" w:cs="Arial"/>
          <w:sz w:val="20"/>
          <w:szCs w:val="20"/>
        </w:rPr>
      </w:pPr>
    </w:p>
    <w:p w14:paraId="7EF6189C" w14:textId="77777777" w:rsidR="001C4A1E" w:rsidRPr="00221347" w:rsidRDefault="001C4A1E" w:rsidP="00250E98">
      <w:pPr>
        <w:jc w:val="both"/>
        <w:rPr>
          <w:rFonts w:ascii="Arial" w:hAnsi="Arial" w:cs="Arial"/>
          <w:sz w:val="20"/>
          <w:szCs w:val="20"/>
        </w:rPr>
      </w:pPr>
    </w:p>
    <w:p w14:paraId="25C6CD6A" w14:textId="77777777" w:rsidR="001C4A1E" w:rsidRPr="00221347" w:rsidRDefault="001C4A1E" w:rsidP="00250E98">
      <w:pPr>
        <w:jc w:val="both"/>
        <w:rPr>
          <w:rFonts w:ascii="Arial" w:hAnsi="Arial" w:cs="Arial"/>
          <w:sz w:val="20"/>
          <w:szCs w:val="20"/>
        </w:rPr>
      </w:pPr>
    </w:p>
    <w:p w14:paraId="18A3575D" w14:textId="77777777" w:rsidR="001C4A1E" w:rsidRPr="00221347" w:rsidRDefault="001C4A1E" w:rsidP="00250E98">
      <w:pPr>
        <w:jc w:val="both"/>
        <w:rPr>
          <w:rFonts w:ascii="Arial" w:hAnsi="Arial" w:cs="Arial"/>
          <w:sz w:val="20"/>
          <w:szCs w:val="20"/>
        </w:rPr>
      </w:pPr>
    </w:p>
    <w:p w14:paraId="3FEF07D5" w14:textId="77777777" w:rsidR="001C4A1E" w:rsidRPr="00221347" w:rsidRDefault="001C4A1E" w:rsidP="00250E98">
      <w:pPr>
        <w:jc w:val="both"/>
        <w:rPr>
          <w:rFonts w:ascii="Arial" w:hAnsi="Arial" w:cs="Arial"/>
          <w:sz w:val="20"/>
          <w:szCs w:val="20"/>
        </w:rPr>
      </w:pPr>
    </w:p>
    <w:p w14:paraId="0268B1CA" w14:textId="77777777" w:rsidR="001C4A1E" w:rsidRPr="00221347" w:rsidRDefault="001C4A1E" w:rsidP="00250E98">
      <w:pPr>
        <w:jc w:val="both"/>
        <w:rPr>
          <w:rFonts w:ascii="Arial" w:hAnsi="Arial" w:cs="Arial"/>
          <w:sz w:val="20"/>
          <w:szCs w:val="20"/>
        </w:rPr>
      </w:pPr>
    </w:p>
    <w:p w14:paraId="171E0A3F" w14:textId="77777777" w:rsidR="001C4A1E" w:rsidRPr="00221347" w:rsidRDefault="001C4A1E" w:rsidP="00250E98">
      <w:pPr>
        <w:jc w:val="both"/>
        <w:rPr>
          <w:rFonts w:ascii="Arial" w:hAnsi="Arial" w:cs="Arial"/>
          <w:sz w:val="20"/>
          <w:szCs w:val="20"/>
        </w:rPr>
      </w:pPr>
    </w:p>
    <w:p w14:paraId="08D3ACB0" w14:textId="77777777" w:rsidR="001C4A1E" w:rsidRPr="00221347" w:rsidRDefault="001C4A1E" w:rsidP="00250E98">
      <w:pPr>
        <w:jc w:val="both"/>
        <w:rPr>
          <w:rFonts w:ascii="Arial" w:hAnsi="Arial" w:cs="Arial"/>
          <w:sz w:val="20"/>
          <w:szCs w:val="20"/>
        </w:rPr>
      </w:pPr>
    </w:p>
    <w:p w14:paraId="4F095343" w14:textId="77777777" w:rsidR="001C4A1E" w:rsidRPr="00221347" w:rsidRDefault="001C4A1E" w:rsidP="00250E98">
      <w:pPr>
        <w:jc w:val="both"/>
        <w:rPr>
          <w:rFonts w:ascii="Arial" w:hAnsi="Arial" w:cs="Arial"/>
          <w:sz w:val="20"/>
          <w:szCs w:val="20"/>
        </w:rPr>
      </w:pPr>
    </w:p>
    <w:p w14:paraId="386517E6" w14:textId="77777777" w:rsidR="001C4A1E" w:rsidRPr="00221347" w:rsidRDefault="001C4A1E" w:rsidP="00250E98">
      <w:pPr>
        <w:jc w:val="both"/>
        <w:rPr>
          <w:rFonts w:ascii="Arial" w:hAnsi="Arial" w:cs="Arial"/>
          <w:sz w:val="20"/>
          <w:szCs w:val="20"/>
        </w:rPr>
      </w:pPr>
    </w:p>
    <w:p w14:paraId="10C6D1BC" w14:textId="77777777" w:rsidR="001C4A1E" w:rsidRPr="00221347" w:rsidRDefault="001C4A1E" w:rsidP="00250E98">
      <w:pPr>
        <w:jc w:val="both"/>
        <w:rPr>
          <w:rFonts w:ascii="Arial" w:hAnsi="Arial" w:cs="Arial"/>
          <w:sz w:val="20"/>
          <w:szCs w:val="20"/>
        </w:rPr>
      </w:pPr>
    </w:p>
    <w:p w14:paraId="6BCFAD42" w14:textId="77777777" w:rsidR="001C4A1E" w:rsidRPr="00221347" w:rsidRDefault="001C4A1E" w:rsidP="00250E98">
      <w:pPr>
        <w:jc w:val="both"/>
        <w:rPr>
          <w:rFonts w:ascii="Arial" w:hAnsi="Arial" w:cs="Arial"/>
          <w:sz w:val="20"/>
          <w:szCs w:val="20"/>
        </w:rPr>
      </w:pPr>
    </w:p>
    <w:p w14:paraId="60164CB8" w14:textId="77777777" w:rsidR="001C4A1E" w:rsidRPr="00221347" w:rsidRDefault="001C4A1E" w:rsidP="00250E98">
      <w:pPr>
        <w:jc w:val="both"/>
        <w:rPr>
          <w:rFonts w:ascii="Arial" w:hAnsi="Arial" w:cs="Arial"/>
          <w:sz w:val="20"/>
          <w:szCs w:val="20"/>
        </w:rPr>
      </w:pPr>
    </w:p>
    <w:p w14:paraId="18E5A06C" w14:textId="77777777" w:rsidR="001C4A1E" w:rsidRPr="00221347" w:rsidRDefault="001C4A1E" w:rsidP="00250E98">
      <w:pPr>
        <w:jc w:val="both"/>
        <w:rPr>
          <w:rFonts w:ascii="Arial" w:hAnsi="Arial" w:cs="Arial"/>
          <w:sz w:val="20"/>
          <w:szCs w:val="20"/>
        </w:rPr>
      </w:pPr>
    </w:p>
    <w:p w14:paraId="360C3EB5" w14:textId="77777777" w:rsidR="001C4A1E" w:rsidRPr="00221347" w:rsidRDefault="001C4A1E" w:rsidP="00250E98">
      <w:pPr>
        <w:jc w:val="both"/>
        <w:rPr>
          <w:rFonts w:ascii="Arial" w:hAnsi="Arial" w:cs="Arial"/>
          <w:sz w:val="20"/>
          <w:szCs w:val="20"/>
        </w:rPr>
      </w:pPr>
    </w:p>
    <w:p w14:paraId="20753940" w14:textId="77777777" w:rsidR="001C4A1E" w:rsidRPr="00221347" w:rsidRDefault="001C4A1E" w:rsidP="00250E98">
      <w:pPr>
        <w:jc w:val="both"/>
        <w:rPr>
          <w:rFonts w:ascii="Arial" w:hAnsi="Arial" w:cs="Arial"/>
          <w:sz w:val="20"/>
          <w:szCs w:val="20"/>
        </w:rPr>
      </w:pPr>
    </w:p>
    <w:p w14:paraId="26548AFC" w14:textId="77777777" w:rsidR="00BD4B8B" w:rsidRPr="00221347" w:rsidRDefault="00BD4B8B" w:rsidP="00250E98">
      <w:pPr>
        <w:jc w:val="both"/>
        <w:rPr>
          <w:rFonts w:ascii="Arial" w:hAnsi="Arial" w:cs="Arial"/>
          <w:sz w:val="20"/>
          <w:szCs w:val="20"/>
        </w:rPr>
      </w:pPr>
    </w:p>
    <w:p w14:paraId="76124186" w14:textId="77777777" w:rsidR="00BD4B8B" w:rsidRPr="00221347" w:rsidRDefault="00BD4B8B" w:rsidP="00250E98">
      <w:pPr>
        <w:jc w:val="both"/>
        <w:rPr>
          <w:rFonts w:ascii="Arial" w:hAnsi="Arial" w:cs="Arial"/>
          <w:sz w:val="20"/>
          <w:szCs w:val="20"/>
        </w:rPr>
      </w:pPr>
    </w:p>
    <w:p w14:paraId="0C7FDCA6" w14:textId="77777777" w:rsidR="00BD4B8B" w:rsidRPr="00221347" w:rsidRDefault="00BD4B8B" w:rsidP="00250E98">
      <w:pPr>
        <w:jc w:val="both"/>
        <w:rPr>
          <w:rFonts w:ascii="Arial" w:hAnsi="Arial" w:cs="Arial"/>
          <w:sz w:val="20"/>
          <w:szCs w:val="20"/>
        </w:rPr>
      </w:pPr>
    </w:p>
    <w:p w14:paraId="64C39537" w14:textId="77777777" w:rsidR="00BD4B8B" w:rsidRPr="00221347" w:rsidRDefault="00BD4B8B" w:rsidP="00250E98">
      <w:pPr>
        <w:jc w:val="both"/>
        <w:rPr>
          <w:rFonts w:ascii="Arial" w:hAnsi="Arial" w:cs="Arial"/>
          <w:sz w:val="20"/>
          <w:szCs w:val="20"/>
        </w:rPr>
      </w:pPr>
    </w:p>
    <w:p w14:paraId="43ECDE23" w14:textId="77777777" w:rsidR="00BD4B8B" w:rsidRPr="00221347" w:rsidRDefault="00BD4B8B" w:rsidP="00250E98">
      <w:pPr>
        <w:jc w:val="both"/>
        <w:rPr>
          <w:rFonts w:ascii="Arial" w:hAnsi="Arial" w:cs="Arial"/>
          <w:sz w:val="20"/>
          <w:szCs w:val="20"/>
        </w:rPr>
      </w:pPr>
    </w:p>
    <w:p w14:paraId="787B2FDD" w14:textId="4DBAC26D" w:rsidR="00BD4B8B" w:rsidRPr="00D80D14" w:rsidRDefault="00BD4B8B" w:rsidP="00250E98">
      <w:pPr>
        <w:jc w:val="both"/>
        <w:rPr>
          <w:rFonts w:ascii="Arial" w:hAnsi="Arial" w:cs="Arial"/>
          <w:sz w:val="20"/>
          <w:szCs w:val="20"/>
        </w:rPr>
      </w:pPr>
    </w:p>
    <w:p w14:paraId="10C1B38E" w14:textId="72120DE6" w:rsidR="007D3C29" w:rsidRPr="00D80D14" w:rsidRDefault="007D3C29" w:rsidP="00250E98">
      <w:pPr>
        <w:jc w:val="both"/>
        <w:rPr>
          <w:rFonts w:ascii="Arial" w:hAnsi="Arial" w:cs="Arial"/>
          <w:sz w:val="20"/>
          <w:szCs w:val="20"/>
        </w:rPr>
      </w:pPr>
    </w:p>
    <w:p w14:paraId="39AC1D0D" w14:textId="1AE3562A" w:rsidR="007D3C29" w:rsidRPr="00D80D14" w:rsidRDefault="007D3C29" w:rsidP="00250E98">
      <w:pPr>
        <w:jc w:val="both"/>
        <w:rPr>
          <w:rFonts w:ascii="Arial" w:hAnsi="Arial" w:cs="Arial"/>
          <w:sz w:val="20"/>
          <w:szCs w:val="20"/>
        </w:rPr>
      </w:pPr>
    </w:p>
    <w:p w14:paraId="2521303C" w14:textId="6EA2CA76" w:rsidR="00250E98" w:rsidRPr="00221347" w:rsidRDefault="00250E98" w:rsidP="00221347">
      <w:pPr>
        <w:rPr>
          <w:rFonts w:ascii="Arial" w:hAnsi="Arial" w:cs="Arial"/>
          <w:sz w:val="20"/>
          <w:szCs w:val="20"/>
        </w:rPr>
      </w:pPr>
      <w:r w:rsidRPr="00221347">
        <w:rPr>
          <w:rFonts w:ascii="Arial" w:hAnsi="Arial" w:cs="Arial"/>
          <w:sz w:val="20"/>
          <w:szCs w:val="20"/>
        </w:rPr>
        <w:t xml:space="preserve">Tabela 5: Fatores clínico-laboratoriais associados à Invasão Microvascular e ao óbito em pacientes submetidos a </w:t>
      </w:r>
      <w:r w:rsidR="00DE41D7">
        <w:rPr>
          <w:rFonts w:ascii="Arial" w:hAnsi="Arial" w:cs="Arial"/>
          <w:sz w:val="20"/>
          <w:szCs w:val="20"/>
        </w:rPr>
        <w:t>transplante hepático</w:t>
      </w:r>
      <w:r w:rsidR="00DE41D7" w:rsidRPr="00221347">
        <w:rPr>
          <w:rFonts w:ascii="Arial" w:hAnsi="Arial" w:cs="Arial"/>
          <w:sz w:val="20"/>
          <w:szCs w:val="20"/>
        </w:rPr>
        <w:t xml:space="preserve"> por Carcinoma Hepatocelular</w:t>
      </w:r>
    </w:p>
    <w:tbl>
      <w:tblPr>
        <w:tblW w:w="1087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75"/>
        <w:gridCol w:w="1269"/>
        <w:gridCol w:w="755"/>
        <w:gridCol w:w="987"/>
        <w:gridCol w:w="804"/>
        <w:gridCol w:w="1298"/>
        <w:gridCol w:w="1175"/>
        <w:gridCol w:w="876"/>
        <w:gridCol w:w="806"/>
        <w:gridCol w:w="928"/>
      </w:tblGrid>
      <w:tr w:rsidR="00250E98" w:rsidRPr="000A3F11" w14:paraId="7D819BB2" w14:textId="77777777" w:rsidTr="00221347">
        <w:trPr>
          <w:trHeight w:val="335"/>
          <w:jc w:val="center"/>
        </w:trPr>
        <w:tc>
          <w:tcPr>
            <w:tcW w:w="1975" w:type="dxa"/>
            <w:shd w:val="clear" w:color="auto" w:fill="auto"/>
            <w:noWrap/>
            <w:vAlign w:val="bottom"/>
            <w:hideMark/>
          </w:tcPr>
          <w:p w14:paraId="054424E0" w14:textId="77777777" w:rsidR="00250E98" w:rsidRPr="00221347" w:rsidRDefault="00250E98" w:rsidP="00FD00E1">
            <w:pPr>
              <w:rPr>
                <w:rFonts w:ascii="Arial" w:eastAsia="Times New Roman" w:hAnsi="Arial" w:cs="Arial"/>
                <w:b/>
                <w:bCs/>
                <w:sz w:val="20"/>
                <w:szCs w:val="20"/>
                <w:lang w:eastAsia="pt-BR"/>
              </w:rPr>
            </w:pPr>
          </w:p>
        </w:tc>
        <w:tc>
          <w:tcPr>
            <w:tcW w:w="5113" w:type="dxa"/>
            <w:gridSpan w:val="5"/>
            <w:tcBorders>
              <w:bottom w:val="single" w:sz="4" w:space="0" w:color="auto"/>
            </w:tcBorders>
            <w:shd w:val="clear" w:color="auto" w:fill="auto"/>
            <w:noWrap/>
            <w:vAlign w:val="center"/>
            <w:hideMark/>
          </w:tcPr>
          <w:p w14:paraId="224745E5"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Regressão logística bivariada</w:t>
            </w:r>
          </w:p>
        </w:tc>
        <w:tc>
          <w:tcPr>
            <w:tcW w:w="3785" w:type="dxa"/>
            <w:gridSpan w:val="4"/>
            <w:shd w:val="clear" w:color="auto" w:fill="auto"/>
            <w:noWrap/>
            <w:vAlign w:val="center"/>
            <w:hideMark/>
          </w:tcPr>
          <w:p w14:paraId="23513597"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Regressão logística multivariada*</w:t>
            </w:r>
          </w:p>
        </w:tc>
      </w:tr>
      <w:tr w:rsidR="00250E98" w:rsidRPr="000A3F11" w14:paraId="6C97E889" w14:textId="77777777" w:rsidTr="00221347">
        <w:trPr>
          <w:trHeight w:val="335"/>
          <w:jc w:val="center"/>
        </w:trPr>
        <w:tc>
          <w:tcPr>
            <w:tcW w:w="1975" w:type="dxa"/>
            <w:tcBorders>
              <w:bottom w:val="single" w:sz="4" w:space="0" w:color="auto"/>
            </w:tcBorders>
            <w:shd w:val="clear" w:color="auto" w:fill="auto"/>
            <w:noWrap/>
            <w:vAlign w:val="bottom"/>
          </w:tcPr>
          <w:p w14:paraId="703F048E" w14:textId="77777777" w:rsidR="00250E98" w:rsidRPr="00221347" w:rsidRDefault="00250E98" w:rsidP="00FD00E1">
            <w:pPr>
              <w:rPr>
                <w:rFonts w:ascii="Arial" w:eastAsia="Times New Roman" w:hAnsi="Arial" w:cs="Arial"/>
                <w:b/>
                <w:bCs/>
                <w:color w:val="000000"/>
                <w:sz w:val="20"/>
                <w:szCs w:val="20"/>
                <w:lang w:eastAsia="pt-BR"/>
              </w:rPr>
            </w:pPr>
          </w:p>
        </w:tc>
        <w:tc>
          <w:tcPr>
            <w:tcW w:w="1269" w:type="dxa"/>
            <w:tcBorders>
              <w:top w:val="single" w:sz="4" w:space="0" w:color="auto"/>
              <w:bottom w:val="single" w:sz="4" w:space="0" w:color="auto"/>
            </w:tcBorders>
            <w:shd w:val="clear" w:color="auto" w:fill="auto"/>
            <w:noWrap/>
            <w:vAlign w:val="center"/>
            <w:hideMark/>
          </w:tcPr>
          <w:p w14:paraId="3C9EB665"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n (%)</w:t>
            </w:r>
          </w:p>
        </w:tc>
        <w:tc>
          <w:tcPr>
            <w:tcW w:w="755" w:type="dxa"/>
            <w:tcBorders>
              <w:top w:val="single" w:sz="4" w:space="0" w:color="auto"/>
              <w:bottom w:val="single" w:sz="4" w:space="0" w:color="auto"/>
            </w:tcBorders>
            <w:shd w:val="clear" w:color="auto" w:fill="auto"/>
            <w:noWrap/>
            <w:vAlign w:val="center"/>
            <w:hideMark/>
          </w:tcPr>
          <w:p w14:paraId="2FC80F71" w14:textId="77777777" w:rsidR="00250E98" w:rsidRPr="00221347" w:rsidRDefault="00250E98" w:rsidP="00FD00E1">
            <w:pPr>
              <w:jc w:val="center"/>
              <w:rPr>
                <w:rFonts w:ascii="Arial" w:eastAsia="Times New Roman" w:hAnsi="Arial" w:cs="Arial"/>
                <w:b/>
                <w:bCs/>
                <w:color w:val="000000"/>
                <w:sz w:val="20"/>
                <w:szCs w:val="20"/>
                <w:lang w:eastAsia="pt-BR"/>
              </w:rPr>
            </w:pPr>
            <w:proofErr w:type="spellStart"/>
            <w:r w:rsidRPr="00221347">
              <w:rPr>
                <w:rFonts w:ascii="Arial" w:eastAsia="Times New Roman" w:hAnsi="Arial" w:cs="Arial"/>
                <w:b/>
                <w:bCs/>
                <w:color w:val="000000"/>
                <w:sz w:val="20"/>
                <w:szCs w:val="20"/>
                <w:lang w:eastAsia="pt-BR"/>
              </w:rPr>
              <w:t>Odds</w:t>
            </w:r>
            <w:proofErr w:type="spellEnd"/>
            <w:r w:rsidRPr="00221347">
              <w:rPr>
                <w:rFonts w:ascii="Arial" w:eastAsia="Times New Roman" w:hAnsi="Arial" w:cs="Arial"/>
                <w:b/>
                <w:bCs/>
                <w:color w:val="000000"/>
                <w:sz w:val="20"/>
                <w:szCs w:val="20"/>
                <w:lang w:eastAsia="pt-BR"/>
              </w:rPr>
              <w:t xml:space="preserve"> </w:t>
            </w:r>
            <w:proofErr w:type="spellStart"/>
            <w:r w:rsidRPr="00221347">
              <w:rPr>
                <w:rFonts w:ascii="Arial" w:eastAsia="Times New Roman" w:hAnsi="Arial" w:cs="Arial"/>
                <w:b/>
                <w:bCs/>
                <w:color w:val="000000"/>
                <w:sz w:val="20"/>
                <w:szCs w:val="20"/>
                <w:lang w:eastAsia="pt-BR"/>
              </w:rPr>
              <w:t>Ratio</w:t>
            </w:r>
            <w:proofErr w:type="spellEnd"/>
          </w:p>
        </w:tc>
        <w:tc>
          <w:tcPr>
            <w:tcW w:w="987" w:type="dxa"/>
            <w:tcBorders>
              <w:top w:val="single" w:sz="4" w:space="0" w:color="auto"/>
              <w:bottom w:val="single" w:sz="4" w:space="0" w:color="auto"/>
            </w:tcBorders>
            <w:shd w:val="clear" w:color="auto" w:fill="auto"/>
            <w:noWrap/>
            <w:vAlign w:val="center"/>
            <w:hideMark/>
          </w:tcPr>
          <w:p w14:paraId="29053838"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P-Valor</w:t>
            </w:r>
          </w:p>
        </w:tc>
        <w:tc>
          <w:tcPr>
            <w:tcW w:w="2100" w:type="dxa"/>
            <w:gridSpan w:val="2"/>
            <w:tcBorders>
              <w:top w:val="single" w:sz="4" w:space="0" w:color="auto"/>
              <w:bottom w:val="single" w:sz="4" w:space="0" w:color="auto"/>
            </w:tcBorders>
            <w:shd w:val="clear" w:color="auto" w:fill="auto"/>
            <w:noWrap/>
            <w:vAlign w:val="center"/>
            <w:hideMark/>
          </w:tcPr>
          <w:p w14:paraId="484A91D6"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Intervalo de Confiança 95%</w:t>
            </w:r>
          </w:p>
        </w:tc>
        <w:tc>
          <w:tcPr>
            <w:tcW w:w="1175" w:type="dxa"/>
            <w:tcBorders>
              <w:top w:val="single" w:sz="4" w:space="0" w:color="auto"/>
              <w:bottom w:val="single" w:sz="4" w:space="0" w:color="auto"/>
            </w:tcBorders>
            <w:shd w:val="clear" w:color="auto" w:fill="auto"/>
            <w:noWrap/>
            <w:vAlign w:val="center"/>
            <w:hideMark/>
          </w:tcPr>
          <w:p w14:paraId="6FC9A23F" w14:textId="77777777" w:rsidR="00250E98" w:rsidRPr="00221347" w:rsidRDefault="00250E98" w:rsidP="00FD00E1">
            <w:pPr>
              <w:jc w:val="center"/>
              <w:rPr>
                <w:rFonts w:ascii="Arial" w:eastAsia="Times New Roman" w:hAnsi="Arial" w:cs="Arial"/>
                <w:b/>
                <w:bCs/>
                <w:color w:val="000000"/>
                <w:sz w:val="20"/>
                <w:szCs w:val="20"/>
                <w:lang w:eastAsia="pt-BR"/>
              </w:rPr>
            </w:pPr>
            <w:proofErr w:type="spellStart"/>
            <w:r w:rsidRPr="00221347">
              <w:rPr>
                <w:rFonts w:ascii="Arial" w:eastAsia="Times New Roman" w:hAnsi="Arial" w:cs="Arial"/>
                <w:b/>
                <w:bCs/>
                <w:color w:val="000000"/>
                <w:sz w:val="20"/>
                <w:szCs w:val="20"/>
                <w:lang w:eastAsia="pt-BR"/>
              </w:rPr>
              <w:t>Odds</w:t>
            </w:r>
            <w:proofErr w:type="spellEnd"/>
            <w:r w:rsidRPr="00221347">
              <w:rPr>
                <w:rFonts w:ascii="Arial" w:eastAsia="Times New Roman" w:hAnsi="Arial" w:cs="Arial"/>
                <w:b/>
                <w:bCs/>
                <w:color w:val="000000"/>
                <w:sz w:val="20"/>
                <w:szCs w:val="20"/>
                <w:lang w:eastAsia="pt-BR"/>
              </w:rPr>
              <w:t xml:space="preserve"> </w:t>
            </w:r>
            <w:proofErr w:type="spellStart"/>
            <w:r w:rsidRPr="00221347">
              <w:rPr>
                <w:rFonts w:ascii="Arial" w:eastAsia="Times New Roman" w:hAnsi="Arial" w:cs="Arial"/>
                <w:b/>
                <w:bCs/>
                <w:color w:val="000000"/>
                <w:sz w:val="20"/>
                <w:szCs w:val="20"/>
                <w:lang w:eastAsia="pt-BR"/>
              </w:rPr>
              <w:t>Ratio</w:t>
            </w:r>
            <w:proofErr w:type="spellEnd"/>
          </w:p>
        </w:tc>
        <w:tc>
          <w:tcPr>
            <w:tcW w:w="876" w:type="dxa"/>
            <w:tcBorders>
              <w:top w:val="single" w:sz="4" w:space="0" w:color="auto"/>
              <w:bottom w:val="single" w:sz="4" w:space="0" w:color="auto"/>
            </w:tcBorders>
            <w:shd w:val="clear" w:color="auto" w:fill="auto"/>
            <w:noWrap/>
            <w:vAlign w:val="center"/>
            <w:hideMark/>
          </w:tcPr>
          <w:p w14:paraId="25622D1F"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P-Valor</w:t>
            </w:r>
          </w:p>
        </w:tc>
        <w:tc>
          <w:tcPr>
            <w:tcW w:w="1733" w:type="dxa"/>
            <w:gridSpan w:val="2"/>
            <w:tcBorders>
              <w:top w:val="single" w:sz="4" w:space="0" w:color="auto"/>
              <w:bottom w:val="single" w:sz="4" w:space="0" w:color="auto"/>
            </w:tcBorders>
            <w:shd w:val="clear" w:color="auto" w:fill="auto"/>
            <w:noWrap/>
            <w:vAlign w:val="center"/>
            <w:hideMark/>
          </w:tcPr>
          <w:p w14:paraId="4269B6D5"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Intervalo de Confiança 95%</w:t>
            </w:r>
          </w:p>
        </w:tc>
      </w:tr>
      <w:tr w:rsidR="00250E98" w:rsidRPr="000A3F11" w14:paraId="6ED26F81" w14:textId="77777777" w:rsidTr="00221347">
        <w:trPr>
          <w:trHeight w:val="335"/>
          <w:jc w:val="center"/>
        </w:trPr>
        <w:tc>
          <w:tcPr>
            <w:tcW w:w="1975" w:type="dxa"/>
            <w:tcBorders>
              <w:top w:val="single" w:sz="4" w:space="0" w:color="auto"/>
            </w:tcBorders>
            <w:shd w:val="clear" w:color="auto" w:fill="auto"/>
            <w:noWrap/>
            <w:vAlign w:val="center"/>
          </w:tcPr>
          <w:p w14:paraId="1AC0C3D6"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b/>
                <w:bCs/>
                <w:color w:val="000000"/>
                <w:sz w:val="20"/>
                <w:szCs w:val="20"/>
                <w:lang w:eastAsia="pt-BR"/>
              </w:rPr>
              <w:t xml:space="preserve">Desfecho: Invasão Microvascular </w:t>
            </w:r>
          </w:p>
        </w:tc>
        <w:tc>
          <w:tcPr>
            <w:tcW w:w="1269" w:type="dxa"/>
            <w:tcBorders>
              <w:top w:val="single" w:sz="4" w:space="0" w:color="auto"/>
            </w:tcBorders>
            <w:shd w:val="clear" w:color="auto" w:fill="auto"/>
            <w:noWrap/>
            <w:vAlign w:val="center"/>
          </w:tcPr>
          <w:p w14:paraId="7025AA2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29 (100,00)</w:t>
            </w:r>
          </w:p>
        </w:tc>
        <w:tc>
          <w:tcPr>
            <w:tcW w:w="755" w:type="dxa"/>
            <w:tcBorders>
              <w:top w:val="single" w:sz="4" w:space="0" w:color="auto"/>
            </w:tcBorders>
            <w:shd w:val="clear" w:color="auto" w:fill="auto"/>
            <w:noWrap/>
            <w:vAlign w:val="center"/>
          </w:tcPr>
          <w:p w14:paraId="6FFD89F5" w14:textId="77777777" w:rsidR="00250E98" w:rsidRPr="00221347" w:rsidRDefault="00250E98" w:rsidP="00FD00E1">
            <w:pPr>
              <w:jc w:val="center"/>
              <w:rPr>
                <w:rFonts w:ascii="Arial" w:eastAsia="Times New Roman" w:hAnsi="Arial" w:cs="Arial"/>
                <w:color w:val="000000"/>
                <w:sz w:val="20"/>
                <w:szCs w:val="20"/>
                <w:lang w:eastAsia="pt-BR"/>
              </w:rPr>
            </w:pPr>
          </w:p>
        </w:tc>
        <w:tc>
          <w:tcPr>
            <w:tcW w:w="987" w:type="dxa"/>
            <w:tcBorders>
              <w:top w:val="single" w:sz="4" w:space="0" w:color="auto"/>
            </w:tcBorders>
            <w:shd w:val="clear" w:color="auto" w:fill="auto"/>
            <w:noWrap/>
            <w:vAlign w:val="center"/>
          </w:tcPr>
          <w:p w14:paraId="6CA27C81" w14:textId="77777777" w:rsidR="00250E98" w:rsidRPr="00221347" w:rsidRDefault="00250E98" w:rsidP="00FD00E1">
            <w:pPr>
              <w:jc w:val="center"/>
              <w:rPr>
                <w:rFonts w:ascii="Arial" w:eastAsia="Times New Roman" w:hAnsi="Arial" w:cs="Arial"/>
                <w:color w:val="000000"/>
                <w:sz w:val="20"/>
                <w:szCs w:val="20"/>
                <w:lang w:eastAsia="pt-BR"/>
              </w:rPr>
            </w:pPr>
          </w:p>
        </w:tc>
        <w:tc>
          <w:tcPr>
            <w:tcW w:w="804" w:type="dxa"/>
            <w:tcBorders>
              <w:top w:val="single" w:sz="4" w:space="0" w:color="auto"/>
            </w:tcBorders>
            <w:shd w:val="clear" w:color="auto" w:fill="auto"/>
            <w:noWrap/>
            <w:vAlign w:val="center"/>
          </w:tcPr>
          <w:p w14:paraId="308F4E7C" w14:textId="77777777" w:rsidR="00250E98" w:rsidRPr="00221347" w:rsidRDefault="00250E98" w:rsidP="00FD00E1">
            <w:pPr>
              <w:jc w:val="center"/>
              <w:rPr>
                <w:rFonts w:ascii="Arial" w:eastAsia="Times New Roman" w:hAnsi="Arial" w:cs="Arial"/>
                <w:color w:val="000000"/>
                <w:sz w:val="20"/>
                <w:szCs w:val="20"/>
                <w:lang w:eastAsia="pt-BR"/>
              </w:rPr>
            </w:pPr>
          </w:p>
        </w:tc>
        <w:tc>
          <w:tcPr>
            <w:tcW w:w="1295" w:type="dxa"/>
            <w:tcBorders>
              <w:top w:val="single" w:sz="4" w:space="0" w:color="auto"/>
            </w:tcBorders>
            <w:shd w:val="clear" w:color="auto" w:fill="auto"/>
            <w:noWrap/>
            <w:vAlign w:val="center"/>
          </w:tcPr>
          <w:p w14:paraId="04C2BB00" w14:textId="77777777" w:rsidR="00250E98" w:rsidRPr="00221347" w:rsidRDefault="00250E98" w:rsidP="00FD00E1">
            <w:pPr>
              <w:jc w:val="center"/>
              <w:rPr>
                <w:rFonts w:ascii="Arial" w:eastAsia="Times New Roman" w:hAnsi="Arial" w:cs="Arial"/>
                <w:color w:val="000000"/>
                <w:sz w:val="20"/>
                <w:szCs w:val="20"/>
                <w:lang w:eastAsia="pt-BR"/>
              </w:rPr>
            </w:pPr>
          </w:p>
        </w:tc>
        <w:tc>
          <w:tcPr>
            <w:tcW w:w="1175" w:type="dxa"/>
            <w:tcBorders>
              <w:top w:val="single" w:sz="4" w:space="0" w:color="auto"/>
            </w:tcBorders>
            <w:shd w:val="clear" w:color="auto" w:fill="auto"/>
            <w:noWrap/>
            <w:vAlign w:val="center"/>
          </w:tcPr>
          <w:p w14:paraId="3D8C9B35"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tcBorders>
              <w:top w:val="single" w:sz="4" w:space="0" w:color="auto"/>
            </w:tcBorders>
            <w:shd w:val="clear" w:color="auto" w:fill="auto"/>
            <w:noWrap/>
            <w:vAlign w:val="center"/>
          </w:tcPr>
          <w:p w14:paraId="562B2089" w14:textId="77777777" w:rsidR="00250E98" w:rsidRPr="00221347" w:rsidRDefault="00250E98" w:rsidP="00FD00E1">
            <w:pPr>
              <w:jc w:val="center"/>
              <w:rPr>
                <w:rFonts w:ascii="Arial" w:eastAsia="Times New Roman" w:hAnsi="Arial" w:cs="Arial"/>
                <w:sz w:val="20"/>
                <w:szCs w:val="20"/>
                <w:lang w:eastAsia="pt-BR"/>
              </w:rPr>
            </w:pPr>
          </w:p>
        </w:tc>
        <w:tc>
          <w:tcPr>
            <w:tcW w:w="806" w:type="dxa"/>
            <w:tcBorders>
              <w:top w:val="single" w:sz="4" w:space="0" w:color="auto"/>
            </w:tcBorders>
            <w:shd w:val="clear" w:color="auto" w:fill="auto"/>
            <w:noWrap/>
            <w:vAlign w:val="center"/>
          </w:tcPr>
          <w:p w14:paraId="4F8C1145" w14:textId="77777777" w:rsidR="00250E98" w:rsidRPr="00221347" w:rsidRDefault="00250E98" w:rsidP="00FD00E1">
            <w:pPr>
              <w:jc w:val="center"/>
              <w:rPr>
                <w:rFonts w:ascii="Arial" w:eastAsia="Times New Roman" w:hAnsi="Arial" w:cs="Arial"/>
                <w:sz w:val="20"/>
                <w:szCs w:val="20"/>
                <w:lang w:eastAsia="pt-BR"/>
              </w:rPr>
            </w:pPr>
          </w:p>
        </w:tc>
        <w:tc>
          <w:tcPr>
            <w:tcW w:w="927" w:type="dxa"/>
            <w:tcBorders>
              <w:top w:val="single" w:sz="4" w:space="0" w:color="auto"/>
            </w:tcBorders>
            <w:shd w:val="clear" w:color="auto" w:fill="auto"/>
            <w:noWrap/>
            <w:vAlign w:val="center"/>
          </w:tcPr>
          <w:p w14:paraId="4B7F5450" w14:textId="77777777" w:rsidR="00250E98" w:rsidRPr="00221347" w:rsidRDefault="00250E98" w:rsidP="00FD00E1">
            <w:pPr>
              <w:jc w:val="center"/>
              <w:rPr>
                <w:rFonts w:ascii="Arial" w:eastAsia="Times New Roman" w:hAnsi="Arial" w:cs="Arial"/>
                <w:sz w:val="20"/>
                <w:szCs w:val="20"/>
                <w:lang w:eastAsia="pt-BR"/>
              </w:rPr>
            </w:pPr>
          </w:p>
        </w:tc>
      </w:tr>
      <w:tr w:rsidR="00250E98" w:rsidRPr="000A3F11" w14:paraId="1F6F9277" w14:textId="77777777" w:rsidTr="00221347">
        <w:trPr>
          <w:trHeight w:val="335"/>
          <w:jc w:val="center"/>
        </w:trPr>
        <w:tc>
          <w:tcPr>
            <w:tcW w:w="1975" w:type="dxa"/>
            <w:shd w:val="clear" w:color="auto" w:fill="auto"/>
            <w:noWrap/>
            <w:vAlign w:val="center"/>
          </w:tcPr>
          <w:p w14:paraId="1A0C9E0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Maior tumor &gt;5 cm</w:t>
            </w:r>
          </w:p>
        </w:tc>
        <w:tc>
          <w:tcPr>
            <w:tcW w:w="1269" w:type="dxa"/>
            <w:shd w:val="clear" w:color="auto" w:fill="auto"/>
            <w:noWrap/>
            <w:vAlign w:val="center"/>
          </w:tcPr>
          <w:p w14:paraId="7117374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7 (24,14)</w:t>
            </w:r>
          </w:p>
        </w:tc>
        <w:tc>
          <w:tcPr>
            <w:tcW w:w="755" w:type="dxa"/>
            <w:shd w:val="clear" w:color="auto" w:fill="auto"/>
            <w:noWrap/>
            <w:vAlign w:val="center"/>
          </w:tcPr>
          <w:p w14:paraId="22AF81B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3,6909</w:t>
            </w:r>
          </w:p>
        </w:tc>
        <w:tc>
          <w:tcPr>
            <w:tcW w:w="987" w:type="dxa"/>
            <w:shd w:val="clear" w:color="auto" w:fill="auto"/>
            <w:noWrap/>
            <w:vAlign w:val="center"/>
          </w:tcPr>
          <w:p w14:paraId="42113AA7"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0,040*</w:t>
            </w:r>
          </w:p>
        </w:tc>
        <w:tc>
          <w:tcPr>
            <w:tcW w:w="804" w:type="dxa"/>
            <w:shd w:val="clear" w:color="auto" w:fill="auto"/>
            <w:noWrap/>
            <w:vAlign w:val="center"/>
          </w:tcPr>
          <w:p w14:paraId="2A03F056"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1,0594</w:t>
            </w:r>
          </w:p>
        </w:tc>
        <w:tc>
          <w:tcPr>
            <w:tcW w:w="1295" w:type="dxa"/>
            <w:shd w:val="clear" w:color="auto" w:fill="auto"/>
            <w:noWrap/>
            <w:vAlign w:val="center"/>
          </w:tcPr>
          <w:p w14:paraId="7427DAA5"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12,8589</w:t>
            </w:r>
          </w:p>
        </w:tc>
        <w:tc>
          <w:tcPr>
            <w:tcW w:w="1175" w:type="dxa"/>
            <w:shd w:val="clear" w:color="auto" w:fill="auto"/>
            <w:noWrap/>
            <w:vAlign w:val="center"/>
          </w:tcPr>
          <w:p w14:paraId="37FBF01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sz w:val="20"/>
                <w:szCs w:val="20"/>
              </w:rPr>
              <w:t>2,0562</w:t>
            </w:r>
          </w:p>
        </w:tc>
        <w:tc>
          <w:tcPr>
            <w:tcW w:w="876" w:type="dxa"/>
            <w:shd w:val="clear" w:color="auto" w:fill="auto"/>
            <w:noWrap/>
            <w:vAlign w:val="center"/>
          </w:tcPr>
          <w:p w14:paraId="57377242"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sz w:val="20"/>
                <w:szCs w:val="20"/>
              </w:rPr>
              <w:t>0,316</w:t>
            </w:r>
          </w:p>
        </w:tc>
        <w:tc>
          <w:tcPr>
            <w:tcW w:w="806" w:type="dxa"/>
            <w:shd w:val="clear" w:color="auto" w:fill="auto"/>
            <w:noWrap/>
            <w:vAlign w:val="center"/>
          </w:tcPr>
          <w:p w14:paraId="05273322"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sz w:val="20"/>
                <w:szCs w:val="20"/>
              </w:rPr>
              <w:t>0,5029</w:t>
            </w:r>
          </w:p>
        </w:tc>
        <w:tc>
          <w:tcPr>
            <w:tcW w:w="927" w:type="dxa"/>
            <w:shd w:val="clear" w:color="auto" w:fill="auto"/>
            <w:noWrap/>
            <w:vAlign w:val="center"/>
          </w:tcPr>
          <w:p w14:paraId="4BE15B12"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sz w:val="20"/>
                <w:szCs w:val="20"/>
              </w:rPr>
              <w:t>8,4078</w:t>
            </w:r>
          </w:p>
        </w:tc>
      </w:tr>
      <w:tr w:rsidR="00250E98" w:rsidRPr="000A3F11" w14:paraId="1D75B9CA" w14:textId="77777777" w:rsidTr="00221347">
        <w:trPr>
          <w:trHeight w:val="335"/>
          <w:jc w:val="center"/>
        </w:trPr>
        <w:tc>
          <w:tcPr>
            <w:tcW w:w="1975" w:type="dxa"/>
            <w:shd w:val="clear" w:color="auto" w:fill="auto"/>
            <w:noWrap/>
            <w:vAlign w:val="center"/>
          </w:tcPr>
          <w:p w14:paraId="1652994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Bilirrubina Total &gt; 1,2 mg/</w:t>
            </w:r>
            <w:proofErr w:type="spellStart"/>
            <w:r w:rsidRPr="00221347">
              <w:rPr>
                <w:rFonts w:ascii="Arial" w:eastAsia="Times New Roman" w:hAnsi="Arial" w:cs="Arial"/>
                <w:color w:val="000000"/>
                <w:sz w:val="20"/>
                <w:szCs w:val="20"/>
                <w:lang w:eastAsia="pt-BR"/>
              </w:rPr>
              <w:t>dL</w:t>
            </w:r>
            <w:proofErr w:type="spellEnd"/>
          </w:p>
        </w:tc>
        <w:tc>
          <w:tcPr>
            <w:tcW w:w="1269" w:type="dxa"/>
            <w:shd w:val="clear" w:color="auto" w:fill="auto"/>
            <w:noWrap/>
            <w:vAlign w:val="center"/>
          </w:tcPr>
          <w:p w14:paraId="79CFF00B"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 (48,28)</w:t>
            </w:r>
          </w:p>
        </w:tc>
        <w:tc>
          <w:tcPr>
            <w:tcW w:w="755" w:type="dxa"/>
            <w:shd w:val="clear" w:color="auto" w:fill="auto"/>
            <w:noWrap/>
            <w:vAlign w:val="center"/>
          </w:tcPr>
          <w:p w14:paraId="3938C45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0,4030</w:t>
            </w:r>
          </w:p>
        </w:tc>
        <w:tc>
          <w:tcPr>
            <w:tcW w:w="987" w:type="dxa"/>
            <w:shd w:val="clear" w:color="auto" w:fill="auto"/>
            <w:noWrap/>
            <w:vAlign w:val="center"/>
          </w:tcPr>
          <w:p w14:paraId="51D2130E"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0,049*</w:t>
            </w:r>
          </w:p>
        </w:tc>
        <w:tc>
          <w:tcPr>
            <w:tcW w:w="804" w:type="dxa"/>
            <w:shd w:val="clear" w:color="auto" w:fill="auto"/>
            <w:noWrap/>
            <w:vAlign w:val="center"/>
          </w:tcPr>
          <w:p w14:paraId="0331CFD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0,1630</w:t>
            </w:r>
          </w:p>
        </w:tc>
        <w:tc>
          <w:tcPr>
            <w:tcW w:w="1295" w:type="dxa"/>
            <w:shd w:val="clear" w:color="auto" w:fill="auto"/>
            <w:noWrap/>
            <w:vAlign w:val="center"/>
          </w:tcPr>
          <w:p w14:paraId="28FE1C3B"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0,9968</w:t>
            </w:r>
          </w:p>
        </w:tc>
        <w:tc>
          <w:tcPr>
            <w:tcW w:w="1175" w:type="dxa"/>
            <w:shd w:val="clear" w:color="auto" w:fill="auto"/>
            <w:noWrap/>
            <w:vAlign w:val="center"/>
          </w:tcPr>
          <w:p w14:paraId="378DC9B8"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0,6214</w:t>
            </w:r>
          </w:p>
        </w:tc>
        <w:tc>
          <w:tcPr>
            <w:tcW w:w="876" w:type="dxa"/>
            <w:shd w:val="clear" w:color="auto" w:fill="auto"/>
            <w:noWrap/>
            <w:vAlign w:val="center"/>
          </w:tcPr>
          <w:p w14:paraId="558070DC"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0,372</w:t>
            </w:r>
          </w:p>
        </w:tc>
        <w:tc>
          <w:tcPr>
            <w:tcW w:w="806" w:type="dxa"/>
            <w:shd w:val="clear" w:color="auto" w:fill="auto"/>
            <w:noWrap/>
            <w:vAlign w:val="center"/>
          </w:tcPr>
          <w:p w14:paraId="3B7679AB"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0,2184</w:t>
            </w:r>
          </w:p>
        </w:tc>
        <w:tc>
          <w:tcPr>
            <w:tcW w:w="927" w:type="dxa"/>
            <w:shd w:val="clear" w:color="auto" w:fill="auto"/>
            <w:noWrap/>
            <w:vAlign w:val="center"/>
          </w:tcPr>
          <w:p w14:paraId="4B26757B"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1,7680</w:t>
            </w:r>
          </w:p>
        </w:tc>
      </w:tr>
      <w:tr w:rsidR="00250E98" w:rsidRPr="000A3F11" w14:paraId="0E67AAF1" w14:textId="77777777" w:rsidTr="00221347">
        <w:trPr>
          <w:trHeight w:val="335"/>
          <w:jc w:val="center"/>
        </w:trPr>
        <w:tc>
          <w:tcPr>
            <w:tcW w:w="1975" w:type="dxa"/>
            <w:shd w:val="clear" w:color="auto" w:fill="auto"/>
            <w:noWrap/>
            <w:vAlign w:val="center"/>
          </w:tcPr>
          <w:p w14:paraId="48654683" w14:textId="77777777" w:rsidR="00250E98" w:rsidRPr="00221347" w:rsidRDefault="00250E98" w:rsidP="00FD00E1">
            <w:pPr>
              <w:jc w:val="center"/>
              <w:rPr>
                <w:rFonts w:ascii="Arial" w:eastAsia="Times New Roman" w:hAnsi="Arial" w:cs="Arial"/>
                <w:color w:val="000000"/>
                <w:sz w:val="20"/>
                <w:szCs w:val="20"/>
                <w:lang w:eastAsia="pt-BR"/>
              </w:rPr>
            </w:pPr>
            <w:proofErr w:type="spellStart"/>
            <w:r w:rsidRPr="00221347">
              <w:rPr>
                <w:rFonts w:ascii="Arial" w:eastAsia="Times New Roman" w:hAnsi="Arial" w:cs="Arial"/>
                <w:color w:val="000000"/>
                <w:sz w:val="20"/>
                <w:szCs w:val="20"/>
                <w:lang w:eastAsia="pt-BR"/>
              </w:rPr>
              <w:t>Plaquetograma</w:t>
            </w:r>
            <w:proofErr w:type="spellEnd"/>
            <w:r w:rsidRPr="00221347">
              <w:rPr>
                <w:rFonts w:ascii="Arial" w:eastAsia="Times New Roman" w:hAnsi="Arial" w:cs="Arial"/>
                <w:color w:val="000000"/>
                <w:sz w:val="20"/>
                <w:szCs w:val="20"/>
                <w:lang w:eastAsia="pt-BR"/>
              </w:rPr>
              <w:t xml:space="preserve"> &lt; 100 x 10</w:t>
            </w:r>
            <w:r w:rsidRPr="00221347">
              <w:rPr>
                <w:rFonts w:ascii="Arial" w:eastAsia="Times New Roman" w:hAnsi="Arial" w:cs="Arial"/>
                <w:color w:val="000000"/>
                <w:sz w:val="20"/>
                <w:szCs w:val="20"/>
                <w:vertAlign w:val="superscript"/>
                <w:lang w:eastAsia="pt-BR"/>
              </w:rPr>
              <w:t>9</w:t>
            </w:r>
            <w:r w:rsidRPr="00221347">
              <w:rPr>
                <w:rFonts w:ascii="Arial" w:eastAsia="Times New Roman" w:hAnsi="Arial" w:cs="Arial"/>
                <w:color w:val="000000"/>
                <w:sz w:val="20"/>
                <w:szCs w:val="20"/>
                <w:lang w:eastAsia="pt-BR"/>
              </w:rPr>
              <w:t>/L</w:t>
            </w:r>
          </w:p>
        </w:tc>
        <w:tc>
          <w:tcPr>
            <w:tcW w:w="1269" w:type="dxa"/>
            <w:shd w:val="clear" w:color="auto" w:fill="auto"/>
            <w:noWrap/>
            <w:vAlign w:val="center"/>
          </w:tcPr>
          <w:p w14:paraId="704ED80B"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14 (48,28)</w:t>
            </w:r>
          </w:p>
        </w:tc>
        <w:tc>
          <w:tcPr>
            <w:tcW w:w="755" w:type="dxa"/>
            <w:shd w:val="clear" w:color="auto" w:fill="auto"/>
            <w:noWrap/>
            <w:vAlign w:val="center"/>
          </w:tcPr>
          <w:p w14:paraId="1BC310A4"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0,3449</w:t>
            </w:r>
          </w:p>
        </w:tc>
        <w:tc>
          <w:tcPr>
            <w:tcW w:w="987" w:type="dxa"/>
            <w:shd w:val="clear" w:color="auto" w:fill="auto"/>
            <w:noWrap/>
            <w:vAlign w:val="center"/>
          </w:tcPr>
          <w:p w14:paraId="256213C2"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0,023*</w:t>
            </w:r>
          </w:p>
        </w:tc>
        <w:tc>
          <w:tcPr>
            <w:tcW w:w="804" w:type="dxa"/>
            <w:shd w:val="clear" w:color="auto" w:fill="auto"/>
            <w:noWrap/>
            <w:vAlign w:val="center"/>
          </w:tcPr>
          <w:p w14:paraId="3E9CCB7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0,1379</w:t>
            </w:r>
          </w:p>
        </w:tc>
        <w:tc>
          <w:tcPr>
            <w:tcW w:w="1295" w:type="dxa"/>
            <w:shd w:val="clear" w:color="auto" w:fill="auto"/>
            <w:noWrap/>
            <w:vAlign w:val="center"/>
          </w:tcPr>
          <w:p w14:paraId="2035C9A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0,8625</w:t>
            </w:r>
          </w:p>
        </w:tc>
        <w:tc>
          <w:tcPr>
            <w:tcW w:w="1175" w:type="dxa"/>
            <w:shd w:val="clear" w:color="auto" w:fill="auto"/>
            <w:noWrap/>
            <w:vAlign w:val="center"/>
          </w:tcPr>
          <w:p w14:paraId="4A86D5F4"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0,5207</w:t>
            </w:r>
          </w:p>
        </w:tc>
        <w:tc>
          <w:tcPr>
            <w:tcW w:w="876" w:type="dxa"/>
            <w:shd w:val="clear" w:color="auto" w:fill="auto"/>
            <w:noWrap/>
            <w:vAlign w:val="center"/>
          </w:tcPr>
          <w:p w14:paraId="31CABEE5"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0,206</w:t>
            </w:r>
          </w:p>
        </w:tc>
        <w:tc>
          <w:tcPr>
            <w:tcW w:w="806" w:type="dxa"/>
            <w:shd w:val="clear" w:color="auto" w:fill="auto"/>
            <w:noWrap/>
            <w:vAlign w:val="center"/>
          </w:tcPr>
          <w:p w14:paraId="4A0A1515"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0,1895</w:t>
            </w:r>
          </w:p>
        </w:tc>
        <w:tc>
          <w:tcPr>
            <w:tcW w:w="927" w:type="dxa"/>
            <w:shd w:val="clear" w:color="auto" w:fill="auto"/>
            <w:noWrap/>
            <w:vAlign w:val="center"/>
          </w:tcPr>
          <w:p w14:paraId="7FD7A1D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1,4307</w:t>
            </w:r>
          </w:p>
        </w:tc>
      </w:tr>
      <w:tr w:rsidR="00250E98" w:rsidRPr="000A3F11" w14:paraId="1912FEC9" w14:textId="77777777" w:rsidTr="00221347">
        <w:trPr>
          <w:trHeight w:val="335"/>
          <w:jc w:val="center"/>
        </w:trPr>
        <w:tc>
          <w:tcPr>
            <w:tcW w:w="1975" w:type="dxa"/>
            <w:shd w:val="clear" w:color="auto" w:fill="auto"/>
            <w:noWrap/>
            <w:vAlign w:val="center"/>
          </w:tcPr>
          <w:p w14:paraId="3A15952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Albumina Sérica &lt; 3,5 ou &gt; 5,5g/</w:t>
            </w:r>
            <w:proofErr w:type="spellStart"/>
            <w:r w:rsidRPr="00221347">
              <w:rPr>
                <w:rFonts w:ascii="Arial" w:eastAsia="Times New Roman" w:hAnsi="Arial" w:cs="Arial"/>
                <w:color w:val="000000"/>
                <w:sz w:val="20"/>
                <w:szCs w:val="20"/>
                <w:lang w:eastAsia="pt-BR"/>
              </w:rPr>
              <w:t>dL</w:t>
            </w:r>
            <w:proofErr w:type="spellEnd"/>
          </w:p>
        </w:tc>
        <w:tc>
          <w:tcPr>
            <w:tcW w:w="1269" w:type="dxa"/>
            <w:shd w:val="clear" w:color="auto" w:fill="auto"/>
            <w:noWrap/>
            <w:vAlign w:val="center"/>
          </w:tcPr>
          <w:p w14:paraId="6906C19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10 (34,48)</w:t>
            </w:r>
          </w:p>
        </w:tc>
        <w:tc>
          <w:tcPr>
            <w:tcW w:w="755" w:type="dxa"/>
            <w:shd w:val="clear" w:color="auto" w:fill="auto"/>
            <w:noWrap/>
            <w:vAlign w:val="center"/>
          </w:tcPr>
          <w:p w14:paraId="433DBD4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0,4785</w:t>
            </w:r>
          </w:p>
        </w:tc>
        <w:tc>
          <w:tcPr>
            <w:tcW w:w="987" w:type="dxa"/>
            <w:shd w:val="clear" w:color="auto" w:fill="auto"/>
            <w:noWrap/>
            <w:vAlign w:val="center"/>
          </w:tcPr>
          <w:p w14:paraId="3294586A"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0,113*</w:t>
            </w:r>
          </w:p>
        </w:tc>
        <w:tc>
          <w:tcPr>
            <w:tcW w:w="804" w:type="dxa"/>
            <w:shd w:val="clear" w:color="auto" w:fill="auto"/>
            <w:noWrap/>
            <w:vAlign w:val="center"/>
          </w:tcPr>
          <w:p w14:paraId="0010B6C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0,1923</w:t>
            </w:r>
          </w:p>
        </w:tc>
        <w:tc>
          <w:tcPr>
            <w:tcW w:w="1295" w:type="dxa"/>
            <w:shd w:val="clear" w:color="auto" w:fill="auto"/>
            <w:noWrap/>
            <w:vAlign w:val="center"/>
          </w:tcPr>
          <w:p w14:paraId="1C3F87D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1,1904</w:t>
            </w:r>
          </w:p>
        </w:tc>
        <w:tc>
          <w:tcPr>
            <w:tcW w:w="1175" w:type="dxa"/>
            <w:shd w:val="clear" w:color="auto" w:fill="auto"/>
            <w:noWrap/>
            <w:vAlign w:val="center"/>
          </w:tcPr>
          <w:p w14:paraId="4C4C1841"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0,7492</w:t>
            </w:r>
          </w:p>
        </w:tc>
        <w:tc>
          <w:tcPr>
            <w:tcW w:w="876" w:type="dxa"/>
            <w:shd w:val="clear" w:color="auto" w:fill="auto"/>
            <w:noWrap/>
            <w:vAlign w:val="center"/>
          </w:tcPr>
          <w:p w14:paraId="1E4B5D7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0,577</w:t>
            </w:r>
          </w:p>
        </w:tc>
        <w:tc>
          <w:tcPr>
            <w:tcW w:w="806" w:type="dxa"/>
            <w:shd w:val="clear" w:color="auto" w:fill="auto"/>
            <w:noWrap/>
            <w:vAlign w:val="center"/>
          </w:tcPr>
          <w:p w14:paraId="4C4D6EA1"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0,2718</w:t>
            </w:r>
          </w:p>
        </w:tc>
        <w:tc>
          <w:tcPr>
            <w:tcW w:w="927" w:type="dxa"/>
            <w:shd w:val="clear" w:color="auto" w:fill="auto"/>
            <w:noWrap/>
            <w:vAlign w:val="center"/>
          </w:tcPr>
          <w:p w14:paraId="5199EC81"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2,0651</w:t>
            </w:r>
          </w:p>
        </w:tc>
      </w:tr>
      <w:tr w:rsidR="00250E98" w:rsidRPr="000A3F11" w14:paraId="5DF63F11" w14:textId="77777777" w:rsidTr="00221347">
        <w:trPr>
          <w:trHeight w:val="335"/>
          <w:jc w:val="center"/>
        </w:trPr>
        <w:tc>
          <w:tcPr>
            <w:tcW w:w="1975" w:type="dxa"/>
            <w:shd w:val="clear" w:color="auto" w:fill="auto"/>
            <w:noWrap/>
            <w:vAlign w:val="center"/>
          </w:tcPr>
          <w:p w14:paraId="08C52A68"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TGP &gt; 44 U/L</w:t>
            </w:r>
          </w:p>
        </w:tc>
        <w:tc>
          <w:tcPr>
            <w:tcW w:w="1269" w:type="dxa"/>
            <w:shd w:val="clear" w:color="auto" w:fill="auto"/>
            <w:noWrap/>
            <w:vAlign w:val="center"/>
          </w:tcPr>
          <w:p w14:paraId="0EF892E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 (55,17)</w:t>
            </w:r>
          </w:p>
        </w:tc>
        <w:tc>
          <w:tcPr>
            <w:tcW w:w="755" w:type="dxa"/>
            <w:shd w:val="clear" w:color="auto" w:fill="auto"/>
            <w:noWrap/>
            <w:vAlign w:val="center"/>
          </w:tcPr>
          <w:p w14:paraId="71286774"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0,9231</w:t>
            </w:r>
          </w:p>
        </w:tc>
        <w:tc>
          <w:tcPr>
            <w:tcW w:w="987" w:type="dxa"/>
            <w:shd w:val="clear" w:color="auto" w:fill="auto"/>
            <w:noWrap/>
            <w:vAlign w:val="center"/>
          </w:tcPr>
          <w:p w14:paraId="3615CE8B"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0,859</w:t>
            </w:r>
          </w:p>
        </w:tc>
        <w:tc>
          <w:tcPr>
            <w:tcW w:w="804" w:type="dxa"/>
            <w:shd w:val="clear" w:color="auto" w:fill="auto"/>
            <w:noWrap/>
            <w:vAlign w:val="center"/>
          </w:tcPr>
          <w:p w14:paraId="7DA178A5"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0,3807</w:t>
            </w:r>
          </w:p>
        </w:tc>
        <w:tc>
          <w:tcPr>
            <w:tcW w:w="1295" w:type="dxa"/>
            <w:shd w:val="clear" w:color="auto" w:fill="auto"/>
            <w:noWrap/>
            <w:vAlign w:val="center"/>
          </w:tcPr>
          <w:p w14:paraId="369E3D1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2,2383</w:t>
            </w:r>
          </w:p>
        </w:tc>
        <w:tc>
          <w:tcPr>
            <w:tcW w:w="1175" w:type="dxa"/>
            <w:shd w:val="clear" w:color="auto" w:fill="auto"/>
            <w:noWrap/>
            <w:vAlign w:val="center"/>
          </w:tcPr>
          <w:p w14:paraId="6F9A6B9A"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121EE165"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45B98947"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79D43B5C" w14:textId="77777777" w:rsidR="00250E98" w:rsidRPr="00221347" w:rsidRDefault="00250E98" w:rsidP="00FD00E1">
            <w:pPr>
              <w:jc w:val="center"/>
              <w:rPr>
                <w:rFonts w:ascii="Arial" w:eastAsia="Times New Roman" w:hAnsi="Arial" w:cs="Arial"/>
                <w:color w:val="000000"/>
                <w:sz w:val="20"/>
                <w:szCs w:val="20"/>
                <w:lang w:eastAsia="pt-BR"/>
              </w:rPr>
            </w:pPr>
          </w:p>
        </w:tc>
      </w:tr>
      <w:tr w:rsidR="00250E98" w:rsidRPr="000A3F11" w14:paraId="72E95D0B" w14:textId="77777777" w:rsidTr="00221347">
        <w:trPr>
          <w:trHeight w:val="335"/>
          <w:jc w:val="center"/>
        </w:trPr>
        <w:tc>
          <w:tcPr>
            <w:tcW w:w="1975" w:type="dxa"/>
            <w:shd w:val="clear" w:color="auto" w:fill="auto"/>
            <w:noWrap/>
            <w:vAlign w:val="center"/>
          </w:tcPr>
          <w:p w14:paraId="4ADE58C0"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GGT &gt; 130 U/L</w:t>
            </w:r>
          </w:p>
        </w:tc>
        <w:tc>
          <w:tcPr>
            <w:tcW w:w="1269" w:type="dxa"/>
            <w:shd w:val="clear" w:color="auto" w:fill="auto"/>
            <w:noWrap/>
            <w:vAlign w:val="center"/>
          </w:tcPr>
          <w:p w14:paraId="4EFF94F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16 (55,17)</w:t>
            </w:r>
          </w:p>
        </w:tc>
        <w:tc>
          <w:tcPr>
            <w:tcW w:w="755" w:type="dxa"/>
            <w:shd w:val="clear" w:color="auto" w:fill="auto"/>
            <w:noWrap/>
            <w:vAlign w:val="center"/>
          </w:tcPr>
          <w:p w14:paraId="3E02B20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2,1405</w:t>
            </w:r>
          </w:p>
        </w:tc>
        <w:tc>
          <w:tcPr>
            <w:tcW w:w="987" w:type="dxa"/>
            <w:shd w:val="clear" w:color="auto" w:fill="auto"/>
            <w:noWrap/>
            <w:vAlign w:val="center"/>
          </w:tcPr>
          <w:p w14:paraId="08759343"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0,095*</w:t>
            </w:r>
          </w:p>
        </w:tc>
        <w:tc>
          <w:tcPr>
            <w:tcW w:w="804" w:type="dxa"/>
            <w:shd w:val="clear" w:color="auto" w:fill="auto"/>
            <w:noWrap/>
            <w:vAlign w:val="center"/>
          </w:tcPr>
          <w:p w14:paraId="219F3274"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0,8758</w:t>
            </w:r>
          </w:p>
        </w:tc>
        <w:tc>
          <w:tcPr>
            <w:tcW w:w="1295" w:type="dxa"/>
            <w:shd w:val="clear" w:color="auto" w:fill="auto"/>
            <w:noWrap/>
            <w:vAlign w:val="center"/>
          </w:tcPr>
          <w:p w14:paraId="735F600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5,2315</w:t>
            </w:r>
          </w:p>
        </w:tc>
        <w:tc>
          <w:tcPr>
            <w:tcW w:w="1175" w:type="dxa"/>
            <w:shd w:val="clear" w:color="auto" w:fill="auto"/>
            <w:noWrap/>
            <w:vAlign w:val="center"/>
          </w:tcPr>
          <w:p w14:paraId="2CF50A1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hAnsi="Arial" w:cs="Arial"/>
                <w:color w:val="000000"/>
                <w:sz w:val="20"/>
                <w:szCs w:val="20"/>
              </w:rPr>
              <w:t>1,8856</w:t>
            </w:r>
          </w:p>
        </w:tc>
        <w:tc>
          <w:tcPr>
            <w:tcW w:w="876" w:type="dxa"/>
            <w:shd w:val="clear" w:color="auto" w:fill="auto"/>
            <w:noWrap/>
            <w:vAlign w:val="center"/>
          </w:tcPr>
          <w:p w14:paraId="4F9040A9"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0,187</w:t>
            </w:r>
          </w:p>
        </w:tc>
        <w:tc>
          <w:tcPr>
            <w:tcW w:w="806" w:type="dxa"/>
            <w:shd w:val="clear" w:color="auto" w:fill="auto"/>
            <w:noWrap/>
            <w:vAlign w:val="center"/>
          </w:tcPr>
          <w:p w14:paraId="6C0D715A"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0,7351</w:t>
            </w:r>
          </w:p>
        </w:tc>
        <w:tc>
          <w:tcPr>
            <w:tcW w:w="927" w:type="dxa"/>
            <w:shd w:val="clear" w:color="auto" w:fill="auto"/>
            <w:noWrap/>
            <w:vAlign w:val="center"/>
          </w:tcPr>
          <w:p w14:paraId="5AC2815B" w14:textId="77777777" w:rsidR="00250E98" w:rsidRPr="00221347" w:rsidRDefault="00250E98" w:rsidP="00FD00E1">
            <w:pPr>
              <w:jc w:val="center"/>
              <w:rPr>
                <w:rFonts w:ascii="Arial" w:eastAsia="Times New Roman" w:hAnsi="Arial" w:cs="Arial"/>
                <w:sz w:val="20"/>
                <w:szCs w:val="20"/>
                <w:lang w:eastAsia="pt-BR"/>
              </w:rPr>
            </w:pPr>
            <w:r w:rsidRPr="00221347">
              <w:rPr>
                <w:rFonts w:ascii="Arial" w:hAnsi="Arial" w:cs="Arial"/>
                <w:color w:val="000000"/>
                <w:sz w:val="20"/>
                <w:szCs w:val="20"/>
              </w:rPr>
              <w:t>4,8365</w:t>
            </w:r>
          </w:p>
        </w:tc>
      </w:tr>
      <w:tr w:rsidR="00250E98" w:rsidRPr="000A3F11" w14:paraId="2398A4E1" w14:textId="77777777" w:rsidTr="00221347">
        <w:trPr>
          <w:trHeight w:val="335"/>
          <w:jc w:val="center"/>
        </w:trPr>
        <w:tc>
          <w:tcPr>
            <w:tcW w:w="1975" w:type="dxa"/>
            <w:shd w:val="clear" w:color="auto" w:fill="auto"/>
            <w:noWrap/>
            <w:vAlign w:val="center"/>
            <w:hideMark/>
          </w:tcPr>
          <w:p w14:paraId="7DA358CB" w14:textId="77777777" w:rsidR="00250E98" w:rsidRPr="00221347" w:rsidRDefault="00250E98" w:rsidP="00FD00E1">
            <w:pP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Desfecho: Óbito</w:t>
            </w:r>
          </w:p>
        </w:tc>
        <w:tc>
          <w:tcPr>
            <w:tcW w:w="1269" w:type="dxa"/>
            <w:shd w:val="clear" w:color="auto" w:fill="auto"/>
            <w:noWrap/>
            <w:vAlign w:val="center"/>
          </w:tcPr>
          <w:p w14:paraId="7E924FDD"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44 (100,00)</w:t>
            </w:r>
          </w:p>
        </w:tc>
        <w:tc>
          <w:tcPr>
            <w:tcW w:w="755" w:type="dxa"/>
            <w:shd w:val="clear" w:color="auto" w:fill="auto"/>
            <w:noWrap/>
            <w:vAlign w:val="center"/>
          </w:tcPr>
          <w:p w14:paraId="4E0ED5AF" w14:textId="77777777" w:rsidR="00250E98" w:rsidRPr="00221347" w:rsidRDefault="00250E98" w:rsidP="00FD00E1">
            <w:pPr>
              <w:jc w:val="center"/>
              <w:rPr>
                <w:rFonts w:ascii="Arial" w:eastAsia="Times New Roman" w:hAnsi="Arial" w:cs="Arial"/>
                <w:color w:val="000000"/>
                <w:sz w:val="20"/>
                <w:szCs w:val="20"/>
                <w:lang w:eastAsia="pt-BR"/>
              </w:rPr>
            </w:pPr>
          </w:p>
        </w:tc>
        <w:tc>
          <w:tcPr>
            <w:tcW w:w="987" w:type="dxa"/>
            <w:shd w:val="clear" w:color="auto" w:fill="auto"/>
            <w:noWrap/>
            <w:vAlign w:val="center"/>
          </w:tcPr>
          <w:p w14:paraId="2A2872EB" w14:textId="77777777" w:rsidR="00250E98" w:rsidRPr="00221347" w:rsidRDefault="00250E98" w:rsidP="00FD00E1">
            <w:pPr>
              <w:jc w:val="center"/>
              <w:rPr>
                <w:rFonts w:ascii="Arial" w:eastAsia="Times New Roman" w:hAnsi="Arial" w:cs="Arial"/>
                <w:sz w:val="20"/>
                <w:szCs w:val="20"/>
                <w:lang w:eastAsia="pt-BR"/>
              </w:rPr>
            </w:pPr>
          </w:p>
        </w:tc>
        <w:tc>
          <w:tcPr>
            <w:tcW w:w="804" w:type="dxa"/>
            <w:shd w:val="clear" w:color="auto" w:fill="auto"/>
            <w:noWrap/>
            <w:vAlign w:val="center"/>
          </w:tcPr>
          <w:p w14:paraId="6CCD5AC4" w14:textId="77777777" w:rsidR="00250E98" w:rsidRPr="00221347" w:rsidRDefault="00250E98" w:rsidP="00FD00E1">
            <w:pPr>
              <w:jc w:val="center"/>
              <w:rPr>
                <w:rFonts w:ascii="Arial" w:eastAsia="Times New Roman" w:hAnsi="Arial" w:cs="Arial"/>
                <w:sz w:val="20"/>
                <w:szCs w:val="20"/>
                <w:lang w:eastAsia="pt-BR"/>
              </w:rPr>
            </w:pPr>
          </w:p>
        </w:tc>
        <w:tc>
          <w:tcPr>
            <w:tcW w:w="1295" w:type="dxa"/>
            <w:shd w:val="clear" w:color="auto" w:fill="auto"/>
            <w:noWrap/>
            <w:vAlign w:val="center"/>
          </w:tcPr>
          <w:p w14:paraId="1D1FF04A" w14:textId="77777777" w:rsidR="00250E98" w:rsidRPr="00221347" w:rsidRDefault="00250E98" w:rsidP="00FD00E1">
            <w:pPr>
              <w:jc w:val="center"/>
              <w:rPr>
                <w:rFonts w:ascii="Arial" w:eastAsia="Times New Roman" w:hAnsi="Arial" w:cs="Arial"/>
                <w:sz w:val="20"/>
                <w:szCs w:val="20"/>
                <w:lang w:eastAsia="pt-BR"/>
              </w:rPr>
            </w:pPr>
          </w:p>
        </w:tc>
        <w:tc>
          <w:tcPr>
            <w:tcW w:w="1175" w:type="dxa"/>
            <w:shd w:val="clear" w:color="auto" w:fill="auto"/>
            <w:noWrap/>
            <w:vAlign w:val="center"/>
          </w:tcPr>
          <w:p w14:paraId="6D520DB0" w14:textId="77777777" w:rsidR="00250E98" w:rsidRPr="00221347" w:rsidRDefault="00250E98" w:rsidP="00FD00E1">
            <w:pPr>
              <w:jc w:val="center"/>
              <w:rPr>
                <w:rFonts w:ascii="Arial" w:eastAsia="Times New Roman" w:hAnsi="Arial" w:cs="Arial"/>
                <w:sz w:val="20"/>
                <w:szCs w:val="20"/>
                <w:lang w:eastAsia="pt-BR"/>
              </w:rPr>
            </w:pPr>
          </w:p>
        </w:tc>
        <w:tc>
          <w:tcPr>
            <w:tcW w:w="876" w:type="dxa"/>
            <w:shd w:val="clear" w:color="auto" w:fill="auto"/>
            <w:noWrap/>
            <w:vAlign w:val="center"/>
          </w:tcPr>
          <w:p w14:paraId="7FE40BB9" w14:textId="77777777" w:rsidR="00250E98" w:rsidRPr="00221347" w:rsidRDefault="00250E98" w:rsidP="00FD00E1">
            <w:pPr>
              <w:jc w:val="center"/>
              <w:rPr>
                <w:rFonts w:ascii="Arial" w:eastAsia="Times New Roman" w:hAnsi="Arial" w:cs="Arial"/>
                <w:sz w:val="20"/>
                <w:szCs w:val="20"/>
                <w:lang w:eastAsia="pt-BR"/>
              </w:rPr>
            </w:pPr>
          </w:p>
        </w:tc>
        <w:tc>
          <w:tcPr>
            <w:tcW w:w="806" w:type="dxa"/>
            <w:shd w:val="clear" w:color="auto" w:fill="auto"/>
            <w:noWrap/>
            <w:vAlign w:val="center"/>
          </w:tcPr>
          <w:p w14:paraId="6AA2C2E6" w14:textId="77777777" w:rsidR="00250E98" w:rsidRPr="00221347" w:rsidRDefault="00250E98" w:rsidP="00FD00E1">
            <w:pPr>
              <w:jc w:val="center"/>
              <w:rPr>
                <w:rFonts w:ascii="Arial" w:eastAsia="Times New Roman" w:hAnsi="Arial" w:cs="Arial"/>
                <w:sz w:val="20"/>
                <w:szCs w:val="20"/>
                <w:lang w:eastAsia="pt-BR"/>
              </w:rPr>
            </w:pPr>
          </w:p>
        </w:tc>
        <w:tc>
          <w:tcPr>
            <w:tcW w:w="927" w:type="dxa"/>
            <w:shd w:val="clear" w:color="auto" w:fill="auto"/>
            <w:noWrap/>
            <w:vAlign w:val="center"/>
          </w:tcPr>
          <w:p w14:paraId="011BD3CA" w14:textId="77777777" w:rsidR="00250E98" w:rsidRPr="00221347" w:rsidRDefault="00250E98" w:rsidP="00FD00E1">
            <w:pPr>
              <w:jc w:val="center"/>
              <w:rPr>
                <w:rFonts w:ascii="Arial" w:eastAsia="Times New Roman" w:hAnsi="Arial" w:cs="Arial"/>
                <w:sz w:val="20"/>
                <w:szCs w:val="20"/>
                <w:lang w:eastAsia="pt-BR"/>
              </w:rPr>
            </w:pPr>
          </w:p>
        </w:tc>
      </w:tr>
      <w:tr w:rsidR="00250E98" w:rsidRPr="000A3F11" w14:paraId="00361EE6" w14:textId="77777777" w:rsidTr="00221347">
        <w:trPr>
          <w:trHeight w:val="335"/>
          <w:jc w:val="center"/>
        </w:trPr>
        <w:tc>
          <w:tcPr>
            <w:tcW w:w="1975" w:type="dxa"/>
            <w:shd w:val="clear" w:color="auto" w:fill="auto"/>
            <w:noWrap/>
            <w:vAlign w:val="center"/>
          </w:tcPr>
          <w:p w14:paraId="31FA23EE"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Maior tumor &gt; 5 cm</w:t>
            </w:r>
          </w:p>
        </w:tc>
        <w:tc>
          <w:tcPr>
            <w:tcW w:w="1269" w:type="dxa"/>
            <w:shd w:val="clear" w:color="auto" w:fill="auto"/>
            <w:noWrap/>
            <w:vAlign w:val="center"/>
          </w:tcPr>
          <w:p w14:paraId="64413EC8"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8 (18,18)</w:t>
            </w:r>
          </w:p>
        </w:tc>
        <w:tc>
          <w:tcPr>
            <w:tcW w:w="755" w:type="dxa"/>
            <w:shd w:val="clear" w:color="auto" w:fill="auto"/>
            <w:noWrap/>
            <w:vAlign w:val="center"/>
          </w:tcPr>
          <w:p w14:paraId="361274A2"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2,4444</w:t>
            </w:r>
          </w:p>
        </w:tc>
        <w:tc>
          <w:tcPr>
            <w:tcW w:w="987" w:type="dxa"/>
            <w:shd w:val="clear" w:color="auto" w:fill="auto"/>
            <w:noWrap/>
            <w:vAlign w:val="center"/>
          </w:tcPr>
          <w:p w14:paraId="7D113148" w14:textId="77777777" w:rsidR="00250E98" w:rsidRPr="00221347" w:rsidRDefault="00250E98" w:rsidP="00FD00E1">
            <w:pPr>
              <w:jc w:val="center"/>
              <w:rPr>
                <w:rFonts w:ascii="Arial" w:eastAsia="Times New Roman" w:hAnsi="Arial" w:cs="Arial"/>
                <w:b/>
                <w:bCs/>
                <w:color w:val="000000"/>
                <w:sz w:val="20"/>
                <w:szCs w:val="20"/>
                <w:lang w:eastAsia="pt-BR"/>
              </w:rPr>
            </w:pPr>
            <w:r w:rsidRPr="00221347">
              <w:rPr>
                <w:rFonts w:ascii="Arial" w:eastAsia="Times New Roman" w:hAnsi="Arial" w:cs="Arial"/>
                <w:b/>
                <w:bCs/>
                <w:color w:val="000000"/>
                <w:sz w:val="20"/>
                <w:szCs w:val="20"/>
                <w:lang w:eastAsia="pt-BR"/>
              </w:rPr>
              <w:t>0,171*</w:t>
            </w:r>
          </w:p>
        </w:tc>
        <w:tc>
          <w:tcPr>
            <w:tcW w:w="804" w:type="dxa"/>
            <w:shd w:val="clear" w:color="auto" w:fill="auto"/>
            <w:noWrap/>
            <w:vAlign w:val="center"/>
          </w:tcPr>
          <w:p w14:paraId="179C8D79"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0,6807</w:t>
            </w:r>
          </w:p>
        </w:tc>
        <w:tc>
          <w:tcPr>
            <w:tcW w:w="1295" w:type="dxa"/>
            <w:shd w:val="clear" w:color="auto" w:fill="auto"/>
            <w:noWrap/>
            <w:vAlign w:val="center"/>
          </w:tcPr>
          <w:p w14:paraId="6BEC073D"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8,7786</w:t>
            </w:r>
          </w:p>
        </w:tc>
        <w:tc>
          <w:tcPr>
            <w:tcW w:w="1175" w:type="dxa"/>
            <w:shd w:val="clear" w:color="auto" w:fill="auto"/>
            <w:noWrap/>
            <w:vAlign w:val="center"/>
          </w:tcPr>
          <w:p w14:paraId="58DE9669"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6E3D1FAB"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39F4E80B"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0376D0D5" w14:textId="77777777" w:rsidR="00250E98" w:rsidRPr="00221347" w:rsidRDefault="00250E98" w:rsidP="00FD00E1">
            <w:pPr>
              <w:jc w:val="center"/>
              <w:rPr>
                <w:rFonts w:ascii="Arial" w:eastAsia="Times New Roman" w:hAnsi="Arial" w:cs="Arial"/>
                <w:color w:val="000000"/>
                <w:sz w:val="20"/>
                <w:szCs w:val="20"/>
                <w:lang w:eastAsia="pt-BR"/>
              </w:rPr>
            </w:pPr>
          </w:p>
        </w:tc>
      </w:tr>
      <w:tr w:rsidR="00250E98" w:rsidRPr="000A3F11" w14:paraId="4C844788" w14:textId="77777777" w:rsidTr="00221347">
        <w:trPr>
          <w:trHeight w:val="335"/>
          <w:jc w:val="center"/>
        </w:trPr>
        <w:tc>
          <w:tcPr>
            <w:tcW w:w="1975" w:type="dxa"/>
            <w:shd w:val="clear" w:color="auto" w:fill="auto"/>
            <w:noWrap/>
            <w:vAlign w:val="center"/>
          </w:tcPr>
          <w:p w14:paraId="374C14C7"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Bilirrubina Total &gt; 1,2mg/</w:t>
            </w:r>
            <w:proofErr w:type="spellStart"/>
            <w:r w:rsidRPr="00221347">
              <w:rPr>
                <w:rFonts w:ascii="Arial" w:eastAsia="Times New Roman" w:hAnsi="Arial" w:cs="Arial"/>
                <w:color w:val="000000"/>
                <w:sz w:val="20"/>
                <w:szCs w:val="20"/>
                <w:lang w:eastAsia="pt-BR"/>
              </w:rPr>
              <w:t>dL</w:t>
            </w:r>
            <w:proofErr w:type="spellEnd"/>
          </w:p>
        </w:tc>
        <w:tc>
          <w:tcPr>
            <w:tcW w:w="1269" w:type="dxa"/>
            <w:shd w:val="clear" w:color="auto" w:fill="auto"/>
            <w:noWrap/>
            <w:vAlign w:val="center"/>
          </w:tcPr>
          <w:p w14:paraId="7CC5EB1C"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30 (68,18)</w:t>
            </w:r>
          </w:p>
        </w:tc>
        <w:tc>
          <w:tcPr>
            <w:tcW w:w="755" w:type="dxa"/>
            <w:shd w:val="clear" w:color="auto" w:fill="auto"/>
            <w:noWrap/>
            <w:vAlign w:val="center"/>
          </w:tcPr>
          <w:p w14:paraId="4FD9911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1,5306</w:t>
            </w:r>
          </w:p>
        </w:tc>
        <w:tc>
          <w:tcPr>
            <w:tcW w:w="987" w:type="dxa"/>
            <w:shd w:val="clear" w:color="auto" w:fill="auto"/>
            <w:noWrap/>
            <w:vAlign w:val="center"/>
          </w:tcPr>
          <w:p w14:paraId="689F622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0,329</w:t>
            </w:r>
          </w:p>
        </w:tc>
        <w:tc>
          <w:tcPr>
            <w:tcW w:w="804" w:type="dxa"/>
            <w:shd w:val="clear" w:color="auto" w:fill="auto"/>
            <w:noWrap/>
            <w:vAlign w:val="center"/>
          </w:tcPr>
          <w:p w14:paraId="4584C98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0,6507</w:t>
            </w:r>
          </w:p>
        </w:tc>
        <w:tc>
          <w:tcPr>
            <w:tcW w:w="1295" w:type="dxa"/>
            <w:shd w:val="clear" w:color="auto" w:fill="auto"/>
            <w:noWrap/>
            <w:vAlign w:val="center"/>
          </w:tcPr>
          <w:p w14:paraId="12353B8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3,6005</w:t>
            </w:r>
          </w:p>
        </w:tc>
        <w:tc>
          <w:tcPr>
            <w:tcW w:w="1175" w:type="dxa"/>
            <w:shd w:val="clear" w:color="auto" w:fill="auto"/>
            <w:noWrap/>
            <w:vAlign w:val="center"/>
          </w:tcPr>
          <w:p w14:paraId="1F3A90CD"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24D1D6A0"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21237CE9"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697BC6BE" w14:textId="77777777" w:rsidR="00250E98" w:rsidRPr="00221347" w:rsidRDefault="00250E98" w:rsidP="00FD00E1">
            <w:pPr>
              <w:jc w:val="center"/>
              <w:rPr>
                <w:rFonts w:ascii="Arial" w:eastAsia="Times New Roman" w:hAnsi="Arial" w:cs="Arial"/>
                <w:color w:val="000000"/>
                <w:sz w:val="20"/>
                <w:szCs w:val="20"/>
                <w:lang w:eastAsia="pt-BR"/>
              </w:rPr>
            </w:pPr>
          </w:p>
        </w:tc>
      </w:tr>
      <w:tr w:rsidR="00250E98" w:rsidRPr="000A3F11" w14:paraId="0C0F2F67" w14:textId="77777777" w:rsidTr="00221347">
        <w:trPr>
          <w:trHeight w:val="335"/>
          <w:jc w:val="center"/>
        </w:trPr>
        <w:tc>
          <w:tcPr>
            <w:tcW w:w="1975" w:type="dxa"/>
            <w:shd w:val="clear" w:color="auto" w:fill="auto"/>
            <w:noWrap/>
            <w:vAlign w:val="center"/>
          </w:tcPr>
          <w:p w14:paraId="09B90473" w14:textId="77777777" w:rsidR="00250E98" w:rsidRPr="00221347" w:rsidRDefault="00250E98" w:rsidP="00FD00E1">
            <w:pPr>
              <w:rPr>
                <w:rFonts w:ascii="Arial" w:eastAsia="Times New Roman" w:hAnsi="Arial" w:cs="Arial"/>
                <w:color w:val="000000"/>
                <w:sz w:val="20"/>
                <w:szCs w:val="20"/>
                <w:lang w:eastAsia="pt-BR"/>
              </w:rPr>
            </w:pPr>
            <w:proofErr w:type="spellStart"/>
            <w:r w:rsidRPr="00221347">
              <w:rPr>
                <w:rFonts w:ascii="Arial" w:eastAsia="Times New Roman" w:hAnsi="Arial" w:cs="Arial"/>
                <w:color w:val="000000"/>
                <w:sz w:val="20"/>
                <w:szCs w:val="20"/>
                <w:lang w:eastAsia="pt-BR"/>
              </w:rPr>
              <w:t>Plaquetograma</w:t>
            </w:r>
            <w:proofErr w:type="spellEnd"/>
            <w:r w:rsidRPr="00221347">
              <w:rPr>
                <w:rFonts w:ascii="Arial" w:eastAsia="Times New Roman" w:hAnsi="Arial" w:cs="Arial"/>
                <w:color w:val="000000"/>
                <w:sz w:val="20"/>
                <w:szCs w:val="20"/>
                <w:lang w:eastAsia="pt-BR"/>
              </w:rPr>
              <w:t xml:space="preserve"> &lt; 100 x10</w:t>
            </w:r>
            <w:r w:rsidRPr="00221347">
              <w:rPr>
                <w:rFonts w:ascii="Arial" w:eastAsia="Times New Roman" w:hAnsi="Arial" w:cs="Arial"/>
                <w:color w:val="000000"/>
                <w:sz w:val="20"/>
                <w:szCs w:val="20"/>
                <w:vertAlign w:val="superscript"/>
                <w:lang w:eastAsia="pt-BR"/>
              </w:rPr>
              <w:t>9</w:t>
            </w:r>
            <w:r w:rsidRPr="00221347">
              <w:rPr>
                <w:rFonts w:ascii="Arial" w:eastAsia="Times New Roman" w:hAnsi="Arial" w:cs="Arial"/>
                <w:color w:val="000000"/>
                <w:sz w:val="20"/>
                <w:szCs w:val="20"/>
                <w:lang w:eastAsia="pt-BR"/>
              </w:rPr>
              <w:t>/L</w:t>
            </w:r>
          </w:p>
        </w:tc>
        <w:tc>
          <w:tcPr>
            <w:tcW w:w="1269" w:type="dxa"/>
            <w:shd w:val="clear" w:color="auto" w:fill="auto"/>
            <w:noWrap/>
            <w:vAlign w:val="center"/>
          </w:tcPr>
          <w:p w14:paraId="19EC73AA"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31 (70,45)</w:t>
            </w:r>
          </w:p>
        </w:tc>
        <w:tc>
          <w:tcPr>
            <w:tcW w:w="755" w:type="dxa"/>
            <w:shd w:val="clear" w:color="auto" w:fill="auto"/>
            <w:noWrap/>
            <w:vAlign w:val="center"/>
          </w:tcPr>
          <w:p w14:paraId="1F1E09F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1,5623</w:t>
            </w:r>
          </w:p>
        </w:tc>
        <w:tc>
          <w:tcPr>
            <w:tcW w:w="987" w:type="dxa"/>
            <w:shd w:val="clear" w:color="auto" w:fill="auto"/>
            <w:noWrap/>
            <w:vAlign w:val="center"/>
          </w:tcPr>
          <w:p w14:paraId="5E710DF6"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0,314</w:t>
            </w:r>
          </w:p>
        </w:tc>
        <w:tc>
          <w:tcPr>
            <w:tcW w:w="804" w:type="dxa"/>
            <w:shd w:val="clear" w:color="auto" w:fill="auto"/>
            <w:noWrap/>
            <w:vAlign w:val="center"/>
          </w:tcPr>
          <w:p w14:paraId="32319047"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0,6556</w:t>
            </w:r>
          </w:p>
        </w:tc>
        <w:tc>
          <w:tcPr>
            <w:tcW w:w="1295" w:type="dxa"/>
            <w:shd w:val="clear" w:color="auto" w:fill="auto"/>
            <w:noWrap/>
            <w:vAlign w:val="center"/>
          </w:tcPr>
          <w:p w14:paraId="3278BB9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3,7231</w:t>
            </w:r>
          </w:p>
        </w:tc>
        <w:tc>
          <w:tcPr>
            <w:tcW w:w="1175" w:type="dxa"/>
            <w:shd w:val="clear" w:color="auto" w:fill="auto"/>
            <w:noWrap/>
            <w:vAlign w:val="center"/>
          </w:tcPr>
          <w:p w14:paraId="5CC0D0B1"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6C12EB6B"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2CDE4EE6"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67859E1A" w14:textId="77777777" w:rsidR="00250E98" w:rsidRPr="00221347" w:rsidRDefault="00250E98" w:rsidP="00FD00E1">
            <w:pPr>
              <w:jc w:val="center"/>
              <w:rPr>
                <w:rFonts w:ascii="Arial" w:eastAsia="Times New Roman" w:hAnsi="Arial" w:cs="Arial"/>
                <w:color w:val="000000"/>
                <w:sz w:val="20"/>
                <w:szCs w:val="20"/>
                <w:lang w:eastAsia="pt-BR"/>
              </w:rPr>
            </w:pPr>
          </w:p>
        </w:tc>
      </w:tr>
      <w:tr w:rsidR="00250E98" w:rsidRPr="000A3F11" w14:paraId="43446763" w14:textId="77777777" w:rsidTr="00221347">
        <w:trPr>
          <w:trHeight w:val="335"/>
          <w:jc w:val="center"/>
        </w:trPr>
        <w:tc>
          <w:tcPr>
            <w:tcW w:w="1975" w:type="dxa"/>
            <w:shd w:val="clear" w:color="auto" w:fill="auto"/>
            <w:noWrap/>
            <w:vAlign w:val="center"/>
          </w:tcPr>
          <w:p w14:paraId="3D9A41BC"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Albumina Sérica &lt; 3,5 ou &gt; 5,5g/</w:t>
            </w:r>
            <w:proofErr w:type="spellStart"/>
            <w:r w:rsidRPr="00221347">
              <w:rPr>
                <w:rFonts w:ascii="Arial" w:eastAsia="Times New Roman" w:hAnsi="Arial" w:cs="Arial"/>
                <w:color w:val="000000"/>
                <w:sz w:val="20"/>
                <w:szCs w:val="20"/>
                <w:lang w:eastAsia="pt-BR"/>
              </w:rPr>
              <w:t>dL</w:t>
            </w:r>
            <w:proofErr w:type="spellEnd"/>
          </w:p>
        </w:tc>
        <w:tc>
          <w:tcPr>
            <w:tcW w:w="1269" w:type="dxa"/>
            <w:shd w:val="clear" w:color="auto" w:fill="auto"/>
            <w:noWrap/>
            <w:vAlign w:val="center"/>
          </w:tcPr>
          <w:p w14:paraId="61D88F6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23 (52,27)</w:t>
            </w:r>
          </w:p>
        </w:tc>
        <w:tc>
          <w:tcPr>
            <w:tcW w:w="755" w:type="dxa"/>
            <w:shd w:val="clear" w:color="auto" w:fill="auto"/>
            <w:noWrap/>
            <w:vAlign w:val="center"/>
          </w:tcPr>
          <w:p w14:paraId="4C034966"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1,5333</w:t>
            </w:r>
          </w:p>
        </w:tc>
        <w:tc>
          <w:tcPr>
            <w:tcW w:w="987" w:type="dxa"/>
            <w:shd w:val="clear" w:color="auto" w:fill="auto"/>
            <w:noWrap/>
            <w:vAlign w:val="center"/>
          </w:tcPr>
          <w:p w14:paraId="3523B11C"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0,309</w:t>
            </w:r>
          </w:p>
        </w:tc>
        <w:tc>
          <w:tcPr>
            <w:tcW w:w="804" w:type="dxa"/>
            <w:shd w:val="clear" w:color="auto" w:fill="auto"/>
            <w:noWrap/>
            <w:vAlign w:val="center"/>
          </w:tcPr>
          <w:p w14:paraId="354E5DF5"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0,6725</w:t>
            </w:r>
          </w:p>
        </w:tc>
        <w:tc>
          <w:tcPr>
            <w:tcW w:w="1295" w:type="dxa"/>
            <w:shd w:val="clear" w:color="auto" w:fill="auto"/>
            <w:noWrap/>
            <w:vAlign w:val="center"/>
          </w:tcPr>
          <w:p w14:paraId="1A77513B"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3,4959</w:t>
            </w:r>
          </w:p>
        </w:tc>
        <w:tc>
          <w:tcPr>
            <w:tcW w:w="1175" w:type="dxa"/>
            <w:shd w:val="clear" w:color="auto" w:fill="auto"/>
            <w:noWrap/>
            <w:vAlign w:val="center"/>
          </w:tcPr>
          <w:p w14:paraId="6E73F403"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7164FE0A" w14:textId="77777777" w:rsidR="00250E98" w:rsidRPr="00221347" w:rsidRDefault="00250E98" w:rsidP="00FD00E1">
            <w:pPr>
              <w:jc w:val="center"/>
              <w:rPr>
                <w:rFonts w:ascii="Arial" w:eastAsia="Times New Roman" w:hAnsi="Arial" w:cs="Arial"/>
                <w:sz w:val="20"/>
                <w:szCs w:val="20"/>
                <w:lang w:eastAsia="pt-BR"/>
              </w:rPr>
            </w:pPr>
          </w:p>
        </w:tc>
        <w:tc>
          <w:tcPr>
            <w:tcW w:w="806" w:type="dxa"/>
            <w:shd w:val="clear" w:color="auto" w:fill="auto"/>
            <w:noWrap/>
            <w:vAlign w:val="center"/>
          </w:tcPr>
          <w:p w14:paraId="4A72B5A6" w14:textId="77777777" w:rsidR="00250E98" w:rsidRPr="00221347" w:rsidRDefault="00250E98" w:rsidP="00FD00E1">
            <w:pPr>
              <w:jc w:val="center"/>
              <w:rPr>
                <w:rFonts w:ascii="Arial" w:eastAsia="Times New Roman" w:hAnsi="Arial" w:cs="Arial"/>
                <w:sz w:val="20"/>
                <w:szCs w:val="20"/>
                <w:lang w:eastAsia="pt-BR"/>
              </w:rPr>
            </w:pPr>
          </w:p>
        </w:tc>
        <w:tc>
          <w:tcPr>
            <w:tcW w:w="927" w:type="dxa"/>
            <w:shd w:val="clear" w:color="auto" w:fill="auto"/>
            <w:noWrap/>
            <w:vAlign w:val="center"/>
          </w:tcPr>
          <w:p w14:paraId="2DAF906D" w14:textId="77777777" w:rsidR="00250E98" w:rsidRPr="00221347" w:rsidRDefault="00250E98" w:rsidP="00FD00E1">
            <w:pPr>
              <w:jc w:val="center"/>
              <w:rPr>
                <w:rFonts w:ascii="Arial" w:eastAsia="Times New Roman" w:hAnsi="Arial" w:cs="Arial"/>
                <w:sz w:val="20"/>
                <w:szCs w:val="20"/>
                <w:lang w:eastAsia="pt-BR"/>
              </w:rPr>
            </w:pPr>
          </w:p>
        </w:tc>
      </w:tr>
      <w:tr w:rsidR="00250E98" w:rsidRPr="000A3F11" w14:paraId="18529A9B" w14:textId="77777777" w:rsidTr="00221347">
        <w:trPr>
          <w:trHeight w:val="335"/>
          <w:jc w:val="center"/>
        </w:trPr>
        <w:tc>
          <w:tcPr>
            <w:tcW w:w="1975" w:type="dxa"/>
            <w:shd w:val="clear" w:color="auto" w:fill="auto"/>
            <w:noWrap/>
            <w:vAlign w:val="center"/>
          </w:tcPr>
          <w:p w14:paraId="323F06E0"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GGT &gt; 130 U/L</w:t>
            </w:r>
          </w:p>
        </w:tc>
        <w:tc>
          <w:tcPr>
            <w:tcW w:w="1269" w:type="dxa"/>
            <w:shd w:val="clear" w:color="auto" w:fill="auto"/>
            <w:noWrap/>
            <w:vAlign w:val="center"/>
          </w:tcPr>
          <w:p w14:paraId="36F784E9"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17 (38,64)</w:t>
            </w:r>
          </w:p>
        </w:tc>
        <w:tc>
          <w:tcPr>
            <w:tcW w:w="755" w:type="dxa"/>
            <w:shd w:val="clear" w:color="auto" w:fill="auto"/>
            <w:noWrap/>
            <w:vAlign w:val="center"/>
          </w:tcPr>
          <w:p w14:paraId="50B2A7B3"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0,7441</w:t>
            </w:r>
          </w:p>
        </w:tc>
        <w:tc>
          <w:tcPr>
            <w:tcW w:w="987" w:type="dxa"/>
            <w:shd w:val="clear" w:color="auto" w:fill="auto"/>
            <w:noWrap/>
            <w:vAlign w:val="center"/>
          </w:tcPr>
          <w:p w14:paraId="70D85BAF"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0,486</w:t>
            </w:r>
          </w:p>
        </w:tc>
        <w:tc>
          <w:tcPr>
            <w:tcW w:w="804" w:type="dxa"/>
            <w:shd w:val="clear" w:color="auto" w:fill="auto"/>
            <w:noWrap/>
            <w:vAlign w:val="center"/>
          </w:tcPr>
          <w:p w14:paraId="37424ABA"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0,3241</w:t>
            </w:r>
          </w:p>
        </w:tc>
        <w:tc>
          <w:tcPr>
            <w:tcW w:w="1295" w:type="dxa"/>
            <w:shd w:val="clear" w:color="auto" w:fill="auto"/>
            <w:noWrap/>
            <w:vAlign w:val="center"/>
          </w:tcPr>
          <w:p w14:paraId="053988A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1,7082</w:t>
            </w:r>
          </w:p>
        </w:tc>
        <w:tc>
          <w:tcPr>
            <w:tcW w:w="1175" w:type="dxa"/>
            <w:shd w:val="clear" w:color="auto" w:fill="auto"/>
            <w:noWrap/>
            <w:vAlign w:val="center"/>
          </w:tcPr>
          <w:p w14:paraId="0B3D3D27"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475FAEA6" w14:textId="77777777" w:rsidR="00250E98" w:rsidRPr="00221347" w:rsidRDefault="00250E98" w:rsidP="00FD00E1">
            <w:pPr>
              <w:jc w:val="center"/>
              <w:rPr>
                <w:rFonts w:ascii="Arial" w:eastAsia="Times New Roman" w:hAnsi="Arial" w:cs="Arial"/>
                <w:b/>
                <w:bCs/>
                <w:color w:val="000000"/>
                <w:sz w:val="20"/>
                <w:szCs w:val="20"/>
                <w:lang w:eastAsia="pt-BR"/>
              </w:rPr>
            </w:pPr>
          </w:p>
        </w:tc>
        <w:tc>
          <w:tcPr>
            <w:tcW w:w="806" w:type="dxa"/>
            <w:shd w:val="clear" w:color="auto" w:fill="auto"/>
            <w:noWrap/>
            <w:vAlign w:val="center"/>
          </w:tcPr>
          <w:p w14:paraId="3CBBF9F6" w14:textId="77777777" w:rsidR="00250E98" w:rsidRPr="00221347" w:rsidRDefault="00250E98" w:rsidP="00FD00E1">
            <w:pPr>
              <w:jc w:val="center"/>
              <w:rPr>
                <w:rFonts w:ascii="Arial" w:eastAsia="Times New Roman" w:hAnsi="Arial" w:cs="Arial"/>
                <w:b/>
                <w:bCs/>
                <w:color w:val="000000"/>
                <w:sz w:val="20"/>
                <w:szCs w:val="20"/>
                <w:lang w:eastAsia="pt-BR"/>
              </w:rPr>
            </w:pPr>
          </w:p>
        </w:tc>
        <w:tc>
          <w:tcPr>
            <w:tcW w:w="927" w:type="dxa"/>
            <w:shd w:val="clear" w:color="auto" w:fill="auto"/>
            <w:noWrap/>
            <w:vAlign w:val="center"/>
          </w:tcPr>
          <w:p w14:paraId="12711C2D" w14:textId="77777777" w:rsidR="00250E98" w:rsidRPr="00221347" w:rsidRDefault="00250E98" w:rsidP="00FD00E1">
            <w:pPr>
              <w:jc w:val="center"/>
              <w:rPr>
                <w:rFonts w:ascii="Arial" w:eastAsia="Times New Roman" w:hAnsi="Arial" w:cs="Arial"/>
                <w:b/>
                <w:bCs/>
                <w:color w:val="000000"/>
                <w:sz w:val="20"/>
                <w:szCs w:val="20"/>
                <w:lang w:eastAsia="pt-BR"/>
              </w:rPr>
            </w:pPr>
          </w:p>
        </w:tc>
      </w:tr>
      <w:tr w:rsidR="00250E98" w:rsidRPr="000A3F11" w14:paraId="30C3B335" w14:textId="77777777" w:rsidTr="00221347">
        <w:trPr>
          <w:trHeight w:val="335"/>
          <w:jc w:val="center"/>
        </w:trPr>
        <w:tc>
          <w:tcPr>
            <w:tcW w:w="1975" w:type="dxa"/>
            <w:shd w:val="clear" w:color="auto" w:fill="auto"/>
            <w:noWrap/>
            <w:vAlign w:val="center"/>
          </w:tcPr>
          <w:p w14:paraId="3401DEE3" w14:textId="77777777" w:rsidR="00250E98" w:rsidRPr="00221347" w:rsidRDefault="00250E98" w:rsidP="00FD00E1">
            <w:pP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Invasão Microvascular</w:t>
            </w:r>
          </w:p>
        </w:tc>
        <w:tc>
          <w:tcPr>
            <w:tcW w:w="1269" w:type="dxa"/>
            <w:shd w:val="clear" w:color="auto" w:fill="auto"/>
            <w:noWrap/>
            <w:vAlign w:val="center"/>
          </w:tcPr>
          <w:p w14:paraId="46D0753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13 (29,55)</w:t>
            </w:r>
          </w:p>
        </w:tc>
        <w:tc>
          <w:tcPr>
            <w:tcW w:w="755" w:type="dxa"/>
            <w:shd w:val="clear" w:color="auto" w:fill="auto"/>
            <w:noWrap/>
            <w:vAlign w:val="center"/>
          </w:tcPr>
          <w:p w14:paraId="462EB001"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0,8387</w:t>
            </w:r>
          </w:p>
        </w:tc>
        <w:tc>
          <w:tcPr>
            <w:tcW w:w="987" w:type="dxa"/>
            <w:shd w:val="clear" w:color="auto" w:fill="auto"/>
            <w:noWrap/>
            <w:vAlign w:val="center"/>
          </w:tcPr>
          <w:p w14:paraId="0822E019"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0,696</w:t>
            </w:r>
          </w:p>
        </w:tc>
        <w:tc>
          <w:tcPr>
            <w:tcW w:w="804" w:type="dxa"/>
            <w:shd w:val="clear" w:color="auto" w:fill="auto"/>
            <w:noWrap/>
            <w:vAlign w:val="center"/>
          </w:tcPr>
          <w:p w14:paraId="3CFBC85E"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0,3469</w:t>
            </w:r>
          </w:p>
        </w:tc>
        <w:tc>
          <w:tcPr>
            <w:tcW w:w="1295" w:type="dxa"/>
            <w:shd w:val="clear" w:color="auto" w:fill="auto"/>
            <w:noWrap/>
            <w:vAlign w:val="center"/>
          </w:tcPr>
          <w:p w14:paraId="22429B36" w14:textId="77777777" w:rsidR="00250E98" w:rsidRPr="00221347" w:rsidRDefault="00250E98" w:rsidP="00FD00E1">
            <w:pPr>
              <w:jc w:val="center"/>
              <w:rPr>
                <w:rFonts w:ascii="Arial" w:eastAsia="Times New Roman" w:hAnsi="Arial" w:cs="Arial"/>
                <w:color w:val="000000"/>
                <w:sz w:val="20"/>
                <w:szCs w:val="20"/>
                <w:lang w:eastAsia="pt-BR"/>
              </w:rPr>
            </w:pPr>
            <w:r w:rsidRPr="00221347">
              <w:rPr>
                <w:rFonts w:ascii="Arial" w:eastAsia="Times New Roman" w:hAnsi="Arial" w:cs="Arial"/>
                <w:color w:val="000000"/>
                <w:sz w:val="20"/>
                <w:szCs w:val="20"/>
                <w:lang w:eastAsia="pt-BR"/>
              </w:rPr>
              <w:t>2,0280</w:t>
            </w:r>
          </w:p>
        </w:tc>
        <w:tc>
          <w:tcPr>
            <w:tcW w:w="1175" w:type="dxa"/>
            <w:shd w:val="clear" w:color="auto" w:fill="auto"/>
            <w:noWrap/>
            <w:vAlign w:val="center"/>
          </w:tcPr>
          <w:p w14:paraId="70493105"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42EA74D1"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37905443"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36FD5C1E" w14:textId="77777777" w:rsidR="00250E98" w:rsidRPr="00221347" w:rsidRDefault="00250E98" w:rsidP="00FD00E1">
            <w:pPr>
              <w:jc w:val="center"/>
              <w:rPr>
                <w:rFonts w:ascii="Arial" w:eastAsia="Times New Roman" w:hAnsi="Arial" w:cs="Arial"/>
                <w:color w:val="000000"/>
                <w:sz w:val="20"/>
                <w:szCs w:val="20"/>
                <w:lang w:eastAsia="pt-BR"/>
              </w:rPr>
            </w:pPr>
          </w:p>
        </w:tc>
      </w:tr>
      <w:tr w:rsidR="00250E98" w:rsidRPr="000A3F11" w14:paraId="0DF7A56E" w14:textId="77777777" w:rsidTr="00221347">
        <w:trPr>
          <w:trHeight w:val="335"/>
          <w:jc w:val="center"/>
        </w:trPr>
        <w:tc>
          <w:tcPr>
            <w:tcW w:w="1975" w:type="dxa"/>
            <w:shd w:val="clear" w:color="auto" w:fill="auto"/>
            <w:noWrap/>
            <w:vAlign w:val="center"/>
          </w:tcPr>
          <w:p w14:paraId="5EBEB698" w14:textId="77777777" w:rsidR="00250E98" w:rsidRPr="00221347" w:rsidRDefault="00250E98" w:rsidP="00FD00E1">
            <w:pPr>
              <w:rPr>
                <w:rFonts w:ascii="Arial" w:eastAsia="Times New Roman" w:hAnsi="Arial" w:cs="Arial"/>
                <w:color w:val="000000"/>
                <w:sz w:val="20"/>
                <w:szCs w:val="20"/>
                <w:lang w:eastAsia="pt-BR"/>
              </w:rPr>
            </w:pPr>
          </w:p>
        </w:tc>
        <w:tc>
          <w:tcPr>
            <w:tcW w:w="1269" w:type="dxa"/>
            <w:shd w:val="clear" w:color="auto" w:fill="auto"/>
            <w:noWrap/>
            <w:vAlign w:val="center"/>
          </w:tcPr>
          <w:p w14:paraId="556FC3DA" w14:textId="77777777" w:rsidR="00250E98" w:rsidRPr="00221347" w:rsidRDefault="00250E98" w:rsidP="00FD00E1">
            <w:pPr>
              <w:jc w:val="center"/>
              <w:rPr>
                <w:rFonts w:ascii="Arial" w:eastAsia="Times New Roman" w:hAnsi="Arial" w:cs="Arial"/>
                <w:color w:val="000000"/>
                <w:sz w:val="20"/>
                <w:szCs w:val="20"/>
                <w:lang w:eastAsia="pt-BR"/>
              </w:rPr>
            </w:pPr>
          </w:p>
        </w:tc>
        <w:tc>
          <w:tcPr>
            <w:tcW w:w="755" w:type="dxa"/>
            <w:shd w:val="clear" w:color="auto" w:fill="auto"/>
            <w:noWrap/>
            <w:vAlign w:val="center"/>
          </w:tcPr>
          <w:p w14:paraId="3BB96BD8" w14:textId="77777777" w:rsidR="00250E98" w:rsidRPr="00221347" w:rsidRDefault="00250E98" w:rsidP="00FD00E1">
            <w:pPr>
              <w:jc w:val="center"/>
              <w:rPr>
                <w:rFonts w:ascii="Arial" w:eastAsia="Times New Roman" w:hAnsi="Arial" w:cs="Arial"/>
                <w:color w:val="000000"/>
                <w:sz w:val="20"/>
                <w:szCs w:val="20"/>
                <w:lang w:eastAsia="pt-BR"/>
              </w:rPr>
            </w:pPr>
          </w:p>
        </w:tc>
        <w:tc>
          <w:tcPr>
            <w:tcW w:w="987" w:type="dxa"/>
            <w:shd w:val="clear" w:color="auto" w:fill="auto"/>
            <w:noWrap/>
            <w:vAlign w:val="center"/>
          </w:tcPr>
          <w:p w14:paraId="536B1BA7" w14:textId="77777777" w:rsidR="00250E98" w:rsidRPr="00221347" w:rsidRDefault="00250E98" w:rsidP="00FD00E1">
            <w:pPr>
              <w:jc w:val="center"/>
              <w:rPr>
                <w:rFonts w:ascii="Arial" w:eastAsia="Times New Roman" w:hAnsi="Arial" w:cs="Arial"/>
                <w:b/>
                <w:bCs/>
                <w:color w:val="000000"/>
                <w:sz w:val="20"/>
                <w:szCs w:val="20"/>
                <w:lang w:eastAsia="pt-BR"/>
              </w:rPr>
            </w:pPr>
          </w:p>
        </w:tc>
        <w:tc>
          <w:tcPr>
            <w:tcW w:w="804" w:type="dxa"/>
            <w:shd w:val="clear" w:color="auto" w:fill="auto"/>
            <w:noWrap/>
            <w:vAlign w:val="center"/>
          </w:tcPr>
          <w:p w14:paraId="4F10BBDF" w14:textId="77777777" w:rsidR="00250E98" w:rsidRPr="00221347" w:rsidRDefault="00250E98" w:rsidP="00FD00E1">
            <w:pPr>
              <w:jc w:val="center"/>
              <w:rPr>
                <w:rFonts w:ascii="Arial" w:eastAsia="Times New Roman" w:hAnsi="Arial" w:cs="Arial"/>
                <w:color w:val="000000"/>
                <w:sz w:val="20"/>
                <w:szCs w:val="20"/>
                <w:lang w:eastAsia="pt-BR"/>
              </w:rPr>
            </w:pPr>
          </w:p>
        </w:tc>
        <w:tc>
          <w:tcPr>
            <w:tcW w:w="1295" w:type="dxa"/>
            <w:shd w:val="clear" w:color="auto" w:fill="auto"/>
            <w:noWrap/>
            <w:vAlign w:val="center"/>
          </w:tcPr>
          <w:p w14:paraId="50042A8F" w14:textId="77777777" w:rsidR="00250E98" w:rsidRPr="00221347" w:rsidRDefault="00250E98" w:rsidP="00FD00E1">
            <w:pPr>
              <w:jc w:val="center"/>
              <w:rPr>
                <w:rFonts w:ascii="Arial" w:eastAsia="Times New Roman" w:hAnsi="Arial" w:cs="Arial"/>
                <w:color w:val="000000"/>
                <w:sz w:val="20"/>
                <w:szCs w:val="20"/>
                <w:lang w:eastAsia="pt-BR"/>
              </w:rPr>
            </w:pPr>
          </w:p>
        </w:tc>
        <w:tc>
          <w:tcPr>
            <w:tcW w:w="1175" w:type="dxa"/>
            <w:shd w:val="clear" w:color="auto" w:fill="auto"/>
            <w:noWrap/>
            <w:vAlign w:val="center"/>
          </w:tcPr>
          <w:p w14:paraId="4AE193E7" w14:textId="77777777" w:rsidR="00250E98" w:rsidRPr="00221347" w:rsidRDefault="00250E98" w:rsidP="00FD00E1">
            <w:pPr>
              <w:jc w:val="center"/>
              <w:rPr>
                <w:rFonts w:ascii="Arial" w:eastAsia="Times New Roman" w:hAnsi="Arial" w:cs="Arial"/>
                <w:color w:val="000000"/>
                <w:sz w:val="20"/>
                <w:szCs w:val="20"/>
                <w:lang w:eastAsia="pt-BR"/>
              </w:rPr>
            </w:pPr>
          </w:p>
        </w:tc>
        <w:tc>
          <w:tcPr>
            <w:tcW w:w="876" w:type="dxa"/>
            <w:shd w:val="clear" w:color="auto" w:fill="auto"/>
            <w:noWrap/>
            <w:vAlign w:val="center"/>
          </w:tcPr>
          <w:p w14:paraId="4AF3EA98" w14:textId="77777777" w:rsidR="00250E98" w:rsidRPr="00221347" w:rsidRDefault="00250E98" w:rsidP="00FD00E1">
            <w:pPr>
              <w:jc w:val="center"/>
              <w:rPr>
                <w:rFonts w:ascii="Arial" w:eastAsia="Times New Roman" w:hAnsi="Arial" w:cs="Arial"/>
                <w:color w:val="000000"/>
                <w:sz w:val="20"/>
                <w:szCs w:val="20"/>
                <w:lang w:eastAsia="pt-BR"/>
              </w:rPr>
            </w:pPr>
          </w:p>
        </w:tc>
        <w:tc>
          <w:tcPr>
            <w:tcW w:w="806" w:type="dxa"/>
            <w:shd w:val="clear" w:color="auto" w:fill="auto"/>
            <w:noWrap/>
            <w:vAlign w:val="center"/>
          </w:tcPr>
          <w:p w14:paraId="0A7BB5B8" w14:textId="77777777" w:rsidR="00250E98" w:rsidRPr="00221347" w:rsidRDefault="00250E98" w:rsidP="00FD00E1">
            <w:pPr>
              <w:jc w:val="center"/>
              <w:rPr>
                <w:rFonts w:ascii="Arial" w:eastAsia="Times New Roman" w:hAnsi="Arial" w:cs="Arial"/>
                <w:color w:val="000000"/>
                <w:sz w:val="20"/>
                <w:szCs w:val="20"/>
                <w:lang w:eastAsia="pt-BR"/>
              </w:rPr>
            </w:pPr>
          </w:p>
        </w:tc>
        <w:tc>
          <w:tcPr>
            <w:tcW w:w="927" w:type="dxa"/>
            <w:shd w:val="clear" w:color="auto" w:fill="auto"/>
            <w:noWrap/>
            <w:vAlign w:val="center"/>
          </w:tcPr>
          <w:p w14:paraId="46F707EB" w14:textId="77777777" w:rsidR="00250E98" w:rsidRPr="00221347" w:rsidRDefault="00250E98" w:rsidP="00FD00E1">
            <w:pPr>
              <w:jc w:val="center"/>
              <w:rPr>
                <w:rFonts w:ascii="Arial" w:eastAsia="Times New Roman" w:hAnsi="Arial" w:cs="Arial"/>
                <w:color w:val="000000"/>
                <w:sz w:val="20"/>
                <w:szCs w:val="20"/>
                <w:lang w:eastAsia="pt-BR"/>
              </w:rPr>
            </w:pPr>
          </w:p>
        </w:tc>
      </w:tr>
    </w:tbl>
    <w:p w14:paraId="1EA7C444" w14:textId="4BDCCDFC" w:rsidR="00250E98" w:rsidRPr="00221347" w:rsidRDefault="00250E98" w:rsidP="00221347">
      <w:pPr>
        <w:rPr>
          <w:rFonts w:ascii="Arial" w:hAnsi="Arial" w:cs="Arial"/>
          <w:sz w:val="20"/>
          <w:szCs w:val="20"/>
        </w:rPr>
      </w:pPr>
      <w:r w:rsidRPr="00221347">
        <w:rPr>
          <w:rFonts w:ascii="Arial" w:hAnsi="Arial" w:cs="Arial"/>
          <w:sz w:val="20"/>
          <w:szCs w:val="20"/>
          <w:vertAlign w:val="superscript"/>
        </w:rPr>
        <w:t>*</w:t>
      </w:r>
      <w:r w:rsidRPr="00221347">
        <w:rPr>
          <w:rFonts w:ascii="Arial" w:eastAsia="Times New Roman" w:hAnsi="Arial" w:cs="Arial"/>
          <w:color w:val="000000" w:themeColor="text1"/>
          <w:sz w:val="20"/>
          <w:szCs w:val="20"/>
          <w:lang w:eastAsia="pt-BR"/>
        </w:rPr>
        <w:t xml:space="preserve">Estatísticas de colinearidade: tolerância &gt; 0,1 e VIF &lt;10; Teste de </w:t>
      </w:r>
      <w:proofErr w:type="spellStart"/>
      <w:r w:rsidRPr="00221347">
        <w:rPr>
          <w:rFonts w:ascii="Arial" w:eastAsia="Times New Roman" w:hAnsi="Arial" w:cs="Arial"/>
          <w:color w:val="000000" w:themeColor="text1"/>
          <w:sz w:val="20"/>
          <w:szCs w:val="20"/>
          <w:lang w:eastAsia="pt-BR"/>
        </w:rPr>
        <w:t>Hosmer</w:t>
      </w:r>
      <w:proofErr w:type="spellEnd"/>
      <w:r w:rsidRPr="00221347">
        <w:rPr>
          <w:rFonts w:ascii="Arial" w:eastAsia="Times New Roman" w:hAnsi="Arial" w:cs="Arial"/>
          <w:color w:val="000000" w:themeColor="text1"/>
          <w:sz w:val="20"/>
          <w:szCs w:val="20"/>
          <w:lang w:eastAsia="pt-BR"/>
        </w:rPr>
        <w:t xml:space="preserve"> e </w:t>
      </w:r>
      <w:proofErr w:type="spellStart"/>
      <w:r w:rsidRPr="00221347">
        <w:rPr>
          <w:rFonts w:ascii="Arial" w:eastAsia="Times New Roman" w:hAnsi="Arial" w:cs="Arial"/>
          <w:color w:val="000000" w:themeColor="text1"/>
          <w:sz w:val="20"/>
          <w:szCs w:val="20"/>
          <w:lang w:eastAsia="pt-BR"/>
        </w:rPr>
        <w:t>Lemeshow</w:t>
      </w:r>
      <w:proofErr w:type="spellEnd"/>
      <w:r w:rsidRPr="00221347">
        <w:rPr>
          <w:rFonts w:ascii="Arial" w:eastAsia="Times New Roman" w:hAnsi="Arial" w:cs="Arial"/>
          <w:color w:val="000000" w:themeColor="text1"/>
          <w:sz w:val="20"/>
          <w:szCs w:val="20"/>
          <w:lang w:eastAsia="pt-BR"/>
        </w:rPr>
        <w:t xml:space="preserve">: </w:t>
      </w:r>
      <w:r w:rsidRPr="00221347">
        <w:rPr>
          <w:rFonts w:ascii="Arial" w:hAnsi="Arial" w:cs="Arial"/>
          <w:i/>
          <w:color w:val="000000" w:themeColor="text1"/>
          <w:sz w:val="20"/>
          <w:szCs w:val="20"/>
        </w:rPr>
        <w:t>p</w:t>
      </w:r>
      <w:r w:rsidRPr="00221347">
        <w:rPr>
          <w:rFonts w:ascii="Arial" w:eastAsia="Times New Roman" w:hAnsi="Arial" w:cs="Arial"/>
          <w:color w:val="000000" w:themeColor="text1"/>
          <w:sz w:val="20"/>
          <w:szCs w:val="20"/>
          <w:lang w:eastAsia="pt-BR"/>
        </w:rPr>
        <w:t xml:space="preserve">=0,952; R² de </w:t>
      </w:r>
      <w:proofErr w:type="spellStart"/>
      <w:r w:rsidRPr="00221347">
        <w:rPr>
          <w:rFonts w:ascii="Arial" w:eastAsia="Times New Roman" w:hAnsi="Arial" w:cs="Arial"/>
          <w:color w:val="000000" w:themeColor="text1"/>
          <w:sz w:val="20"/>
          <w:szCs w:val="20"/>
          <w:lang w:eastAsia="pt-BR"/>
        </w:rPr>
        <w:t>Nagelkerke</w:t>
      </w:r>
      <w:proofErr w:type="spellEnd"/>
      <w:r w:rsidRPr="00221347">
        <w:rPr>
          <w:rFonts w:ascii="Arial" w:eastAsia="Times New Roman" w:hAnsi="Arial" w:cs="Arial"/>
          <w:color w:val="000000" w:themeColor="text1"/>
          <w:sz w:val="20"/>
          <w:szCs w:val="20"/>
          <w:lang w:eastAsia="pt-BR"/>
        </w:rPr>
        <w:t>=0,152</w:t>
      </w:r>
    </w:p>
    <w:p w14:paraId="4F409A3B" w14:textId="77777777" w:rsidR="00D03B70" w:rsidRPr="00221347" w:rsidRDefault="00D03B70" w:rsidP="00727253">
      <w:pPr>
        <w:spacing w:line="360" w:lineRule="auto"/>
        <w:ind w:firstLine="708"/>
        <w:jc w:val="both"/>
        <w:rPr>
          <w:rFonts w:ascii="Arial" w:hAnsi="Arial" w:cs="Arial"/>
          <w:sz w:val="20"/>
          <w:szCs w:val="20"/>
        </w:rPr>
      </w:pPr>
    </w:p>
    <w:p w14:paraId="79650419" w14:textId="77777777" w:rsidR="00727253" w:rsidRPr="00221347" w:rsidRDefault="00727253" w:rsidP="00727253">
      <w:pPr>
        <w:spacing w:line="360" w:lineRule="auto"/>
        <w:ind w:firstLine="708"/>
        <w:jc w:val="both"/>
        <w:rPr>
          <w:rFonts w:ascii="Arial" w:hAnsi="Arial" w:cs="Arial"/>
          <w:sz w:val="20"/>
          <w:szCs w:val="20"/>
        </w:rPr>
      </w:pPr>
    </w:p>
    <w:p w14:paraId="335B3E73" w14:textId="77777777" w:rsidR="00727253" w:rsidRPr="00221347" w:rsidRDefault="00727253" w:rsidP="00727253">
      <w:pPr>
        <w:spacing w:line="360" w:lineRule="auto"/>
        <w:ind w:firstLine="708"/>
        <w:jc w:val="both"/>
        <w:rPr>
          <w:rFonts w:ascii="Arial" w:hAnsi="Arial" w:cs="Arial"/>
          <w:sz w:val="20"/>
          <w:szCs w:val="20"/>
        </w:rPr>
      </w:pPr>
    </w:p>
    <w:p w14:paraId="4EAFF827" w14:textId="49528182" w:rsidR="00727253" w:rsidRPr="00221347" w:rsidRDefault="00727253" w:rsidP="00221347">
      <w:pPr>
        <w:spacing w:line="360" w:lineRule="auto"/>
        <w:jc w:val="both"/>
        <w:rPr>
          <w:rFonts w:ascii="Arial" w:hAnsi="Arial" w:cs="Arial"/>
          <w:sz w:val="20"/>
          <w:szCs w:val="20"/>
        </w:rPr>
      </w:pPr>
      <w:r w:rsidRPr="00221347">
        <w:rPr>
          <w:rFonts w:ascii="Arial" w:hAnsi="Arial" w:cs="Arial"/>
          <w:sz w:val="20"/>
          <w:szCs w:val="20"/>
        </w:rPr>
        <w:br w:type="page"/>
      </w:r>
    </w:p>
    <w:p w14:paraId="7500984E" w14:textId="51DE9182" w:rsidR="00727253" w:rsidRPr="00221347" w:rsidRDefault="00727253" w:rsidP="00727253">
      <w:pPr>
        <w:rPr>
          <w:rFonts w:ascii="Arial" w:hAnsi="Arial" w:cs="Arial"/>
          <w:sz w:val="20"/>
          <w:szCs w:val="20"/>
        </w:rPr>
      </w:pPr>
      <w:r w:rsidRPr="00221347">
        <w:rPr>
          <w:rFonts w:ascii="Arial" w:hAnsi="Arial" w:cs="Arial"/>
          <w:noProof/>
          <w:sz w:val="20"/>
          <w:szCs w:val="20"/>
          <w:lang w:eastAsia="pt-BR"/>
        </w:rPr>
        <w:lastRenderedPageBreak/>
        <w:drawing>
          <wp:inline distT="0" distB="0" distL="0" distR="0" wp14:anchorId="43EE9B1A" wp14:editId="33C107EB">
            <wp:extent cx="5029200" cy="3657600"/>
            <wp:effectExtent l="0" t="0" r="0" b="0"/>
            <wp:docPr id="183" name="Image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Pr="00221347">
        <w:rPr>
          <w:rFonts w:ascii="Arial" w:hAnsi="Arial" w:cs="Arial"/>
          <w:sz w:val="20"/>
          <w:szCs w:val="20"/>
        </w:rPr>
        <w:br/>
        <w:t xml:space="preserve">Figura 1: Curvas ROC e áreas sob a curva para valores dos scores MELD e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versus invasão microvascular em pacientes </w:t>
      </w:r>
      <w:r w:rsidR="00DE41D7">
        <w:rPr>
          <w:rFonts w:ascii="Arial" w:hAnsi="Arial" w:cs="Arial"/>
          <w:sz w:val="20"/>
          <w:szCs w:val="20"/>
        </w:rPr>
        <w:t>pós-transplante hepático por</w:t>
      </w:r>
      <w:r w:rsidRPr="00221347">
        <w:rPr>
          <w:rFonts w:ascii="Arial" w:hAnsi="Arial" w:cs="Arial"/>
          <w:sz w:val="20"/>
          <w:szCs w:val="20"/>
        </w:rPr>
        <w:t xml:space="preserve"> Carcinoma Hepatocelular</w:t>
      </w:r>
    </w:p>
    <w:p w14:paraId="787881BF" w14:textId="77777777" w:rsidR="00F01E21" w:rsidRPr="00221347" w:rsidRDefault="00F01E21" w:rsidP="00727253">
      <w:pPr>
        <w:rPr>
          <w:rFonts w:ascii="Arial" w:hAnsi="Arial" w:cs="Arial"/>
          <w:sz w:val="20"/>
          <w:szCs w:val="20"/>
        </w:rPr>
      </w:pPr>
    </w:p>
    <w:p w14:paraId="32DFDC8D" w14:textId="77777777" w:rsidR="00727253" w:rsidRPr="00221347" w:rsidRDefault="00727253" w:rsidP="00727253">
      <w:pPr>
        <w:rPr>
          <w:rFonts w:ascii="Arial" w:hAnsi="Arial" w:cs="Arial"/>
          <w:sz w:val="20"/>
          <w:szCs w:val="20"/>
        </w:rPr>
      </w:pPr>
      <w:r w:rsidRPr="00221347">
        <w:rPr>
          <w:rFonts w:ascii="Arial" w:hAnsi="Arial" w:cs="Arial"/>
          <w:noProof/>
          <w:sz w:val="20"/>
          <w:szCs w:val="20"/>
          <w:lang w:eastAsia="pt-BR"/>
        </w:rPr>
        <w:drawing>
          <wp:inline distT="0" distB="0" distL="0" distR="0" wp14:anchorId="0F598330" wp14:editId="780A807B">
            <wp:extent cx="5029200" cy="3657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11CDC92" w14:textId="2C6C51C2" w:rsidR="00727253" w:rsidRPr="00221347" w:rsidRDefault="00727253" w:rsidP="00727253">
      <w:pPr>
        <w:rPr>
          <w:rFonts w:ascii="Arial" w:hAnsi="Arial" w:cs="Arial"/>
          <w:sz w:val="20"/>
          <w:szCs w:val="20"/>
        </w:rPr>
      </w:pPr>
      <w:r w:rsidRPr="00221347">
        <w:rPr>
          <w:rFonts w:ascii="Arial" w:hAnsi="Arial" w:cs="Arial"/>
          <w:sz w:val="20"/>
          <w:szCs w:val="20"/>
        </w:rPr>
        <w:t xml:space="preserve">Figura 2: Curvas ROC e áreas sob a curva para valores dos scores MELD e </w:t>
      </w:r>
      <w:proofErr w:type="spellStart"/>
      <w:r w:rsidRPr="00221347">
        <w:rPr>
          <w:rFonts w:ascii="Arial" w:hAnsi="Arial" w:cs="Arial"/>
          <w:sz w:val="20"/>
          <w:szCs w:val="20"/>
        </w:rPr>
        <w:t>MELD-Na</w:t>
      </w:r>
      <w:proofErr w:type="spellEnd"/>
      <w:r w:rsidRPr="00221347">
        <w:rPr>
          <w:rFonts w:ascii="Arial" w:hAnsi="Arial" w:cs="Arial"/>
          <w:sz w:val="20"/>
          <w:szCs w:val="20"/>
        </w:rPr>
        <w:t xml:space="preserve"> versus óbito em pacientes </w:t>
      </w:r>
      <w:r w:rsidR="00DE41D7">
        <w:rPr>
          <w:rFonts w:ascii="Arial" w:hAnsi="Arial" w:cs="Arial"/>
          <w:sz w:val="20"/>
          <w:szCs w:val="20"/>
        </w:rPr>
        <w:t>pós-transplante hepático por</w:t>
      </w:r>
      <w:r w:rsidRPr="00221347">
        <w:rPr>
          <w:rFonts w:ascii="Arial" w:hAnsi="Arial" w:cs="Arial"/>
          <w:sz w:val="20"/>
          <w:szCs w:val="20"/>
        </w:rPr>
        <w:t xml:space="preserve"> Carcinoma Hepatocelular</w:t>
      </w:r>
    </w:p>
    <w:p w14:paraId="5B46B497" w14:textId="77777777" w:rsidR="00727253" w:rsidRPr="00221347" w:rsidRDefault="00727253" w:rsidP="00727253">
      <w:pPr>
        <w:rPr>
          <w:rFonts w:ascii="Arial" w:hAnsi="Arial" w:cs="Arial"/>
          <w:sz w:val="20"/>
          <w:szCs w:val="20"/>
        </w:rPr>
      </w:pPr>
    </w:p>
    <w:p w14:paraId="428ADFBE" w14:textId="77777777" w:rsidR="00727253" w:rsidRPr="00221347" w:rsidRDefault="00727253" w:rsidP="00727253">
      <w:pPr>
        <w:rPr>
          <w:rFonts w:ascii="Arial" w:hAnsi="Arial" w:cs="Arial"/>
          <w:sz w:val="20"/>
          <w:szCs w:val="20"/>
        </w:rPr>
      </w:pPr>
    </w:p>
    <w:p w14:paraId="1BC2FCC0" w14:textId="77777777" w:rsidR="00651C35" w:rsidRPr="00221347" w:rsidRDefault="00651C35" w:rsidP="00651C35">
      <w:pPr>
        <w:spacing w:line="360" w:lineRule="auto"/>
        <w:jc w:val="both"/>
        <w:rPr>
          <w:rFonts w:ascii="Arial" w:hAnsi="Arial" w:cs="Arial"/>
          <w:color w:val="FF0000"/>
          <w:sz w:val="20"/>
          <w:szCs w:val="20"/>
        </w:rPr>
      </w:pPr>
    </w:p>
    <w:p w14:paraId="2264CF83" w14:textId="77777777" w:rsidR="00651C35" w:rsidRPr="00221347" w:rsidRDefault="00651C35" w:rsidP="00651C35">
      <w:pPr>
        <w:spacing w:line="360" w:lineRule="auto"/>
        <w:jc w:val="both"/>
        <w:rPr>
          <w:rFonts w:ascii="Arial" w:hAnsi="Arial" w:cs="Arial"/>
          <w:color w:val="FF0000"/>
          <w:sz w:val="20"/>
          <w:szCs w:val="20"/>
        </w:rPr>
      </w:pPr>
    </w:p>
    <w:p w14:paraId="41AE43C6" w14:textId="6DDBE11D" w:rsidR="00AC4ACD" w:rsidRPr="00221347" w:rsidRDefault="00C05D2F" w:rsidP="0068402D">
      <w:pPr>
        <w:spacing w:line="360" w:lineRule="auto"/>
        <w:jc w:val="both"/>
        <w:rPr>
          <w:rFonts w:ascii="Arial" w:hAnsi="Arial" w:cs="Arial"/>
          <w:b/>
          <w:sz w:val="20"/>
          <w:szCs w:val="20"/>
        </w:rPr>
      </w:pPr>
      <w:r w:rsidRPr="00221347">
        <w:rPr>
          <w:rFonts w:ascii="Arial" w:hAnsi="Arial" w:cs="Arial"/>
          <w:b/>
          <w:sz w:val="20"/>
          <w:szCs w:val="20"/>
        </w:rPr>
        <w:lastRenderedPageBreak/>
        <w:t>DISCUSSÃO</w:t>
      </w:r>
    </w:p>
    <w:p w14:paraId="297611CA" w14:textId="24084304" w:rsidR="009609DF" w:rsidRPr="00221347" w:rsidRDefault="002972B5" w:rsidP="0068402D">
      <w:pPr>
        <w:spacing w:line="360" w:lineRule="auto"/>
        <w:jc w:val="both"/>
        <w:rPr>
          <w:rFonts w:ascii="Arial" w:hAnsi="Arial" w:cs="Arial"/>
          <w:b/>
          <w:sz w:val="20"/>
          <w:szCs w:val="20"/>
        </w:rPr>
      </w:pPr>
      <w:r w:rsidRPr="00221347">
        <w:rPr>
          <w:rFonts w:ascii="Arial" w:hAnsi="Arial" w:cs="Arial"/>
          <w:b/>
          <w:sz w:val="20"/>
          <w:szCs w:val="20"/>
        </w:rPr>
        <w:tab/>
      </w:r>
      <w:r w:rsidRPr="00221347">
        <w:rPr>
          <w:rFonts w:ascii="Arial" w:hAnsi="Arial" w:cs="Arial"/>
          <w:sz w:val="20"/>
          <w:szCs w:val="20"/>
        </w:rPr>
        <w:t xml:space="preserve">O desenvolvimento de modelos </w:t>
      </w:r>
      <w:r w:rsidR="00515BBA" w:rsidRPr="00221347">
        <w:rPr>
          <w:rFonts w:ascii="Arial" w:hAnsi="Arial" w:cs="Arial"/>
          <w:sz w:val="20"/>
          <w:szCs w:val="20"/>
        </w:rPr>
        <w:t>teóricos-clínicos capazes de predizerem desfechos desfavoráveis</w:t>
      </w:r>
      <w:r w:rsidR="00CD2291" w:rsidRPr="00221347">
        <w:rPr>
          <w:rFonts w:ascii="Arial" w:hAnsi="Arial" w:cs="Arial"/>
          <w:sz w:val="20"/>
          <w:szCs w:val="20"/>
        </w:rPr>
        <w:t xml:space="preserve"> auxiliam no planejamento e na condução terapêutica </w:t>
      </w:r>
      <w:r w:rsidR="00216F53" w:rsidRPr="00221347">
        <w:rPr>
          <w:rFonts w:ascii="Arial" w:hAnsi="Arial" w:cs="Arial"/>
          <w:sz w:val="20"/>
          <w:szCs w:val="20"/>
        </w:rPr>
        <w:t xml:space="preserve">do </w:t>
      </w:r>
      <w:r w:rsidR="00851AD7" w:rsidRPr="00221347">
        <w:rPr>
          <w:rFonts w:ascii="Arial" w:hAnsi="Arial" w:cs="Arial"/>
          <w:sz w:val="20"/>
          <w:szCs w:val="20"/>
        </w:rPr>
        <w:t xml:space="preserve">paciente. Apesar de existirem inúmeros </w:t>
      </w:r>
      <w:r w:rsidR="004F2FD2" w:rsidRPr="00221347">
        <w:rPr>
          <w:rFonts w:ascii="Arial" w:hAnsi="Arial" w:cs="Arial"/>
          <w:sz w:val="20"/>
          <w:szCs w:val="20"/>
        </w:rPr>
        <w:t>métodos</w:t>
      </w:r>
      <w:r w:rsidR="00626140" w:rsidRPr="00221347">
        <w:rPr>
          <w:rFonts w:ascii="Arial" w:hAnsi="Arial" w:cs="Arial"/>
          <w:sz w:val="20"/>
          <w:szCs w:val="20"/>
        </w:rPr>
        <w:t xml:space="preserve"> </w:t>
      </w:r>
      <w:r w:rsidR="00F57708" w:rsidRPr="00221347">
        <w:rPr>
          <w:rFonts w:ascii="Arial" w:hAnsi="Arial" w:cs="Arial"/>
          <w:sz w:val="20"/>
          <w:szCs w:val="20"/>
        </w:rPr>
        <w:t xml:space="preserve">hábeis para </w:t>
      </w:r>
      <w:r w:rsidR="00E82BF2" w:rsidRPr="00221347">
        <w:rPr>
          <w:rFonts w:ascii="Arial" w:hAnsi="Arial" w:cs="Arial"/>
          <w:sz w:val="20"/>
          <w:szCs w:val="20"/>
        </w:rPr>
        <w:t>a</w:t>
      </w:r>
      <w:r w:rsidR="00DD2752" w:rsidRPr="00221347">
        <w:rPr>
          <w:rFonts w:ascii="Arial" w:hAnsi="Arial" w:cs="Arial"/>
          <w:sz w:val="20"/>
          <w:szCs w:val="20"/>
        </w:rPr>
        <w:t xml:space="preserve"> predição</w:t>
      </w:r>
      <w:r w:rsidR="00E82BF2" w:rsidRPr="00221347">
        <w:rPr>
          <w:rFonts w:ascii="Arial" w:hAnsi="Arial" w:cs="Arial"/>
          <w:sz w:val="20"/>
          <w:szCs w:val="20"/>
        </w:rPr>
        <w:t xml:space="preserve"> de várias enfermidades,</w:t>
      </w:r>
      <w:r w:rsidR="004F2FD2" w:rsidRPr="00221347">
        <w:rPr>
          <w:rFonts w:ascii="Arial" w:hAnsi="Arial" w:cs="Arial"/>
          <w:sz w:val="20"/>
          <w:szCs w:val="20"/>
        </w:rPr>
        <w:t xml:space="preserve"> </w:t>
      </w:r>
      <w:r w:rsidR="00E8696E" w:rsidRPr="00221347">
        <w:rPr>
          <w:rFonts w:ascii="Arial" w:hAnsi="Arial" w:cs="Arial"/>
          <w:sz w:val="20"/>
          <w:szCs w:val="20"/>
        </w:rPr>
        <w:t>muitas vezes há um alto nível de dificuldade</w:t>
      </w:r>
      <w:r w:rsidR="00A91541" w:rsidRPr="00221347">
        <w:rPr>
          <w:rFonts w:ascii="Arial" w:hAnsi="Arial" w:cs="Arial"/>
          <w:sz w:val="20"/>
          <w:szCs w:val="20"/>
        </w:rPr>
        <w:t xml:space="preserve"> </w:t>
      </w:r>
      <w:r w:rsidR="00680808" w:rsidRPr="00221347">
        <w:rPr>
          <w:rFonts w:ascii="Arial" w:hAnsi="Arial" w:cs="Arial"/>
          <w:sz w:val="20"/>
          <w:szCs w:val="20"/>
        </w:rPr>
        <w:t>para</w:t>
      </w:r>
      <w:r w:rsidR="00A91541" w:rsidRPr="00221347">
        <w:rPr>
          <w:rFonts w:ascii="Arial" w:hAnsi="Arial" w:cs="Arial"/>
          <w:sz w:val="20"/>
          <w:szCs w:val="20"/>
        </w:rPr>
        <w:t xml:space="preserve"> </w:t>
      </w:r>
      <w:r w:rsidR="00626140" w:rsidRPr="00221347">
        <w:rPr>
          <w:rFonts w:ascii="Arial" w:hAnsi="Arial" w:cs="Arial"/>
          <w:sz w:val="20"/>
          <w:szCs w:val="20"/>
        </w:rPr>
        <w:t>determinar essas ferramentas</w:t>
      </w:r>
      <w:r w:rsidR="00373158" w:rsidRPr="00221347">
        <w:rPr>
          <w:rFonts w:ascii="Arial" w:hAnsi="Arial" w:cs="Arial"/>
          <w:sz w:val="20"/>
          <w:szCs w:val="20"/>
        </w:rPr>
        <w:t xml:space="preserve">, sendo necessário </w:t>
      </w:r>
      <w:r w:rsidR="00DC5E49" w:rsidRPr="00221347">
        <w:rPr>
          <w:rFonts w:ascii="Arial" w:hAnsi="Arial" w:cs="Arial"/>
          <w:sz w:val="20"/>
          <w:szCs w:val="20"/>
        </w:rPr>
        <w:t xml:space="preserve">grande produção científica </w:t>
      </w:r>
      <w:r w:rsidR="00B712D1" w:rsidRPr="00221347">
        <w:rPr>
          <w:rFonts w:ascii="Arial" w:hAnsi="Arial" w:cs="Arial"/>
          <w:sz w:val="20"/>
          <w:szCs w:val="20"/>
        </w:rPr>
        <w:t xml:space="preserve">e distintas abordagens de um mesmo </w:t>
      </w:r>
      <w:r w:rsidR="000E1035" w:rsidRPr="00221347">
        <w:rPr>
          <w:rFonts w:ascii="Arial" w:hAnsi="Arial" w:cs="Arial"/>
          <w:sz w:val="20"/>
          <w:szCs w:val="20"/>
        </w:rPr>
        <w:t>assunto</w:t>
      </w:r>
      <w:r w:rsidR="00A43021" w:rsidRPr="00221347">
        <w:rPr>
          <w:rFonts w:ascii="Arial" w:hAnsi="Arial" w:cs="Arial"/>
          <w:sz w:val="20"/>
          <w:szCs w:val="20"/>
        </w:rPr>
        <w:t xml:space="preserve"> por diferentes pesquisadores</w:t>
      </w:r>
      <w:r w:rsidR="000E1035" w:rsidRPr="00221347">
        <w:rPr>
          <w:rFonts w:ascii="Arial" w:hAnsi="Arial" w:cs="Arial"/>
          <w:sz w:val="20"/>
          <w:szCs w:val="20"/>
        </w:rPr>
        <w:t>.</w:t>
      </w:r>
      <w:r w:rsidR="00A43021" w:rsidRPr="00221347">
        <w:rPr>
          <w:rFonts w:ascii="Arial" w:hAnsi="Arial" w:cs="Arial"/>
          <w:sz w:val="20"/>
          <w:szCs w:val="20"/>
        </w:rPr>
        <w:t xml:space="preserve"> </w:t>
      </w:r>
      <w:r w:rsidR="002278E3" w:rsidRPr="00221347">
        <w:rPr>
          <w:rFonts w:ascii="Arial" w:hAnsi="Arial" w:cs="Arial"/>
          <w:sz w:val="20"/>
          <w:szCs w:val="20"/>
        </w:rPr>
        <w:t xml:space="preserve">O </w:t>
      </w:r>
      <w:r w:rsidR="00B10E90" w:rsidRPr="00221347">
        <w:rPr>
          <w:rFonts w:ascii="Arial" w:hAnsi="Arial" w:cs="Arial"/>
          <w:sz w:val="20"/>
          <w:szCs w:val="20"/>
        </w:rPr>
        <w:t>presente estud</w:t>
      </w:r>
      <w:r w:rsidR="00CD7738" w:rsidRPr="00221347">
        <w:rPr>
          <w:rFonts w:ascii="Arial" w:hAnsi="Arial" w:cs="Arial"/>
          <w:sz w:val="20"/>
          <w:szCs w:val="20"/>
        </w:rPr>
        <w:t>o</w:t>
      </w:r>
      <w:r w:rsidR="006E6253" w:rsidRPr="00221347">
        <w:rPr>
          <w:rFonts w:ascii="Arial" w:hAnsi="Arial" w:cs="Arial"/>
          <w:sz w:val="20"/>
          <w:szCs w:val="20"/>
        </w:rPr>
        <w:t xml:space="preserve"> </w:t>
      </w:r>
      <w:r w:rsidR="00334D93" w:rsidRPr="00221347">
        <w:rPr>
          <w:rFonts w:ascii="Arial" w:hAnsi="Arial" w:cs="Arial"/>
          <w:sz w:val="20"/>
          <w:szCs w:val="20"/>
        </w:rPr>
        <w:t>buscou</w:t>
      </w:r>
      <w:r w:rsidR="006E6253" w:rsidRPr="00221347">
        <w:rPr>
          <w:rFonts w:ascii="Arial" w:hAnsi="Arial" w:cs="Arial"/>
          <w:sz w:val="20"/>
          <w:szCs w:val="20"/>
        </w:rPr>
        <w:t xml:space="preserve"> correlacionar as informações clínico-laboratoriais dos pacientes a fim de verificar se existe relação desses dados com IMV ou óbito em pacientes com CHC. </w:t>
      </w:r>
      <w:r w:rsidR="00334D93" w:rsidRPr="00221347">
        <w:rPr>
          <w:rFonts w:ascii="Arial" w:hAnsi="Arial" w:cs="Arial"/>
          <w:sz w:val="20"/>
          <w:szCs w:val="20"/>
        </w:rPr>
        <w:t>Outros autores</w:t>
      </w:r>
      <w:r w:rsidR="001B3E74" w:rsidRPr="00221347">
        <w:rPr>
          <w:rFonts w:ascii="Arial" w:hAnsi="Arial" w:cs="Arial"/>
          <w:sz w:val="20"/>
          <w:szCs w:val="20"/>
        </w:rPr>
        <w:t xml:space="preserve">, através de </w:t>
      </w:r>
      <w:r w:rsidR="00862869">
        <w:rPr>
          <w:rFonts w:ascii="Arial" w:hAnsi="Arial" w:cs="Arial"/>
          <w:sz w:val="20"/>
          <w:szCs w:val="20"/>
        </w:rPr>
        <w:t xml:space="preserve">outras </w:t>
      </w:r>
      <w:r w:rsidR="001B3E74" w:rsidRPr="00221347">
        <w:rPr>
          <w:rFonts w:ascii="Arial" w:hAnsi="Arial" w:cs="Arial"/>
          <w:sz w:val="20"/>
          <w:szCs w:val="20"/>
        </w:rPr>
        <w:t xml:space="preserve">abordagens, concluíram que </w:t>
      </w:r>
      <w:r w:rsidR="00BC34F9" w:rsidRPr="00221347">
        <w:rPr>
          <w:rFonts w:ascii="Arial" w:hAnsi="Arial" w:cs="Arial"/>
          <w:sz w:val="20"/>
          <w:szCs w:val="20"/>
        </w:rPr>
        <w:t xml:space="preserve">não é possível predizer IMV, como </w:t>
      </w:r>
      <w:proofErr w:type="spellStart"/>
      <w:r w:rsidR="005771EC" w:rsidRPr="00221347">
        <w:rPr>
          <w:rFonts w:ascii="Arial" w:hAnsi="Arial" w:cs="Arial"/>
          <w:sz w:val="20"/>
          <w:szCs w:val="20"/>
        </w:rPr>
        <w:t>Lahan</w:t>
      </w:r>
      <w:proofErr w:type="spellEnd"/>
      <w:r w:rsidR="00924C0D" w:rsidRPr="00221347">
        <w:rPr>
          <w:rFonts w:ascii="Arial" w:hAnsi="Arial" w:cs="Arial"/>
          <w:sz w:val="20"/>
          <w:szCs w:val="20"/>
        </w:rPr>
        <w:t xml:space="preserve"> </w:t>
      </w:r>
      <w:r w:rsidR="00DB0E12"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{"citationItems":[{"id":"ITEM-1","itemData":{"DOI":"10.1590/0100-3984.2018.0123","ISBN":"0000000346917","ISSN":"01003984","abstract":"Objective: To investigate whether quantitative computed tomography (CT) measurements can predict microvascular invasion (MVI) in hepatocellular carcinoma (HCC). Materials and Methods: This was a retrospective analysis of 200 cases of surgically proven HCCs in 125 consecutive patients evaluated between March 2010 and November 2017. We quantitatively measured regions of interest in lesions and adjacent areas of the liver on unenhanced CT scans, as well as in the arterial, portal venous, and equilibrium phases on contrast-enhanced CT scans. Enhancement profiles were analyzed and compared with histopathological references of MVI. Univariate and multivariate logistic regression analyses were used in order to evaluate CT parameters as potential predictors of MVI. Results: Of the 200 HCCs, 77 (38.5%) showed evidence of MVI on histopathological analysis. There was no statistical difference between HCCs with MVI and those without, in terms of the percentage attenuation ratio in the portal venous phase (114.7 vs. 115.8) and equilibrium phase (126.7 vs. 128.2), as well as in terms of the relative washout ratio, also in the portal venous and equilibrium phases (15.0 vs. 8.2 and 31.4 vs. 26.3, respectively). Conclusion: Quantitative dynamic CT parameters measured in the preoperative period do not appear to correlate with MVI in HCC.","author":[{"dropping-particle":"","family":"Lahan-Martins","given":"Daniel","non-dropping-particle":"","parse-names":false,"suffix":""},{"dropping-particle":"","family":"Perales","given":"Simone Reges","non-dropping-particle":"","parse-names":false,"suffix":""},{"dropping-particle":"","family":"Gallani","given":"Stephanie Kilaris","non-dropping-particle":"","parse-names":false,"suffix":""},{"dropping-particle":"da","family":"Costa","given":"Larissa Bastos Eloy","non-dropping-particle":"","parse-names":false,"suffix":""},{"dropping-particle":"","family":"Lago","given":"Eduardo Andreazza Dal","non-dropping-particle":"","parse-names":false,"suffix":""},{"dropping-particle":"","family":"Boin","given":"Ilka de Fátima Santana Ferreira","non-dropping-particle":"","parse-names":false,"suffix":""},{"dropping-particle":"","family":"Caserta","given":"Nelson Marcio Gomes","non-dropping-particle":"","parse-names":false,"suffix":""},{"dropping-particle":"","family":"Ataide","given":"Elaine Cristina","non-dropping-particle":"de","parse-names":false,"suffix":""}],"container-title":"Radiologia Brasileira","id":"ITEM-1","issue":"5","issued":{"date-parts":[["2019"]]},"page":"287-292","title":"Microvascular invasion in hepatocellular carcinoma: Is it predictable with quantitative computed tomography parameters?","type":"article-journal","volume":"52"},"uris":["http://www.mendeley.com/documents/?uuid=0ab53b6a-4236-4e21-9203-0654d5519ddb"]}],"mendeley":{"formattedCitation":"(29)","plainTextFormattedCitation":"(29)","previouslyFormattedCitation":"(29)"},"properties":{"noteIndex":0},"schema":"https://github.com/citation-style-language/schema/raw/master/csl-citation.json"}</w:instrText>
      </w:r>
      <w:r w:rsidR="00DB0E12" w:rsidRPr="00221347">
        <w:rPr>
          <w:rFonts w:ascii="Arial" w:hAnsi="Arial" w:cs="Arial"/>
          <w:sz w:val="20"/>
          <w:szCs w:val="20"/>
        </w:rPr>
        <w:fldChar w:fldCharType="separate"/>
      </w:r>
      <w:r w:rsidR="0035699C" w:rsidRPr="0035699C">
        <w:rPr>
          <w:rFonts w:ascii="Arial" w:hAnsi="Arial" w:cs="Arial"/>
          <w:noProof/>
          <w:sz w:val="20"/>
          <w:szCs w:val="20"/>
        </w:rPr>
        <w:t>(29)</w:t>
      </w:r>
      <w:r w:rsidR="00DB0E12" w:rsidRPr="00221347">
        <w:rPr>
          <w:rFonts w:ascii="Arial" w:hAnsi="Arial" w:cs="Arial"/>
          <w:sz w:val="20"/>
          <w:szCs w:val="20"/>
        </w:rPr>
        <w:fldChar w:fldCharType="end"/>
      </w:r>
      <w:r w:rsidR="003F3CF8" w:rsidRPr="00221347">
        <w:rPr>
          <w:rFonts w:ascii="Arial" w:hAnsi="Arial" w:cs="Arial"/>
          <w:sz w:val="20"/>
          <w:szCs w:val="20"/>
        </w:rPr>
        <w:t xml:space="preserve"> verificou</w:t>
      </w:r>
      <w:r w:rsidR="005771EC" w:rsidRPr="00221347">
        <w:rPr>
          <w:rFonts w:ascii="Arial" w:hAnsi="Arial" w:cs="Arial"/>
          <w:sz w:val="20"/>
          <w:szCs w:val="20"/>
        </w:rPr>
        <w:t xml:space="preserve"> em seu estudo, </w:t>
      </w:r>
      <w:r w:rsidR="002B1133" w:rsidRPr="00221347">
        <w:rPr>
          <w:rFonts w:ascii="Arial" w:hAnsi="Arial" w:cs="Arial"/>
          <w:sz w:val="20"/>
          <w:szCs w:val="20"/>
        </w:rPr>
        <w:t xml:space="preserve">concluindo </w:t>
      </w:r>
      <w:r w:rsidR="005771EC" w:rsidRPr="00221347">
        <w:rPr>
          <w:rFonts w:ascii="Arial" w:hAnsi="Arial" w:cs="Arial"/>
          <w:sz w:val="20"/>
          <w:szCs w:val="20"/>
        </w:rPr>
        <w:t>que a</w:t>
      </w:r>
      <w:r w:rsidR="00B10E90" w:rsidRPr="00221347">
        <w:rPr>
          <w:rFonts w:ascii="Arial" w:hAnsi="Arial" w:cs="Arial"/>
          <w:sz w:val="20"/>
          <w:szCs w:val="20"/>
        </w:rPr>
        <w:t xml:space="preserve"> </w:t>
      </w:r>
      <w:r w:rsidR="00272F7E" w:rsidRPr="00221347">
        <w:rPr>
          <w:rFonts w:ascii="Arial" w:hAnsi="Arial" w:cs="Arial"/>
          <w:sz w:val="20"/>
          <w:szCs w:val="20"/>
        </w:rPr>
        <w:t xml:space="preserve">análise tomográfica </w:t>
      </w:r>
      <w:r w:rsidR="002B1133" w:rsidRPr="00221347">
        <w:rPr>
          <w:rFonts w:ascii="Arial" w:hAnsi="Arial" w:cs="Arial"/>
          <w:sz w:val="20"/>
          <w:szCs w:val="20"/>
        </w:rPr>
        <w:t xml:space="preserve">quantitativa </w:t>
      </w:r>
      <w:r w:rsidR="00272F7E" w:rsidRPr="00221347">
        <w:rPr>
          <w:rFonts w:ascii="Arial" w:hAnsi="Arial" w:cs="Arial"/>
          <w:sz w:val="20"/>
          <w:szCs w:val="20"/>
        </w:rPr>
        <w:t>não prediz invasão microvascular</w:t>
      </w:r>
      <w:r w:rsidR="002B1133" w:rsidRPr="00221347">
        <w:rPr>
          <w:rFonts w:ascii="Arial" w:hAnsi="Arial" w:cs="Arial"/>
          <w:sz w:val="20"/>
          <w:szCs w:val="20"/>
        </w:rPr>
        <w:t>.</w:t>
      </w:r>
      <w:r w:rsidR="00EF1503" w:rsidRPr="00221347">
        <w:rPr>
          <w:rFonts w:ascii="Arial" w:hAnsi="Arial" w:cs="Arial"/>
          <w:sz w:val="20"/>
          <w:szCs w:val="20"/>
        </w:rPr>
        <w:t xml:space="preserve"> </w:t>
      </w:r>
      <w:r w:rsidR="00AD29D5" w:rsidRPr="00221347">
        <w:rPr>
          <w:rFonts w:ascii="Arial" w:hAnsi="Arial" w:cs="Arial"/>
          <w:sz w:val="20"/>
          <w:szCs w:val="20"/>
        </w:rPr>
        <w:t xml:space="preserve"> </w:t>
      </w:r>
    </w:p>
    <w:p w14:paraId="5376951F" w14:textId="3D12AF57" w:rsidR="00835443" w:rsidRPr="00221347" w:rsidRDefault="00F557E7" w:rsidP="00D138E1">
      <w:pPr>
        <w:spacing w:line="360" w:lineRule="auto"/>
        <w:jc w:val="both"/>
        <w:rPr>
          <w:rFonts w:ascii="Arial" w:hAnsi="Arial" w:cs="Arial"/>
          <w:sz w:val="20"/>
          <w:szCs w:val="20"/>
        </w:rPr>
      </w:pPr>
      <w:r w:rsidRPr="00221347">
        <w:rPr>
          <w:rFonts w:ascii="Arial" w:hAnsi="Arial" w:cs="Arial"/>
          <w:b/>
          <w:sz w:val="20"/>
          <w:szCs w:val="20"/>
        </w:rPr>
        <w:tab/>
      </w:r>
      <w:r w:rsidR="00596C8E" w:rsidRPr="00221347">
        <w:rPr>
          <w:rFonts w:ascii="Arial" w:hAnsi="Arial" w:cs="Arial"/>
          <w:sz w:val="20"/>
          <w:szCs w:val="20"/>
        </w:rPr>
        <w:t>Nes</w:t>
      </w:r>
      <w:r w:rsidR="00596C8E">
        <w:rPr>
          <w:rFonts w:ascii="Arial" w:hAnsi="Arial" w:cs="Arial"/>
          <w:sz w:val="20"/>
          <w:szCs w:val="20"/>
        </w:rPr>
        <w:t>te</w:t>
      </w:r>
      <w:r w:rsidR="00596C8E" w:rsidRPr="00221347">
        <w:rPr>
          <w:rFonts w:ascii="Arial" w:hAnsi="Arial" w:cs="Arial"/>
          <w:sz w:val="20"/>
          <w:szCs w:val="20"/>
        </w:rPr>
        <w:t xml:space="preserve"> </w:t>
      </w:r>
      <w:r w:rsidR="000A60E5" w:rsidRPr="00221347">
        <w:rPr>
          <w:rFonts w:ascii="Arial" w:hAnsi="Arial" w:cs="Arial"/>
          <w:sz w:val="20"/>
          <w:szCs w:val="20"/>
        </w:rPr>
        <w:t xml:space="preserve">estudo, </w:t>
      </w:r>
      <w:r w:rsidR="00596C8E">
        <w:rPr>
          <w:rFonts w:ascii="Arial" w:hAnsi="Arial" w:cs="Arial"/>
          <w:sz w:val="20"/>
          <w:szCs w:val="20"/>
        </w:rPr>
        <w:t>observamos</w:t>
      </w:r>
      <w:r w:rsidR="000A60E5" w:rsidRPr="00221347">
        <w:rPr>
          <w:rFonts w:ascii="Arial" w:hAnsi="Arial" w:cs="Arial"/>
          <w:sz w:val="20"/>
          <w:szCs w:val="20"/>
        </w:rPr>
        <w:t xml:space="preserve"> que as características epidemiológicas</w:t>
      </w:r>
      <w:r w:rsidR="00B42EB6" w:rsidRPr="00221347">
        <w:rPr>
          <w:rFonts w:ascii="Arial" w:hAnsi="Arial" w:cs="Arial"/>
          <w:sz w:val="20"/>
          <w:szCs w:val="20"/>
        </w:rPr>
        <w:t xml:space="preserve"> </w:t>
      </w:r>
      <w:r w:rsidR="000A60E5" w:rsidRPr="00221347">
        <w:rPr>
          <w:rFonts w:ascii="Arial" w:hAnsi="Arial" w:cs="Arial"/>
          <w:sz w:val="20"/>
          <w:szCs w:val="20"/>
        </w:rPr>
        <w:t>do</w:t>
      </w:r>
      <w:r w:rsidR="00B42EB6" w:rsidRPr="00221347">
        <w:rPr>
          <w:rFonts w:ascii="Arial" w:hAnsi="Arial" w:cs="Arial"/>
          <w:sz w:val="20"/>
          <w:szCs w:val="20"/>
        </w:rPr>
        <w:t>s</w:t>
      </w:r>
      <w:r w:rsidR="000A60E5" w:rsidRPr="00221347">
        <w:rPr>
          <w:rFonts w:ascii="Arial" w:hAnsi="Arial" w:cs="Arial"/>
          <w:sz w:val="20"/>
          <w:szCs w:val="20"/>
        </w:rPr>
        <w:t xml:space="preserve"> pacientes</w:t>
      </w:r>
      <w:r w:rsidR="00B15FC0" w:rsidRPr="00221347">
        <w:rPr>
          <w:rFonts w:ascii="Arial" w:hAnsi="Arial" w:cs="Arial"/>
          <w:sz w:val="20"/>
          <w:szCs w:val="20"/>
        </w:rPr>
        <w:t xml:space="preserve"> </w:t>
      </w:r>
      <w:r w:rsidR="00501A2E" w:rsidRPr="00221347">
        <w:rPr>
          <w:rFonts w:ascii="Arial" w:hAnsi="Arial" w:cs="Arial"/>
          <w:sz w:val="20"/>
          <w:szCs w:val="20"/>
        </w:rPr>
        <w:t>são semelhantes</w:t>
      </w:r>
      <w:r w:rsidR="00B42EB6" w:rsidRPr="00221347">
        <w:rPr>
          <w:rFonts w:ascii="Arial" w:hAnsi="Arial" w:cs="Arial"/>
          <w:sz w:val="20"/>
          <w:szCs w:val="20"/>
        </w:rPr>
        <w:t xml:space="preserve"> </w:t>
      </w:r>
      <w:r w:rsidR="00BB0FEB" w:rsidRPr="00221347">
        <w:rPr>
          <w:rFonts w:ascii="Arial" w:hAnsi="Arial" w:cs="Arial"/>
          <w:sz w:val="20"/>
          <w:szCs w:val="20"/>
        </w:rPr>
        <w:t>a</w:t>
      </w:r>
      <w:r w:rsidR="00786EB0" w:rsidRPr="00221347">
        <w:rPr>
          <w:rFonts w:ascii="Arial" w:hAnsi="Arial" w:cs="Arial"/>
          <w:sz w:val="20"/>
          <w:szCs w:val="20"/>
        </w:rPr>
        <w:t>o</w:t>
      </w:r>
      <w:r w:rsidR="00B42EB6" w:rsidRPr="00221347">
        <w:rPr>
          <w:rFonts w:ascii="Arial" w:hAnsi="Arial" w:cs="Arial"/>
          <w:sz w:val="20"/>
          <w:szCs w:val="20"/>
        </w:rPr>
        <w:t xml:space="preserve"> </w:t>
      </w:r>
      <w:r w:rsidR="00DD081D" w:rsidRPr="00221347">
        <w:rPr>
          <w:rFonts w:ascii="Arial" w:hAnsi="Arial" w:cs="Arial"/>
          <w:sz w:val="20"/>
          <w:szCs w:val="20"/>
        </w:rPr>
        <w:t>perfil</w:t>
      </w:r>
      <w:r w:rsidR="00B42EB6" w:rsidRPr="00221347">
        <w:rPr>
          <w:rFonts w:ascii="Arial" w:hAnsi="Arial" w:cs="Arial"/>
          <w:sz w:val="20"/>
          <w:szCs w:val="20"/>
        </w:rPr>
        <w:t xml:space="preserve"> nacional. No Brasil, </w:t>
      </w:r>
      <w:r w:rsidR="00E20136" w:rsidRPr="00221347">
        <w:rPr>
          <w:rFonts w:ascii="Arial" w:hAnsi="Arial" w:cs="Arial"/>
          <w:sz w:val="20"/>
          <w:szCs w:val="20"/>
        </w:rPr>
        <w:t xml:space="preserve">cerca </w:t>
      </w:r>
      <w:r w:rsidR="000342D9" w:rsidRPr="00221347">
        <w:rPr>
          <w:rFonts w:ascii="Arial" w:hAnsi="Arial" w:cs="Arial"/>
          <w:sz w:val="20"/>
          <w:szCs w:val="20"/>
        </w:rPr>
        <w:t xml:space="preserve">de 70% dos casos </w:t>
      </w:r>
      <w:r w:rsidR="00696C23" w:rsidRPr="00221347">
        <w:rPr>
          <w:rFonts w:ascii="Arial" w:hAnsi="Arial" w:cs="Arial"/>
          <w:sz w:val="20"/>
          <w:szCs w:val="20"/>
        </w:rPr>
        <w:t xml:space="preserve">de CHC estão relacionados </w:t>
      </w:r>
      <w:r w:rsidR="008B2D70" w:rsidRPr="00221347">
        <w:rPr>
          <w:rFonts w:ascii="Arial" w:hAnsi="Arial" w:cs="Arial"/>
          <w:sz w:val="20"/>
          <w:szCs w:val="20"/>
        </w:rPr>
        <w:t>à</w:t>
      </w:r>
      <w:r w:rsidR="00696C23" w:rsidRPr="00221347">
        <w:rPr>
          <w:rFonts w:ascii="Arial" w:hAnsi="Arial" w:cs="Arial"/>
          <w:sz w:val="20"/>
          <w:szCs w:val="20"/>
        </w:rPr>
        <w:t xml:space="preserve"> cirrose secundária </w:t>
      </w:r>
      <w:r w:rsidR="00095990" w:rsidRPr="00221347">
        <w:rPr>
          <w:rFonts w:ascii="Arial" w:hAnsi="Arial" w:cs="Arial"/>
          <w:sz w:val="20"/>
          <w:szCs w:val="20"/>
        </w:rPr>
        <w:t>à infecção pelo</w:t>
      </w:r>
      <w:r w:rsidR="00B15FC0" w:rsidRPr="00221347">
        <w:rPr>
          <w:rFonts w:ascii="Arial" w:hAnsi="Arial" w:cs="Arial"/>
          <w:sz w:val="20"/>
          <w:szCs w:val="20"/>
        </w:rPr>
        <w:t>s</w:t>
      </w:r>
      <w:r w:rsidR="00095990" w:rsidRPr="00221347">
        <w:rPr>
          <w:rFonts w:ascii="Arial" w:hAnsi="Arial" w:cs="Arial"/>
          <w:sz w:val="20"/>
          <w:szCs w:val="20"/>
        </w:rPr>
        <w:t xml:space="preserve"> vírus B ou C</w:t>
      </w:r>
      <w:r w:rsidR="009C3FBB" w:rsidRPr="00221347">
        <w:rPr>
          <w:rFonts w:ascii="Arial" w:hAnsi="Arial" w:cs="Arial"/>
          <w:sz w:val="20"/>
          <w:szCs w:val="20"/>
        </w:rPr>
        <w:t xml:space="preserve"> </w:t>
      </w:r>
      <w:r w:rsidR="00924C0D"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{"citationItems":[{"id":"ITEM-1","itemData":{"DOI":"10.1590/s1807-59322010001200010","ISSN":"1980-5322 (Electronic)","PMID":"21340216","abstract":"OBJECTIVES: We performed a national survey to update hepatocellular carcinoma (HCC)  epidemiology in Brazil and determined the clinical and epidemiological profiles of patients with HCC in different Brazilian regions. METHODS: Data from 29 centers included 1,405 patients diagnosed with HCC from 2004 to 2009. RESULTS: The median age was 59 (1-92 years old; 78% male). At diagnosis, females were older than males (median age: 62 vs. 59 years old respectively; p&lt;0.0001). Ninety-eight percent of the patients had cirrhosis (1279/1308). Hepatitis C virus was the main etiology (54%), followed by hepatitis B virus (16%) and alcohol (14%). In Southeastern and Southern Brazil, hepatitis C virus accounted for over 55% of cases. In the Northeast and North, hepatitis C virus accounted for less than 50%, and hepatitis B virus accounted for 22-25% of cases; hepatitis B was more prevalent in the Northern than in the Southern regions. Some 43%, 35%, and 22% of patients were in early, intermediate, and advanced stages respectively. Initial therapies for HCC included chemoembolization or embolization (36%), percutaneous ablation (13%), liver resection (7%), and sorafenib (1%). Liver transplantation was performed in 242 patients (19%), but it was the initial therapy for only 56 patients (4%). CONCLUSION: The epidemiology, classification, and therapy selection for HCC varied among Brazilian regions. Hepatitis C infection was the most common etiology of liver cirrhosis; chemoembolization was the most common therapy employed. Liver cirrhosis was the main risk factor for HCC development in Brazil.","author":[{"dropping-particle":"","family":"Carrilho","given":"Flair Jose","non-dropping-particle":"","parse-names":false,"suffix":""},{"dropping-particle":"","family":"Kikuchi","given":"Luciana","non-dropping-particle":"","parse-names":false,"suffix":""},{"dropping-particle":"","family":"Branco","given":"Fernanda","non-dropping-particle":"","parse-names":false,"suffix":""},{"dropping-particle":"","family":"Goncalves","given":"Carlos Sandoval","non-dropping-particle":"","parse-names":false,"suffix":""},{"dropping-particle":"de","family":"Mattos","given":"Angelo Aves","non-dropping-particle":"","parse-names":false,"suffix":""}],"container-title":"Clinics (Sao Paulo, Brazil)","id":"ITEM-1","issue":"12","issued":{"date-parts":[["2010"]]},"language":"eng","page":"1285-1290","title":"Clinical and epidemiological aspects of hepatocellular carcinoma in Brazil.","type":"article-journal","volume":"65"},"uris":["http://www.mendeley.com/documents/?uuid=a50e6976-09ee-405c-b87d-f4a9545d7c27"]}],"mendeley":{"formattedCitation":"(30)","plainTextFormattedCitation":"(30)","previouslyFormattedCitation":"(30)"},"properties":{"noteIndex":0},"schema":"https://github.com/citation-style-language/schema/raw/master/csl-citation.json"}</w:instrText>
      </w:r>
      <w:r w:rsidR="00924C0D" w:rsidRPr="00221347">
        <w:rPr>
          <w:rFonts w:ascii="Arial" w:hAnsi="Arial" w:cs="Arial"/>
          <w:sz w:val="20"/>
          <w:szCs w:val="20"/>
        </w:rPr>
        <w:fldChar w:fldCharType="separate"/>
      </w:r>
      <w:r w:rsidR="0035699C" w:rsidRPr="0035699C">
        <w:rPr>
          <w:rFonts w:ascii="Arial" w:hAnsi="Arial" w:cs="Arial"/>
          <w:noProof/>
          <w:sz w:val="20"/>
          <w:szCs w:val="20"/>
        </w:rPr>
        <w:t>(30)</w:t>
      </w:r>
      <w:r w:rsidR="00924C0D" w:rsidRPr="00221347">
        <w:rPr>
          <w:rFonts w:ascii="Arial" w:hAnsi="Arial" w:cs="Arial"/>
          <w:sz w:val="20"/>
          <w:szCs w:val="20"/>
        </w:rPr>
        <w:fldChar w:fldCharType="end"/>
      </w:r>
      <w:r w:rsidR="00924C0D" w:rsidRPr="00221347">
        <w:rPr>
          <w:rFonts w:ascii="Arial" w:hAnsi="Arial" w:cs="Arial"/>
          <w:sz w:val="20"/>
          <w:szCs w:val="20"/>
        </w:rPr>
        <w:t xml:space="preserve">. </w:t>
      </w:r>
      <w:r w:rsidR="006D31D4" w:rsidRPr="00221347">
        <w:rPr>
          <w:rFonts w:ascii="Arial" w:hAnsi="Arial" w:cs="Arial"/>
          <w:sz w:val="20"/>
          <w:szCs w:val="20"/>
        </w:rPr>
        <w:t>Além disso,</w:t>
      </w:r>
      <w:r w:rsidR="00C943B5" w:rsidRPr="00D80D14">
        <w:rPr>
          <w:rFonts w:ascii="Arial" w:hAnsi="Arial" w:cs="Arial"/>
          <w:sz w:val="20"/>
          <w:szCs w:val="20"/>
        </w:rPr>
        <w:t xml:space="preserve"> nacionalmente,</w:t>
      </w:r>
      <w:r w:rsidR="006D31D4" w:rsidRPr="00221347">
        <w:rPr>
          <w:rFonts w:ascii="Arial" w:hAnsi="Arial" w:cs="Arial"/>
          <w:sz w:val="20"/>
          <w:szCs w:val="20"/>
        </w:rPr>
        <w:t xml:space="preserve"> há predomínio d</w:t>
      </w:r>
      <w:r w:rsidR="00003A33" w:rsidRPr="00221347">
        <w:rPr>
          <w:rFonts w:ascii="Arial" w:hAnsi="Arial" w:cs="Arial"/>
          <w:sz w:val="20"/>
          <w:szCs w:val="20"/>
        </w:rPr>
        <w:t>o vírus C sobre o vírus B, sendo, 54 e 16%, respectivamente</w:t>
      </w:r>
      <w:r w:rsidR="00924C0D" w:rsidRPr="00221347">
        <w:rPr>
          <w:rFonts w:ascii="Arial" w:hAnsi="Arial" w:cs="Arial"/>
          <w:sz w:val="20"/>
          <w:szCs w:val="20"/>
        </w:rPr>
        <w:t xml:space="preserve"> </w:t>
      </w:r>
      <w:r w:rsidR="00924C0D"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{"citationItems":[{"id":"ITEM-1","itemData":{"DOI":"10.1590/s1807-59322010001200010","ISSN":"1980-5322 (Electronic)","PMID":"21340216","abstract":"OBJECTIVES: We performed a national survey to update hepatocellular carcinoma (HCC)  epidemiology in Brazil and determined the clinical and epidemiological profiles of patients with HCC in different Brazilian regions. METHODS: Data from 29 centers included 1,405 patients diagnosed with HCC from 2004 to 2009. RESULTS: The median age was 59 (1-92 years old; 78% male). At diagnosis, females were older than males (median age: 62 vs. 59 years old respectively; p&lt;0.0001). Ninety-eight percent of the patients had cirrhosis (1279/1308). Hepatitis C virus was the main etiology (54%), followed by hepatitis B virus (16%) and alcohol (14%). In Southeastern and Southern Brazil, hepatitis C virus accounted for over 55% of cases. In the Northeast and North, hepatitis C virus accounted for less than 50%, and hepatitis B virus accounted for 22-25% of cases; hepatitis B was more prevalent in the Northern than in the Southern regions. Some 43%, 35%, and 22% of patients were in early, intermediate, and advanced stages respectively. Initial therapies for HCC included chemoembolization or embolization (36%), percutaneous ablation (13%), liver resection (7%), and sorafenib (1%). Liver transplantation was performed in 242 patients (19%), but it was the initial therapy for only 56 patients (4%). CONCLUSION: The epidemiology, classification, and therapy selection for HCC varied among Brazilian regions. Hepatitis C infection was the most common etiology of liver cirrhosis; chemoembolization was the most common therapy employed. Liver cirrhosis was the main risk factor for HCC development in Brazil.","author":[{"dropping-particle":"","family":"Carrilho","given":"Flair Jose","non-dropping-particle":"","parse-names":false,"suffix":""},{"dropping-particle":"","family":"Kikuchi","given":"Luciana","non-dropping-particle":"","parse-names":false,"suffix":""},{"dropping-particle":"","family":"Branco","given":"Fernanda","non-dropping-particle":"","parse-names":false,"suffix":""},{"dropping-particle":"","family":"Goncalves","given":"Carlos Sandoval","non-dropping-particle":"","parse-names":false,"suffix":""},{"dropping-particle":"de","family":"Mattos","given":"Angelo Aves","non-dropping-particle":"","parse-names":false,"suffix":""}],"container-title":"Clinics (Sao Paulo, Brazil)","id":"ITEM-1","issue":"12","issued":{"date-parts":[["2010"]]},"language":"eng","page":"1285-1290","title":"Clinical and epidemiological aspects of hepatocellular carcinoma in Brazil.","type":"article-journal","volume":"65"},"uris":["http://www.mendeley.com/documents/?uuid=a50e6976-09ee-405c-b87d-f4a9545d7c27"]}],"mendeley":{"formattedCitation":"(30)","plainTextFormattedCitation":"(30)","previouslyFormattedCitation":"(30)"},"properties":{"noteIndex":0},"schema":"https://github.com/citation-style-language/schema/raw/master/csl-citation.json"}</w:instrText>
      </w:r>
      <w:r w:rsidR="00924C0D" w:rsidRPr="00221347">
        <w:rPr>
          <w:rFonts w:ascii="Arial" w:hAnsi="Arial" w:cs="Arial"/>
          <w:sz w:val="20"/>
          <w:szCs w:val="20"/>
        </w:rPr>
        <w:fldChar w:fldCharType="separate"/>
      </w:r>
      <w:r w:rsidR="0035699C" w:rsidRPr="0035699C">
        <w:rPr>
          <w:rFonts w:ascii="Arial" w:hAnsi="Arial" w:cs="Arial"/>
          <w:noProof/>
          <w:sz w:val="20"/>
          <w:szCs w:val="20"/>
        </w:rPr>
        <w:t>(30)</w:t>
      </w:r>
      <w:r w:rsidR="00924C0D" w:rsidRPr="00221347">
        <w:rPr>
          <w:rFonts w:ascii="Arial" w:hAnsi="Arial" w:cs="Arial"/>
          <w:sz w:val="20"/>
          <w:szCs w:val="20"/>
        </w:rPr>
        <w:fldChar w:fldCharType="end"/>
      </w:r>
      <w:r w:rsidR="00924C0D" w:rsidRPr="00221347">
        <w:rPr>
          <w:rFonts w:ascii="Arial" w:hAnsi="Arial" w:cs="Arial"/>
          <w:sz w:val="20"/>
          <w:szCs w:val="20"/>
        </w:rPr>
        <w:t xml:space="preserve">. </w:t>
      </w:r>
      <w:r w:rsidR="0086001F" w:rsidRPr="00221347">
        <w:rPr>
          <w:rFonts w:ascii="Arial" w:hAnsi="Arial" w:cs="Arial"/>
          <w:sz w:val="20"/>
          <w:szCs w:val="20"/>
        </w:rPr>
        <w:t>Nossa pesquisa</w:t>
      </w:r>
      <w:r w:rsidR="009C0589" w:rsidRPr="00221347">
        <w:rPr>
          <w:rFonts w:ascii="Arial" w:hAnsi="Arial" w:cs="Arial"/>
          <w:sz w:val="20"/>
          <w:szCs w:val="20"/>
        </w:rPr>
        <w:t xml:space="preserve">, no entanto, </w:t>
      </w:r>
      <w:r w:rsidR="0086001F" w:rsidRPr="00221347">
        <w:rPr>
          <w:rFonts w:ascii="Arial" w:hAnsi="Arial" w:cs="Arial"/>
          <w:sz w:val="20"/>
          <w:szCs w:val="20"/>
        </w:rPr>
        <w:t xml:space="preserve">embora </w:t>
      </w:r>
      <w:r w:rsidR="005F31D8" w:rsidRPr="00221347">
        <w:rPr>
          <w:rFonts w:ascii="Arial" w:hAnsi="Arial" w:cs="Arial"/>
          <w:sz w:val="20"/>
          <w:szCs w:val="20"/>
        </w:rPr>
        <w:t>tenha evidenciado</w:t>
      </w:r>
      <w:r w:rsidR="0086001F" w:rsidRPr="00221347">
        <w:rPr>
          <w:rFonts w:ascii="Arial" w:hAnsi="Arial" w:cs="Arial"/>
          <w:sz w:val="20"/>
          <w:szCs w:val="20"/>
        </w:rPr>
        <w:t xml:space="preserve"> que a </w:t>
      </w:r>
      <w:r w:rsidR="000F4637" w:rsidRPr="00221347">
        <w:rPr>
          <w:rFonts w:ascii="Arial" w:hAnsi="Arial" w:cs="Arial"/>
          <w:sz w:val="20"/>
          <w:szCs w:val="20"/>
        </w:rPr>
        <w:t xml:space="preserve">maioria dos casos de CHC são </w:t>
      </w:r>
      <w:r w:rsidR="001A7CD9" w:rsidRPr="00221347">
        <w:rPr>
          <w:rFonts w:ascii="Arial" w:hAnsi="Arial" w:cs="Arial"/>
          <w:sz w:val="20"/>
          <w:szCs w:val="20"/>
        </w:rPr>
        <w:t xml:space="preserve">subjacentes </w:t>
      </w:r>
      <w:r w:rsidR="000F4637" w:rsidRPr="00221347">
        <w:rPr>
          <w:rFonts w:ascii="Arial" w:hAnsi="Arial" w:cs="Arial"/>
          <w:sz w:val="20"/>
          <w:szCs w:val="20"/>
        </w:rPr>
        <w:t xml:space="preserve">ao vírus C, </w:t>
      </w:r>
      <w:r w:rsidR="005F31D8" w:rsidRPr="00221347">
        <w:rPr>
          <w:rFonts w:ascii="Arial" w:hAnsi="Arial" w:cs="Arial"/>
          <w:sz w:val="20"/>
          <w:szCs w:val="20"/>
        </w:rPr>
        <w:t xml:space="preserve">a causa alcoólica </w:t>
      </w:r>
      <w:r w:rsidR="00685C41" w:rsidRPr="00221347">
        <w:rPr>
          <w:rFonts w:ascii="Arial" w:hAnsi="Arial" w:cs="Arial"/>
          <w:sz w:val="20"/>
          <w:szCs w:val="20"/>
        </w:rPr>
        <w:t xml:space="preserve">está representada como segunda etiologia mais prevalente, </w:t>
      </w:r>
      <w:r w:rsidR="00474A8B" w:rsidRPr="00221347">
        <w:rPr>
          <w:rFonts w:ascii="Arial" w:hAnsi="Arial" w:cs="Arial"/>
          <w:sz w:val="20"/>
          <w:szCs w:val="20"/>
        </w:rPr>
        <w:t xml:space="preserve">chegando ao percentual de </w:t>
      </w:r>
      <w:r w:rsidR="000535CF" w:rsidRPr="00221347">
        <w:rPr>
          <w:rFonts w:ascii="Arial" w:hAnsi="Arial" w:cs="Arial"/>
          <w:sz w:val="20"/>
          <w:szCs w:val="20"/>
        </w:rPr>
        <w:t>1</w:t>
      </w:r>
      <w:r w:rsidR="00046A8B" w:rsidRPr="00221347">
        <w:rPr>
          <w:rFonts w:ascii="Arial" w:hAnsi="Arial" w:cs="Arial"/>
          <w:sz w:val="20"/>
          <w:szCs w:val="20"/>
        </w:rPr>
        <w:t>7</w:t>
      </w:r>
      <w:r w:rsidR="00474A8B" w:rsidRPr="00221347">
        <w:rPr>
          <w:rFonts w:ascii="Arial" w:hAnsi="Arial" w:cs="Arial"/>
          <w:sz w:val="20"/>
          <w:szCs w:val="20"/>
        </w:rPr>
        <w:t>%</w:t>
      </w:r>
      <w:r w:rsidR="000B1DEB" w:rsidRPr="00221347">
        <w:rPr>
          <w:rFonts w:ascii="Arial" w:hAnsi="Arial" w:cs="Arial"/>
          <w:sz w:val="20"/>
          <w:szCs w:val="20"/>
        </w:rPr>
        <w:t xml:space="preserve">, </w:t>
      </w:r>
      <w:r w:rsidR="00046A8B" w:rsidRPr="00221347">
        <w:rPr>
          <w:rFonts w:ascii="Arial" w:hAnsi="Arial" w:cs="Arial"/>
          <w:sz w:val="20"/>
          <w:szCs w:val="20"/>
        </w:rPr>
        <w:t xml:space="preserve">ao passo que </w:t>
      </w:r>
      <w:r w:rsidR="00700706" w:rsidRPr="00221347">
        <w:rPr>
          <w:rFonts w:ascii="Arial" w:hAnsi="Arial" w:cs="Arial"/>
          <w:sz w:val="20"/>
          <w:szCs w:val="20"/>
        </w:rPr>
        <w:t xml:space="preserve">o </w:t>
      </w:r>
      <w:r w:rsidR="000B1DEB" w:rsidRPr="00221347">
        <w:rPr>
          <w:rFonts w:ascii="Arial" w:hAnsi="Arial" w:cs="Arial"/>
          <w:sz w:val="20"/>
          <w:szCs w:val="20"/>
        </w:rPr>
        <w:t>vírus B</w:t>
      </w:r>
      <w:r w:rsidR="00700706" w:rsidRPr="00221347">
        <w:rPr>
          <w:rFonts w:ascii="Arial" w:hAnsi="Arial" w:cs="Arial"/>
          <w:sz w:val="20"/>
          <w:szCs w:val="20"/>
        </w:rPr>
        <w:t xml:space="preserve"> ficou em 6%</w:t>
      </w:r>
      <w:r w:rsidR="00D7211B" w:rsidRPr="00D80D14">
        <w:rPr>
          <w:rFonts w:ascii="Arial" w:hAnsi="Arial" w:cs="Arial"/>
          <w:sz w:val="20"/>
          <w:szCs w:val="20"/>
        </w:rPr>
        <w:t xml:space="preserve">, conforme tabela 1. </w:t>
      </w:r>
    </w:p>
    <w:p w14:paraId="7E62D24A" w14:textId="49681804" w:rsidR="009D3151" w:rsidRPr="00D80D14" w:rsidRDefault="00A415DB" w:rsidP="00775A7E">
      <w:pPr>
        <w:spacing w:line="360" w:lineRule="auto"/>
        <w:jc w:val="both"/>
        <w:rPr>
          <w:rFonts w:ascii="Arial" w:hAnsi="Arial" w:cs="Arial"/>
          <w:sz w:val="20"/>
          <w:szCs w:val="20"/>
        </w:rPr>
      </w:pPr>
      <w:r w:rsidRPr="00221347">
        <w:rPr>
          <w:rFonts w:ascii="Arial" w:hAnsi="Arial" w:cs="Arial"/>
          <w:sz w:val="20"/>
          <w:szCs w:val="20"/>
        </w:rPr>
        <w:tab/>
      </w:r>
      <w:r w:rsidR="00BE2A2E" w:rsidRPr="00221347">
        <w:rPr>
          <w:rFonts w:ascii="Arial" w:hAnsi="Arial" w:cs="Arial"/>
          <w:sz w:val="20"/>
          <w:szCs w:val="20"/>
        </w:rPr>
        <w:t xml:space="preserve">É válido ponderar que </w:t>
      </w:r>
      <w:r w:rsidR="0038357F" w:rsidRPr="00221347">
        <w:rPr>
          <w:rFonts w:ascii="Arial" w:hAnsi="Arial" w:cs="Arial"/>
          <w:sz w:val="20"/>
          <w:szCs w:val="20"/>
        </w:rPr>
        <w:t xml:space="preserve">a amostra utilizada nesse estudo </w:t>
      </w:r>
      <w:r w:rsidR="00252938" w:rsidRPr="00221347">
        <w:rPr>
          <w:rFonts w:ascii="Arial" w:hAnsi="Arial" w:cs="Arial"/>
          <w:sz w:val="20"/>
          <w:szCs w:val="20"/>
        </w:rPr>
        <w:t xml:space="preserve">é menor quando comparada ao estudo de </w:t>
      </w:r>
      <w:r w:rsidR="00463E49" w:rsidRPr="00221347">
        <w:rPr>
          <w:rFonts w:ascii="Arial" w:hAnsi="Arial" w:cs="Arial"/>
          <w:sz w:val="20"/>
          <w:szCs w:val="20"/>
        </w:rPr>
        <w:t xml:space="preserve">Carrilho </w:t>
      </w:r>
      <w:r w:rsidR="00463E49"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{"citationItems":[{"id":"ITEM-1","itemData":{"DOI":"10.1590/s1807-59322010001200010","ISSN":"1980-5322 (Electronic)","PMID":"21340216","abstract":"OBJECTIVES: We performed a national survey to update hepatocellular carcinoma (HCC)  epidemiology in Brazil and determined the clinical and epidemiological profiles of patients with HCC in different Brazilian regions. METHODS: Data from 29 centers included 1,405 patients diagnosed with HCC from 2004 to 2009. RESULTS: The median age was 59 (1-92 years old; 78% male). At diagnosis, females were older than males (median age: 62 vs. 59 years old respectively; p&lt;0.0001). Ninety-eight percent of the patients had cirrhosis (1279/1308). Hepatitis C virus was the main etiology (54%), followed by hepatitis B virus (16%) and alcohol (14%). In Southeastern and Southern Brazil, hepatitis C virus accounted for over 55% of cases. In the Northeast and North, hepatitis C virus accounted for less than 50%, and hepatitis B virus accounted for 22-25% of cases; hepatitis B was more prevalent in the Northern than in the Southern regions. Some 43%, 35%, and 22% of patients were in early, intermediate, and advanced stages respectively. Initial therapies for HCC included chemoembolization or embolization (36%), percutaneous ablation (13%), liver resection (7%), and sorafenib (1%). Liver transplantation was performed in 242 patients (19%), but it was the initial therapy for only 56 patients (4%). CONCLUSION: The epidemiology, classification, and therapy selection for HCC varied among Brazilian regions. Hepatitis C infection was the most common etiology of liver cirrhosis; chemoembolization was the most common therapy employed. Liver cirrhosis was the main risk factor for HCC development in Brazil.","author":[{"dropping-particle":"","family":"Carrilho","given":"Flair Jose","non-dropping-particle":"","parse-names":false,"suffix":""},{"dropping-particle":"","family":"Kikuchi","given":"Luciana","non-dropping-particle":"","parse-names":false,"suffix":""},{"dropping-particle":"","family":"Branco","given":"Fernanda","non-dropping-particle":"","parse-names":false,"suffix":""},{"dropping-particle":"","family":"Goncalves","given":"Carlos Sandoval","non-dropping-particle":"","parse-names":false,"suffix":""},{"dropping-particle":"de","family":"Mattos","given":"Angelo Aves","non-dropping-particle":"","parse-names":false,"suffix":""}],"container-title":"Clinics (Sao Paulo, Brazil)","id":"ITEM-1","issue":"12","issued":{"date-parts":[["2010"]]},"language":"eng","page":"1285-1290","title":"Clinical and epidemiological aspects of hepatocellular carcinoma in Brazil.","type":"article-journal","volume":"65"},"uris":["http://www.mendeley.com/documents/?uuid=a50e6976-09ee-405c-b87d-f4a9545d7c27"]}],"mendeley":{"formattedCitation":"(30)","plainTextFormattedCitation":"(30)","previouslyFormattedCitation":"(30)"},"properties":{"noteIndex":0},"schema":"https://github.com/citation-style-language/schema/raw/master/csl-citation.json"}</w:instrText>
      </w:r>
      <w:r w:rsidR="00463E49" w:rsidRPr="00221347">
        <w:rPr>
          <w:rFonts w:ascii="Arial" w:hAnsi="Arial" w:cs="Arial"/>
          <w:sz w:val="20"/>
          <w:szCs w:val="20"/>
        </w:rPr>
        <w:fldChar w:fldCharType="separate"/>
      </w:r>
      <w:r w:rsidR="0035699C" w:rsidRPr="0035699C">
        <w:rPr>
          <w:rFonts w:ascii="Arial" w:hAnsi="Arial" w:cs="Arial"/>
          <w:noProof/>
          <w:sz w:val="20"/>
          <w:szCs w:val="20"/>
        </w:rPr>
        <w:t>(30)</w:t>
      </w:r>
      <w:r w:rsidR="00463E49" w:rsidRPr="00221347">
        <w:rPr>
          <w:rFonts w:ascii="Arial" w:hAnsi="Arial" w:cs="Arial"/>
          <w:sz w:val="20"/>
          <w:szCs w:val="20"/>
        </w:rPr>
        <w:fldChar w:fldCharType="end"/>
      </w:r>
      <w:r w:rsidR="004B78F1" w:rsidRPr="00221347">
        <w:rPr>
          <w:rFonts w:ascii="Arial" w:hAnsi="Arial" w:cs="Arial"/>
          <w:sz w:val="20"/>
          <w:szCs w:val="20"/>
        </w:rPr>
        <w:t>,</w:t>
      </w:r>
      <w:r w:rsidR="00252938" w:rsidRPr="00221347">
        <w:rPr>
          <w:rFonts w:ascii="Arial" w:hAnsi="Arial" w:cs="Arial"/>
          <w:sz w:val="20"/>
          <w:szCs w:val="20"/>
        </w:rPr>
        <w:t xml:space="preserve"> que definiu o perfil brasileiro</w:t>
      </w:r>
      <w:r w:rsidR="004B78F1" w:rsidRPr="00221347">
        <w:rPr>
          <w:rFonts w:ascii="Arial" w:hAnsi="Arial" w:cs="Arial"/>
          <w:sz w:val="20"/>
          <w:szCs w:val="20"/>
        </w:rPr>
        <w:t xml:space="preserve"> para CHC. Essa diferença amostral poderia justificar</w:t>
      </w:r>
      <w:r w:rsidR="000A40EB" w:rsidRPr="00221347">
        <w:rPr>
          <w:rFonts w:ascii="Arial" w:hAnsi="Arial" w:cs="Arial"/>
          <w:sz w:val="20"/>
          <w:szCs w:val="20"/>
        </w:rPr>
        <w:t xml:space="preserve"> a </w:t>
      </w:r>
      <w:r w:rsidR="00F03281" w:rsidRPr="00221347">
        <w:rPr>
          <w:rFonts w:ascii="Arial" w:hAnsi="Arial" w:cs="Arial"/>
          <w:sz w:val="20"/>
          <w:szCs w:val="20"/>
        </w:rPr>
        <w:t>divergência</w:t>
      </w:r>
      <w:r w:rsidR="000A40EB" w:rsidRPr="00221347">
        <w:rPr>
          <w:rFonts w:ascii="Arial" w:hAnsi="Arial" w:cs="Arial"/>
          <w:sz w:val="20"/>
          <w:szCs w:val="20"/>
        </w:rPr>
        <w:t xml:space="preserve"> entre a segunda </w:t>
      </w:r>
      <w:r w:rsidR="00F03281" w:rsidRPr="00221347">
        <w:rPr>
          <w:rFonts w:ascii="Arial" w:hAnsi="Arial" w:cs="Arial"/>
          <w:sz w:val="20"/>
          <w:szCs w:val="20"/>
        </w:rPr>
        <w:t>etiologia</w:t>
      </w:r>
      <w:r w:rsidR="000A40EB" w:rsidRPr="00221347">
        <w:rPr>
          <w:rFonts w:ascii="Arial" w:hAnsi="Arial" w:cs="Arial"/>
          <w:sz w:val="20"/>
          <w:szCs w:val="20"/>
        </w:rPr>
        <w:t xml:space="preserve"> </w:t>
      </w:r>
      <w:r w:rsidR="00F03281" w:rsidRPr="00221347">
        <w:rPr>
          <w:rFonts w:ascii="Arial" w:hAnsi="Arial" w:cs="Arial"/>
          <w:sz w:val="20"/>
          <w:szCs w:val="20"/>
        </w:rPr>
        <w:t xml:space="preserve">de CHC </w:t>
      </w:r>
      <w:r w:rsidR="000A40EB" w:rsidRPr="00221347">
        <w:rPr>
          <w:rFonts w:ascii="Arial" w:hAnsi="Arial" w:cs="Arial"/>
          <w:sz w:val="20"/>
          <w:szCs w:val="20"/>
        </w:rPr>
        <w:t>ter sido causa alcoólica e não pelo vírus B</w:t>
      </w:r>
      <w:r w:rsidR="00F03281" w:rsidRPr="00221347">
        <w:rPr>
          <w:rFonts w:ascii="Arial" w:hAnsi="Arial" w:cs="Arial"/>
          <w:sz w:val="20"/>
          <w:szCs w:val="20"/>
        </w:rPr>
        <w:t xml:space="preserve"> neste estudo. </w:t>
      </w:r>
      <w:r w:rsidR="009D71F5" w:rsidRPr="00221347">
        <w:rPr>
          <w:rFonts w:ascii="Arial" w:hAnsi="Arial" w:cs="Arial"/>
          <w:sz w:val="20"/>
          <w:szCs w:val="20"/>
        </w:rPr>
        <w:t xml:space="preserve">No entanto, </w:t>
      </w:r>
      <w:r w:rsidR="005D4E3E" w:rsidRPr="00221347">
        <w:rPr>
          <w:rFonts w:ascii="Arial" w:hAnsi="Arial" w:cs="Arial"/>
          <w:sz w:val="20"/>
          <w:szCs w:val="20"/>
        </w:rPr>
        <w:t xml:space="preserve">o estilo de vida </w:t>
      </w:r>
      <w:r w:rsidR="006064E7" w:rsidRPr="00221347">
        <w:rPr>
          <w:rFonts w:ascii="Arial" w:hAnsi="Arial" w:cs="Arial"/>
          <w:sz w:val="20"/>
          <w:szCs w:val="20"/>
        </w:rPr>
        <w:t>e os hábitos alimentares dos pacientes</w:t>
      </w:r>
      <w:r w:rsidR="009B647D" w:rsidRPr="00221347">
        <w:rPr>
          <w:rFonts w:ascii="Arial" w:hAnsi="Arial" w:cs="Arial"/>
          <w:sz w:val="20"/>
          <w:szCs w:val="20"/>
        </w:rPr>
        <w:t>, tem chamado</w:t>
      </w:r>
      <w:r w:rsidR="00025527" w:rsidRPr="00221347">
        <w:rPr>
          <w:rFonts w:ascii="Arial" w:hAnsi="Arial" w:cs="Arial"/>
          <w:sz w:val="20"/>
          <w:szCs w:val="20"/>
        </w:rPr>
        <w:t xml:space="preserve"> a</w:t>
      </w:r>
      <w:r w:rsidR="009B647D" w:rsidRPr="00221347">
        <w:rPr>
          <w:rFonts w:ascii="Arial" w:hAnsi="Arial" w:cs="Arial"/>
          <w:sz w:val="20"/>
          <w:szCs w:val="20"/>
        </w:rPr>
        <w:t xml:space="preserve"> atenção para os distúrbios metabólicos</w:t>
      </w:r>
      <w:r w:rsidR="00395D38" w:rsidRPr="00221347">
        <w:rPr>
          <w:rFonts w:ascii="Arial" w:hAnsi="Arial" w:cs="Arial"/>
          <w:sz w:val="20"/>
          <w:szCs w:val="20"/>
        </w:rPr>
        <w:t xml:space="preserve">. </w:t>
      </w:r>
      <w:r w:rsidR="000A40EB" w:rsidRPr="00221347">
        <w:rPr>
          <w:rFonts w:ascii="Arial" w:hAnsi="Arial" w:cs="Arial"/>
          <w:sz w:val="20"/>
          <w:szCs w:val="20"/>
        </w:rPr>
        <w:t xml:space="preserve"> </w:t>
      </w:r>
      <w:r w:rsidR="00CE2E9A" w:rsidRPr="00221347">
        <w:rPr>
          <w:rFonts w:ascii="Arial" w:hAnsi="Arial" w:cs="Arial"/>
          <w:sz w:val="20"/>
          <w:szCs w:val="20"/>
        </w:rPr>
        <w:t xml:space="preserve">Sabe-se que em </w:t>
      </w:r>
      <w:r w:rsidR="00487ED6" w:rsidRPr="00221347">
        <w:rPr>
          <w:rFonts w:ascii="Arial" w:hAnsi="Arial" w:cs="Arial"/>
          <w:sz w:val="20"/>
          <w:szCs w:val="20"/>
        </w:rPr>
        <w:t xml:space="preserve">um futuro próximo, as causas metabólicas de cirrose </w:t>
      </w:r>
      <w:r w:rsidR="00583ED5" w:rsidRPr="00221347">
        <w:rPr>
          <w:rFonts w:ascii="Arial" w:hAnsi="Arial" w:cs="Arial"/>
          <w:sz w:val="20"/>
          <w:szCs w:val="20"/>
        </w:rPr>
        <w:t>poderão ser</w:t>
      </w:r>
      <w:r w:rsidR="00487ED6" w:rsidRPr="00221347">
        <w:rPr>
          <w:rFonts w:ascii="Arial" w:hAnsi="Arial" w:cs="Arial"/>
          <w:sz w:val="20"/>
          <w:szCs w:val="20"/>
        </w:rPr>
        <w:t xml:space="preserve"> mais prevalentes que as causas virais</w:t>
      </w:r>
      <w:r w:rsidR="00721B68" w:rsidRPr="00221347">
        <w:rPr>
          <w:rFonts w:ascii="Arial" w:hAnsi="Arial" w:cs="Arial"/>
          <w:sz w:val="20"/>
          <w:szCs w:val="20"/>
        </w:rPr>
        <w:t xml:space="preserve"> </w:t>
      </w:r>
      <w:r w:rsidR="00721B68"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{"citationItems":[{"id":"ITEM-1","itemData":{"DOI":"10.1136/gut.2004.052167","author":[{"dropping-particle":"","family":"Davila","given":"J A","non-dropping-particle":"","parse-names":false,"suffix":""},{"dropping-particle":"","family":"Morgan","given":"R O","non-dropping-particle":"","parse-names":false,"suffix":""},{"dropping-particle":"","family":"Shaib","given":"Y","non-dropping-particle":"","parse-names":false,"suffix":""},{"dropping-particle":"","family":"Mcglynn","given":"K A","non-dropping-particle":"","parse-names":false,"suffix":""}],"id":"ITEM-1","issued":{"date-parts":[["2005"]]},"page":"533-540","title":"Diabetes increases the risk of hepatocellular carcinoma in the United States: a population based case control study","type":"article-journal"},"uris":["http://www.mendeley.com/documents/?uuid=863b7bc3-24f6-4a66-85b1-cb02b67d9676"]}],"mendeley":{"formattedCitation":"(31)","plainTextFormattedCitation":"(31)","previouslyFormattedCitation":"(31)"},"properties":{"noteIndex":0},"schema":"https://github.com/citation-style-language/schema/raw/master/csl-citation.json"}</w:instrText>
      </w:r>
      <w:r w:rsidR="00721B68" w:rsidRPr="00221347">
        <w:rPr>
          <w:rFonts w:ascii="Arial" w:hAnsi="Arial" w:cs="Arial"/>
          <w:sz w:val="20"/>
          <w:szCs w:val="20"/>
        </w:rPr>
        <w:fldChar w:fldCharType="separate"/>
      </w:r>
      <w:r w:rsidR="0035699C" w:rsidRPr="0035699C">
        <w:rPr>
          <w:rFonts w:ascii="Arial" w:hAnsi="Arial" w:cs="Arial"/>
          <w:noProof/>
          <w:sz w:val="20"/>
          <w:szCs w:val="20"/>
        </w:rPr>
        <w:t>(31)</w:t>
      </w:r>
      <w:r w:rsidR="00721B68" w:rsidRPr="00221347">
        <w:rPr>
          <w:rFonts w:ascii="Arial" w:hAnsi="Arial" w:cs="Arial"/>
          <w:sz w:val="20"/>
          <w:szCs w:val="20"/>
        </w:rPr>
        <w:fldChar w:fldCharType="end"/>
      </w:r>
      <w:r w:rsidR="00721B68" w:rsidRPr="00221347">
        <w:rPr>
          <w:rFonts w:ascii="Arial" w:hAnsi="Arial" w:cs="Arial"/>
          <w:sz w:val="20"/>
          <w:szCs w:val="20"/>
        </w:rPr>
        <w:t>,</w:t>
      </w:r>
      <w:r w:rsidR="00583ED5" w:rsidRPr="00221347">
        <w:rPr>
          <w:rFonts w:ascii="Arial" w:hAnsi="Arial" w:cs="Arial"/>
          <w:sz w:val="20"/>
          <w:szCs w:val="20"/>
        </w:rPr>
        <w:t xml:space="preserve"> </w:t>
      </w:r>
      <w:r w:rsidR="00657D01" w:rsidRPr="00221347">
        <w:rPr>
          <w:rFonts w:ascii="Arial" w:hAnsi="Arial" w:cs="Arial"/>
          <w:sz w:val="20"/>
          <w:szCs w:val="20"/>
        </w:rPr>
        <w:t>ademais</w:t>
      </w:r>
      <w:r w:rsidR="00260FD6" w:rsidRPr="00221347">
        <w:rPr>
          <w:rFonts w:ascii="Arial" w:hAnsi="Arial" w:cs="Arial"/>
          <w:sz w:val="20"/>
          <w:szCs w:val="20"/>
        </w:rPr>
        <w:t xml:space="preserve">, </w:t>
      </w:r>
      <w:r w:rsidR="005C6F20" w:rsidRPr="00221347">
        <w:rPr>
          <w:rFonts w:ascii="Arial" w:hAnsi="Arial" w:cs="Arial"/>
          <w:sz w:val="20"/>
          <w:szCs w:val="20"/>
        </w:rPr>
        <w:t xml:space="preserve">nosso estudo </w:t>
      </w:r>
      <w:r w:rsidR="003436DE" w:rsidRPr="00221347">
        <w:rPr>
          <w:rFonts w:ascii="Arial" w:hAnsi="Arial" w:cs="Arial"/>
          <w:sz w:val="20"/>
          <w:szCs w:val="20"/>
        </w:rPr>
        <w:t xml:space="preserve">corroborou </w:t>
      </w:r>
      <w:r w:rsidR="005C6F20" w:rsidRPr="00221347">
        <w:rPr>
          <w:rFonts w:ascii="Arial" w:hAnsi="Arial" w:cs="Arial"/>
          <w:sz w:val="20"/>
          <w:szCs w:val="20"/>
        </w:rPr>
        <w:t xml:space="preserve">que o alcoolismo também é motivo de preocupação para o carcinoma hepatocelular. </w:t>
      </w:r>
    </w:p>
    <w:p w14:paraId="77E9023A" w14:textId="6597779E" w:rsidR="005113FC" w:rsidRPr="00221347" w:rsidRDefault="005113FC" w:rsidP="00775A7E">
      <w:pPr>
        <w:spacing w:line="360" w:lineRule="auto"/>
        <w:jc w:val="both"/>
        <w:rPr>
          <w:rFonts w:ascii="Arial" w:hAnsi="Arial" w:cs="Arial"/>
          <w:sz w:val="20"/>
          <w:szCs w:val="20"/>
        </w:rPr>
      </w:pPr>
      <w:r w:rsidRPr="00D80D14">
        <w:rPr>
          <w:rFonts w:ascii="Arial" w:hAnsi="Arial" w:cs="Arial"/>
          <w:sz w:val="20"/>
          <w:szCs w:val="20"/>
        </w:rPr>
        <w:tab/>
      </w:r>
      <w:r w:rsidR="009400E4" w:rsidRPr="00D80D14">
        <w:rPr>
          <w:rFonts w:ascii="Arial" w:hAnsi="Arial" w:cs="Arial"/>
          <w:sz w:val="20"/>
          <w:szCs w:val="20"/>
        </w:rPr>
        <w:t>O</w:t>
      </w:r>
      <w:r w:rsidRPr="00D80D14">
        <w:rPr>
          <w:rFonts w:ascii="Arial" w:hAnsi="Arial" w:cs="Arial"/>
          <w:sz w:val="20"/>
          <w:szCs w:val="20"/>
        </w:rPr>
        <w:t xml:space="preserve"> resultado obtido sobre as etiologias de CHC teve relação direta com o estilo de vida e/ou comorbidades dos pacientes estudados. Após a análise dos prontuários, constatamos que 70% desses pacientes referiram uso crônico de bebida </w:t>
      </w:r>
      <w:r w:rsidR="00EA6A1E" w:rsidRPr="00D80D14">
        <w:rPr>
          <w:rFonts w:ascii="Arial" w:hAnsi="Arial" w:cs="Arial"/>
          <w:sz w:val="20"/>
          <w:szCs w:val="20"/>
        </w:rPr>
        <w:t>alcoólica em</w:t>
      </w:r>
      <w:r w:rsidRPr="00D80D14">
        <w:rPr>
          <w:rFonts w:ascii="Arial" w:hAnsi="Arial" w:cs="Arial"/>
          <w:sz w:val="20"/>
          <w:szCs w:val="20"/>
        </w:rPr>
        <w:t xml:space="preserve"> algum momento anterior ao transplante</w:t>
      </w:r>
      <w:r w:rsidR="00665365" w:rsidRPr="00D80D14">
        <w:rPr>
          <w:rFonts w:ascii="Arial" w:hAnsi="Arial" w:cs="Arial"/>
          <w:sz w:val="20"/>
          <w:szCs w:val="20"/>
        </w:rPr>
        <w:t xml:space="preserve">, </w:t>
      </w:r>
      <w:r w:rsidR="00684E2A" w:rsidRPr="00D80D14">
        <w:rPr>
          <w:rFonts w:ascii="Arial" w:hAnsi="Arial" w:cs="Arial"/>
          <w:sz w:val="20"/>
          <w:szCs w:val="20"/>
        </w:rPr>
        <w:t xml:space="preserve">destaca-se aqui que </w:t>
      </w:r>
      <w:r w:rsidR="00470ECF" w:rsidRPr="00D80D14">
        <w:rPr>
          <w:rFonts w:ascii="Arial" w:hAnsi="Arial" w:cs="Arial"/>
          <w:sz w:val="20"/>
          <w:szCs w:val="20"/>
        </w:rPr>
        <w:t>a hepato</w:t>
      </w:r>
      <w:r w:rsidR="007D50DB" w:rsidRPr="00D80D14">
        <w:rPr>
          <w:rFonts w:ascii="Arial" w:hAnsi="Arial" w:cs="Arial"/>
          <w:sz w:val="20"/>
          <w:szCs w:val="20"/>
        </w:rPr>
        <w:t xml:space="preserve">patia alcoólica </w:t>
      </w:r>
      <w:r w:rsidR="00684E2A" w:rsidRPr="00D80D14">
        <w:rPr>
          <w:rFonts w:ascii="Arial" w:hAnsi="Arial" w:cs="Arial"/>
          <w:sz w:val="20"/>
          <w:szCs w:val="20"/>
        </w:rPr>
        <w:t xml:space="preserve">figurou </w:t>
      </w:r>
      <w:r w:rsidR="00A93A72" w:rsidRPr="00D80D14">
        <w:rPr>
          <w:rFonts w:ascii="Arial" w:hAnsi="Arial" w:cs="Arial"/>
          <w:sz w:val="20"/>
          <w:szCs w:val="20"/>
        </w:rPr>
        <w:t>como a segunda causa mais prevalente</w:t>
      </w:r>
      <w:r w:rsidR="00684E2A" w:rsidRPr="00D80D14">
        <w:rPr>
          <w:rFonts w:ascii="Arial" w:hAnsi="Arial" w:cs="Arial"/>
          <w:sz w:val="20"/>
          <w:szCs w:val="20"/>
        </w:rPr>
        <w:t xml:space="preserve"> neste estudo</w:t>
      </w:r>
      <w:r w:rsidR="00E97819" w:rsidRPr="00D80D14">
        <w:rPr>
          <w:rFonts w:ascii="Arial" w:hAnsi="Arial" w:cs="Arial"/>
          <w:sz w:val="20"/>
          <w:szCs w:val="20"/>
        </w:rPr>
        <w:t xml:space="preserve">. </w:t>
      </w:r>
      <w:r w:rsidR="008514C1" w:rsidRPr="00D80D14">
        <w:rPr>
          <w:rFonts w:ascii="Arial" w:hAnsi="Arial" w:cs="Arial"/>
          <w:sz w:val="20"/>
          <w:szCs w:val="20"/>
        </w:rPr>
        <w:t xml:space="preserve">Além disso, 30% tinham o diagnóstico de diabetes mellitus e 53% eram hipertensos, </w:t>
      </w:r>
      <w:r w:rsidR="000F5B1B" w:rsidRPr="00D80D14">
        <w:rPr>
          <w:rFonts w:ascii="Arial" w:hAnsi="Arial" w:cs="Arial"/>
          <w:sz w:val="20"/>
          <w:szCs w:val="20"/>
        </w:rPr>
        <w:t>ficando evidente que a mai</w:t>
      </w:r>
      <w:r w:rsidR="004816F1" w:rsidRPr="00D80D14">
        <w:rPr>
          <w:rFonts w:ascii="Arial" w:hAnsi="Arial" w:cs="Arial"/>
          <w:sz w:val="20"/>
          <w:szCs w:val="20"/>
        </w:rPr>
        <w:t xml:space="preserve">oria dos pacientes deste estudo tinha algum tipo de comorbidade metabólica, </w:t>
      </w:r>
      <w:r w:rsidR="008514C1" w:rsidRPr="00D80D14">
        <w:rPr>
          <w:rFonts w:ascii="Arial" w:hAnsi="Arial" w:cs="Arial"/>
          <w:sz w:val="20"/>
          <w:szCs w:val="20"/>
        </w:rPr>
        <w:t xml:space="preserve">conforme tabela 1. </w:t>
      </w:r>
    </w:p>
    <w:p w14:paraId="6C77773F" w14:textId="33C456F4" w:rsidR="00C75B18" w:rsidRPr="00221347" w:rsidRDefault="00C75B18" w:rsidP="00D138E1">
      <w:pPr>
        <w:spacing w:line="360" w:lineRule="auto"/>
        <w:jc w:val="both"/>
        <w:rPr>
          <w:rFonts w:ascii="Arial" w:hAnsi="Arial" w:cs="Arial"/>
          <w:sz w:val="20"/>
          <w:szCs w:val="20"/>
        </w:rPr>
      </w:pPr>
      <w:r w:rsidRPr="00221347">
        <w:rPr>
          <w:rFonts w:ascii="Arial" w:hAnsi="Arial" w:cs="Arial"/>
          <w:sz w:val="20"/>
          <w:szCs w:val="20"/>
        </w:rPr>
        <w:tab/>
      </w:r>
      <w:r w:rsidR="00FD2FF0" w:rsidRPr="00221347">
        <w:rPr>
          <w:rFonts w:ascii="Arial" w:hAnsi="Arial" w:cs="Arial"/>
          <w:sz w:val="20"/>
          <w:szCs w:val="20"/>
        </w:rPr>
        <w:t xml:space="preserve">Além disso, </w:t>
      </w:r>
      <w:r w:rsidR="002253F6" w:rsidRPr="00221347">
        <w:rPr>
          <w:rFonts w:ascii="Arial" w:hAnsi="Arial" w:cs="Arial"/>
          <w:sz w:val="20"/>
          <w:szCs w:val="20"/>
        </w:rPr>
        <w:t xml:space="preserve">quando comparados aos dados nacionais, </w:t>
      </w:r>
      <w:r w:rsidR="00FD2FF0" w:rsidRPr="00221347">
        <w:rPr>
          <w:rFonts w:ascii="Arial" w:hAnsi="Arial" w:cs="Arial"/>
          <w:sz w:val="20"/>
          <w:szCs w:val="20"/>
        </w:rPr>
        <w:t xml:space="preserve">os pacientes analisados </w:t>
      </w:r>
      <w:r w:rsidR="00B77CA9" w:rsidRPr="00221347">
        <w:rPr>
          <w:rFonts w:ascii="Arial" w:hAnsi="Arial" w:cs="Arial"/>
          <w:sz w:val="20"/>
          <w:szCs w:val="20"/>
        </w:rPr>
        <w:t xml:space="preserve">neste estudo </w:t>
      </w:r>
      <w:r w:rsidR="00FD2FF0" w:rsidRPr="00221347">
        <w:rPr>
          <w:rFonts w:ascii="Arial" w:hAnsi="Arial" w:cs="Arial"/>
          <w:sz w:val="20"/>
          <w:szCs w:val="20"/>
        </w:rPr>
        <w:t xml:space="preserve">apresentaram </w:t>
      </w:r>
      <w:r w:rsidR="009346AD" w:rsidRPr="00221347">
        <w:rPr>
          <w:rFonts w:ascii="Arial" w:hAnsi="Arial" w:cs="Arial"/>
          <w:sz w:val="20"/>
          <w:szCs w:val="20"/>
        </w:rPr>
        <w:t>maior porcentagem de coinfecção pelo vírus B e C</w:t>
      </w:r>
      <w:r w:rsidR="004B03DB" w:rsidRPr="00221347">
        <w:rPr>
          <w:rFonts w:ascii="Arial" w:hAnsi="Arial" w:cs="Arial"/>
          <w:sz w:val="20"/>
          <w:szCs w:val="20"/>
        </w:rPr>
        <w:t>,</w:t>
      </w:r>
      <w:r w:rsidR="002253F6" w:rsidRPr="00221347">
        <w:rPr>
          <w:rFonts w:ascii="Arial" w:hAnsi="Arial" w:cs="Arial"/>
          <w:sz w:val="20"/>
          <w:szCs w:val="20"/>
        </w:rPr>
        <w:t xml:space="preserve"> </w:t>
      </w:r>
      <w:r w:rsidR="00646910" w:rsidRPr="00221347">
        <w:rPr>
          <w:rFonts w:ascii="Arial" w:hAnsi="Arial" w:cs="Arial"/>
          <w:sz w:val="20"/>
          <w:szCs w:val="20"/>
        </w:rPr>
        <w:t>enquanto o pa</w:t>
      </w:r>
      <w:r w:rsidR="002679F7" w:rsidRPr="00221347">
        <w:rPr>
          <w:rFonts w:ascii="Arial" w:hAnsi="Arial" w:cs="Arial"/>
          <w:sz w:val="20"/>
          <w:szCs w:val="20"/>
        </w:rPr>
        <w:t>í</w:t>
      </w:r>
      <w:r w:rsidR="00646910" w:rsidRPr="00221347">
        <w:rPr>
          <w:rFonts w:ascii="Arial" w:hAnsi="Arial" w:cs="Arial"/>
          <w:sz w:val="20"/>
          <w:szCs w:val="20"/>
        </w:rPr>
        <w:t>s possui o percentual de 2%</w:t>
      </w:r>
      <w:r w:rsidR="002253F6" w:rsidRPr="00221347">
        <w:rPr>
          <w:rFonts w:ascii="Arial" w:hAnsi="Arial" w:cs="Arial"/>
          <w:sz w:val="20"/>
          <w:szCs w:val="20"/>
        </w:rPr>
        <w:t>, nossos paciente</w:t>
      </w:r>
      <w:r w:rsidR="009A4205" w:rsidRPr="00221347">
        <w:rPr>
          <w:rFonts w:ascii="Arial" w:hAnsi="Arial" w:cs="Arial"/>
          <w:sz w:val="20"/>
          <w:szCs w:val="20"/>
        </w:rPr>
        <w:t xml:space="preserve">s somaram 6%. </w:t>
      </w:r>
      <w:r w:rsidR="002679F7" w:rsidRPr="00221347">
        <w:rPr>
          <w:rFonts w:ascii="Arial" w:hAnsi="Arial" w:cs="Arial"/>
          <w:sz w:val="20"/>
          <w:szCs w:val="20"/>
        </w:rPr>
        <w:t>Ademais</w:t>
      </w:r>
      <w:r w:rsidR="0043483C" w:rsidRPr="00221347">
        <w:rPr>
          <w:rFonts w:ascii="Arial" w:hAnsi="Arial" w:cs="Arial"/>
          <w:sz w:val="20"/>
          <w:szCs w:val="20"/>
        </w:rPr>
        <w:t xml:space="preserve">, a ocorrência de hepatopatia por causa desconhecida (criptogênica), </w:t>
      </w:r>
      <w:r w:rsidR="0021492C" w:rsidRPr="00221347">
        <w:rPr>
          <w:rFonts w:ascii="Arial" w:hAnsi="Arial" w:cs="Arial"/>
          <w:sz w:val="20"/>
          <w:szCs w:val="20"/>
        </w:rPr>
        <w:t xml:space="preserve">também esteve acima da prevalência brasileira, </w:t>
      </w:r>
      <w:r w:rsidR="00D12DE3" w:rsidRPr="00221347">
        <w:rPr>
          <w:rFonts w:ascii="Arial" w:hAnsi="Arial" w:cs="Arial"/>
          <w:sz w:val="20"/>
          <w:szCs w:val="20"/>
        </w:rPr>
        <w:t xml:space="preserve">enquanto </w:t>
      </w:r>
      <w:r w:rsidR="00ED6328" w:rsidRPr="00221347">
        <w:rPr>
          <w:rFonts w:ascii="Arial" w:hAnsi="Arial" w:cs="Arial"/>
          <w:sz w:val="20"/>
          <w:szCs w:val="20"/>
        </w:rPr>
        <w:t>a média na</w:t>
      </w:r>
      <w:r w:rsidR="00D12DE3" w:rsidRPr="00221347">
        <w:rPr>
          <w:rFonts w:ascii="Arial" w:hAnsi="Arial" w:cs="Arial"/>
          <w:sz w:val="20"/>
          <w:szCs w:val="20"/>
        </w:rPr>
        <w:t>cional ficou em 3%, nós encontra</w:t>
      </w:r>
      <w:r w:rsidR="0027273F" w:rsidRPr="00221347">
        <w:rPr>
          <w:rFonts w:ascii="Arial" w:hAnsi="Arial" w:cs="Arial"/>
          <w:sz w:val="20"/>
          <w:szCs w:val="20"/>
        </w:rPr>
        <w:t>mos 16%</w:t>
      </w:r>
      <w:r w:rsidR="00852F59" w:rsidRPr="00221347">
        <w:rPr>
          <w:rFonts w:ascii="Arial" w:hAnsi="Arial" w:cs="Arial"/>
          <w:sz w:val="20"/>
          <w:szCs w:val="20"/>
        </w:rPr>
        <w:t>.</w:t>
      </w:r>
      <w:r w:rsidR="003C70E4" w:rsidRPr="00221347">
        <w:rPr>
          <w:rFonts w:ascii="Arial" w:hAnsi="Arial" w:cs="Arial"/>
          <w:sz w:val="20"/>
          <w:szCs w:val="20"/>
        </w:rPr>
        <w:t xml:space="preserve"> </w:t>
      </w:r>
      <w:r w:rsidR="00852F59" w:rsidRPr="00221347">
        <w:rPr>
          <w:rFonts w:ascii="Arial" w:hAnsi="Arial" w:cs="Arial"/>
          <w:sz w:val="20"/>
          <w:szCs w:val="20"/>
        </w:rPr>
        <w:t xml:space="preserve"> Destaca-se que</w:t>
      </w:r>
      <w:r w:rsidR="003C70E4" w:rsidRPr="00221347">
        <w:rPr>
          <w:rFonts w:ascii="Arial" w:hAnsi="Arial" w:cs="Arial"/>
          <w:sz w:val="20"/>
          <w:szCs w:val="20"/>
        </w:rPr>
        <w:t xml:space="preserve"> </w:t>
      </w:r>
      <w:r w:rsidR="00BE0022" w:rsidRPr="00221347">
        <w:rPr>
          <w:rFonts w:ascii="Arial" w:hAnsi="Arial" w:cs="Arial"/>
          <w:sz w:val="20"/>
          <w:szCs w:val="20"/>
        </w:rPr>
        <w:t xml:space="preserve">os estudos que definiram a epidemiologia brasileira </w:t>
      </w:r>
      <w:r w:rsidR="007E10C9" w:rsidRPr="00221347">
        <w:rPr>
          <w:rFonts w:ascii="Arial" w:hAnsi="Arial" w:cs="Arial"/>
          <w:sz w:val="20"/>
          <w:szCs w:val="20"/>
        </w:rPr>
        <w:t>datam</w:t>
      </w:r>
      <w:r w:rsidR="002565A4" w:rsidRPr="00221347">
        <w:rPr>
          <w:rFonts w:ascii="Arial" w:hAnsi="Arial" w:cs="Arial"/>
          <w:sz w:val="20"/>
          <w:szCs w:val="20"/>
        </w:rPr>
        <w:t>-se de</w:t>
      </w:r>
      <w:r w:rsidR="007E10C9" w:rsidRPr="00221347">
        <w:rPr>
          <w:rFonts w:ascii="Arial" w:hAnsi="Arial" w:cs="Arial"/>
          <w:sz w:val="20"/>
          <w:szCs w:val="20"/>
        </w:rPr>
        <w:t xml:space="preserve"> 2010</w:t>
      </w:r>
      <w:r w:rsidR="002565A4" w:rsidRPr="00221347">
        <w:rPr>
          <w:rFonts w:ascii="Arial" w:hAnsi="Arial" w:cs="Arial"/>
          <w:sz w:val="20"/>
          <w:szCs w:val="20"/>
        </w:rPr>
        <w:t xml:space="preserve">, com isso, podemos estar diante de uma </w:t>
      </w:r>
      <w:r w:rsidR="002D5155" w:rsidRPr="00221347">
        <w:rPr>
          <w:rFonts w:ascii="Arial" w:hAnsi="Arial" w:cs="Arial"/>
          <w:sz w:val="20"/>
          <w:szCs w:val="20"/>
        </w:rPr>
        <w:t>tendência de mudança do perfil epidemiológico brasileiro</w:t>
      </w:r>
      <w:r w:rsidR="00DE5FD0" w:rsidRPr="00221347">
        <w:rPr>
          <w:rFonts w:ascii="Arial" w:hAnsi="Arial" w:cs="Arial"/>
          <w:sz w:val="20"/>
          <w:szCs w:val="20"/>
        </w:rPr>
        <w:t>, isso porqu</w:t>
      </w:r>
      <w:r w:rsidR="00652299" w:rsidRPr="00221347">
        <w:rPr>
          <w:rFonts w:ascii="Arial" w:hAnsi="Arial" w:cs="Arial"/>
          <w:sz w:val="20"/>
          <w:szCs w:val="20"/>
        </w:rPr>
        <w:t xml:space="preserve">e </w:t>
      </w:r>
      <w:r w:rsidR="00DE5FD0" w:rsidRPr="00221347">
        <w:rPr>
          <w:rFonts w:ascii="Arial" w:hAnsi="Arial" w:cs="Arial"/>
          <w:sz w:val="20"/>
          <w:szCs w:val="20"/>
        </w:rPr>
        <w:t>as terapias virais estão</w:t>
      </w:r>
      <w:r w:rsidR="00652299" w:rsidRPr="00221347">
        <w:rPr>
          <w:rFonts w:ascii="Arial" w:hAnsi="Arial" w:cs="Arial"/>
          <w:sz w:val="20"/>
          <w:szCs w:val="20"/>
        </w:rPr>
        <w:t xml:space="preserve"> avançando</w:t>
      </w:r>
      <w:r w:rsidR="00611B7B" w:rsidRPr="00221347">
        <w:rPr>
          <w:rFonts w:ascii="Arial" w:hAnsi="Arial" w:cs="Arial"/>
          <w:sz w:val="20"/>
          <w:szCs w:val="20"/>
        </w:rPr>
        <w:t xml:space="preserve">, enquanto os hábitos de vida dos pacientes não estão acompanhando isso. </w:t>
      </w:r>
    </w:p>
    <w:p w14:paraId="61D25B47" w14:textId="0355D385" w:rsidR="00543715" w:rsidRPr="00221347" w:rsidRDefault="00302322" w:rsidP="00D138E1">
      <w:pPr>
        <w:spacing w:line="360" w:lineRule="auto"/>
        <w:jc w:val="both"/>
        <w:rPr>
          <w:rFonts w:ascii="Arial" w:hAnsi="Arial" w:cs="Arial"/>
          <w:sz w:val="20"/>
          <w:szCs w:val="20"/>
        </w:rPr>
      </w:pPr>
      <w:r w:rsidRPr="00221347">
        <w:rPr>
          <w:rFonts w:ascii="Arial" w:hAnsi="Arial" w:cs="Arial"/>
          <w:sz w:val="20"/>
          <w:szCs w:val="20"/>
        </w:rPr>
        <w:tab/>
      </w:r>
      <w:r w:rsidR="00543715" w:rsidRPr="00221347">
        <w:rPr>
          <w:rFonts w:ascii="Arial" w:hAnsi="Arial" w:cs="Arial"/>
          <w:sz w:val="20"/>
          <w:szCs w:val="20"/>
        </w:rPr>
        <w:tab/>
      </w:r>
    </w:p>
    <w:p w14:paraId="522FC576" w14:textId="7E3C1989" w:rsidR="008F134D" w:rsidRPr="00221347" w:rsidRDefault="00E95560" w:rsidP="0068402D">
      <w:pPr>
        <w:spacing w:line="360" w:lineRule="auto"/>
        <w:jc w:val="both"/>
        <w:rPr>
          <w:rFonts w:ascii="Arial" w:hAnsi="Arial" w:cs="Arial"/>
          <w:sz w:val="20"/>
          <w:szCs w:val="20"/>
        </w:rPr>
      </w:pPr>
      <w:r w:rsidRPr="00221347">
        <w:rPr>
          <w:rFonts w:ascii="Arial" w:hAnsi="Arial" w:cs="Arial"/>
          <w:sz w:val="20"/>
          <w:szCs w:val="20"/>
        </w:rPr>
        <w:lastRenderedPageBreak/>
        <w:tab/>
        <w:t>A tabela 1 apresenta</w:t>
      </w:r>
      <w:r w:rsidR="00647ED1" w:rsidRPr="00221347">
        <w:rPr>
          <w:rFonts w:ascii="Arial" w:hAnsi="Arial" w:cs="Arial"/>
          <w:sz w:val="20"/>
          <w:szCs w:val="20"/>
        </w:rPr>
        <w:t xml:space="preserve"> as</w:t>
      </w:r>
      <w:r w:rsidRPr="00221347">
        <w:rPr>
          <w:rFonts w:ascii="Arial" w:hAnsi="Arial" w:cs="Arial"/>
          <w:sz w:val="20"/>
          <w:szCs w:val="20"/>
        </w:rPr>
        <w:t xml:space="preserve"> características </w:t>
      </w:r>
      <w:r w:rsidR="005F1A29" w:rsidRPr="00221347">
        <w:rPr>
          <w:rFonts w:ascii="Arial" w:hAnsi="Arial" w:cs="Arial"/>
          <w:sz w:val="20"/>
          <w:szCs w:val="20"/>
        </w:rPr>
        <w:t xml:space="preserve">clínicas dos </w:t>
      </w:r>
      <w:r w:rsidR="008B6DD4" w:rsidRPr="00221347">
        <w:rPr>
          <w:rFonts w:ascii="Arial" w:hAnsi="Arial" w:cs="Arial"/>
          <w:sz w:val="20"/>
          <w:szCs w:val="20"/>
        </w:rPr>
        <w:t>transplantados</w:t>
      </w:r>
      <w:r w:rsidR="005F1A29" w:rsidRPr="00221347">
        <w:rPr>
          <w:rFonts w:ascii="Arial" w:hAnsi="Arial" w:cs="Arial"/>
          <w:sz w:val="20"/>
          <w:szCs w:val="20"/>
        </w:rPr>
        <w:t>, sendo</w:t>
      </w:r>
      <w:r w:rsidR="008B6DD4" w:rsidRPr="00221347">
        <w:rPr>
          <w:rFonts w:ascii="Arial" w:hAnsi="Arial" w:cs="Arial"/>
          <w:sz w:val="20"/>
          <w:szCs w:val="20"/>
        </w:rPr>
        <w:t xml:space="preserve"> </w:t>
      </w:r>
      <w:r w:rsidR="005F1A29" w:rsidRPr="00221347">
        <w:rPr>
          <w:rFonts w:ascii="Arial" w:hAnsi="Arial" w:cs="Arial"/>
          <w:sz w:val="20"/>
          <w:szCs w:val="20"/>
        </w:rPr>
        <w:t xml:space="preserve">78% </w:t>
      </w:r>
      <w:r w:rsidR="000561EA" w:rsidRPr="00221347">
        <w:rPr>
          <w:rFonts w:ascii="Arial" w:hAnsi="Arial" w:cs="Arial"/>
          <w:sz w:val="20"/>
          <w:szCs w:val="20"/>
        </w:rPr>
        <w:t>homens</w:t>
      </w:r>
      <w:r w:rsidR="00B70711" w:rsidRPr="00221347">
        <w:rPr>
          <w:rFonts w:ascii="Arial" w:hAnsi="Arial" w:cs="Arial"/>
          <w:sz w:val="20"/>
          <w:szCs w:val="20"/>
        </w:rPr>
        <w:t xml:space="preserve"> e a média</w:t>
      </w:r>
      <w:r w:rsidR="00A67E67" w:rsidRPr="00221347">
        <w:rPr>
          <w:rFonts w:ascii="Arial" w:hAnsi="Arial" w:cs="Arial"/>
          <w:sz w:val="20"/>
          <w:szCs w:val="20"/>
        </w:rPr>
        <w:t xml:space="preserve"> d</w:t>
      </w:r>
      <w:r w:rsidR="00A97F7B" w:rsidRPr="00221347">
        <w:rPr>
          <w:rFonts w:ascii="Arial" w:hAnsi="Arial" w:cs="Arial"/>
          <w:sz w:val="20"/>
          <w:szCs w:val="20"/>
        </w:rPr>
        <w:t xml:space="preserve">a idade </w:t>
      </w:r>
      <w:r w:rsidR="00B70711" w:rsidRPr="00221347">
        <w:rPr>
          <w:rFonts w:ascii="Arial" w:hAnsi="Arial" w:cs="Arial"/>
          <w:sz w:val="20"/>
          <w:szCs w:val="20"/>
        </w:rPr>
        <w:t>dos pacientes ficou em 58 anos (</w:t>
      </w:r>
      <w:r w:rsidR="00D47A24" w:rsidRPr="00221347">
        <w:rPr>
          <w:rFonts w:ascii="Arial" w:hAnsi="Arial" w:cs="Arial"/>
          <w:sz w:val="20"/>
          <w:szCs w:val="20"/>
        </w:rPr>
        <w:t>36-81</w:t>
      </w:r>
      <w:r w:rsidR="00B70711" w:rsidRPr="00221347">
        <w:rPr>
          <w:rFonts w:ascii="Arial" w:hAnsi="Arial" w:cs="Arial"/>
          <w:sz w:val="20"/>
          <w:szCs w:val="20"/>
        </w:rPr>
        <w:t>).</w:t>
      </w:r>
      <w:r w:rsidR="005F1A29" w:rsidRPr="00221347">
        <w:rPr>
          <w:rFonts w:ascii="Arial" w:hAnsi="Arial" w:cs="Arial"/>
          <w:sz w:val="20"/>
          <w:szCs w:val="20"/>
        </w:rPr>
        <w:t xml:space="preserve"> Além disso, </w:t>
      </w:r>
      <w:r w:rsidR="00996D2E" w:rsidRPr="00221347">
        <w:rPr>
          <w:rFonts w:ascii="Arial" w:hAnsi="Arial" w:cs="Arial"/>
          <w:sz w:val="20"/>
          <w:szCs w:val="20"/>
        </w:rPr>
        <w:t xml:space="preserve">a tabela </w:t>
      </w:r>
      <w:r w:rsidR="002B7CBE" w:rsidRPr="00D80D14">
        <w:rPr>
          <w:rFonts w:ascii="Arial" w:hAnsi="Arial" w:cs="Arial"/>
          <w:sz w:val="20"/>
          <w:szCs w:val="20"/>
        </w:rPr>
        <w:t>4</w:t>
      </w:r>
      <w:r w:rsidR="00996D2E" w:rsidRPr="00221347">
        <w:rPr>
          <w:rFonts w:ascii="Arial" w:hAnsi="Arial" w:cs="Arial"/>
          <w:sz w:val="20"/>
          <w:szCs w:val="20"/>
        </w:rPr>
        <w:t xml:space="preserve"> mostra que, entre tod</w:t>
      </w:r>
      <w:r w:rsidR="008B52BB" w:rsidRPr="00221347">
        <w:rPr>
          <w:rFonts w:ascii="Arial" w:hAnsi="Arial" w:cs="Arial"/>
          <w:sz w:val="20"/>
          <w:szCs w:val="20"/>
        </w:rPr>
        <w:t>a</w:t>
      </w:r>
      <w:r w:rsidR="00996D2E" w:rsidRPr="00221347">
        <w:rPr>
          <w:rFonts w:ascii="Arial" w:hAnsi="Arial" w:cs="Arial"/>
          <w:sz w:val="20"/>
          <w:szCs w:val="20"/>
        </w:rPr>
        <w:t xml:space="preserve">s as variáveis pré-clínicas analisadas, </w:t>
      </w:r>
      <w:r w:rsidR="0020676E" w:rsidRPr="00221347">
        <w:rPr>
          <w:rFonts w:ascii="Arial" w:hAnsi="Arial" w:cs="Arial"/>
          <w:sz w:val="20"/>
          <w:szCs w:val="20"/>
        </w:rPr>
        <w:t xml:space="preserve">o sexo masculino </w:t>
      </w:r>
      <w:r w:rsidR="00E628AF">
        <w:rPr>
          <w:rFonts w:ascii="Arial" w:hAnsi="Arial" w:cs="Arial"/>
          <w:sz w:val="20"/>
          <w:szCs w:val="20"/>
        </w:rPr>
        <w:t>apresentou-se como fator de proteção para o desfecho óbito</w:t>
      </w:r>
      <w:r w:rsidR="00694C7B">
        <w:rPr>
          <w:rFonts w:ascii="Arial" w:hAnsi="Arial" w:cs="Arial"/>
          <w:sz w:val="20"/>
          <w:szCs w:val="20"/>
        </w:rPr>
        <w:t xml:space="preserve">. Assim, apesar de mais homens serem acometidos </w:t>
      </w:r>
      <w:r w:rsidR="00E838A6">
        <w:rPr>
          <w:rFonts w:ascii="Arial" w:hAnsi="Arial" w:cs="Arial"/>
          <w:sz w:val="20"/>
          <w:szCs w:val="20"/>
        </w:rPr>
        <w:t>pelo CHC</w:t>
      </w:r>
      <w:r w:rsidR="00352923">
        <w:rPr>
          <w:rFonts w:ascii="Arial" w:hAnsi="Arial" w:cs="Arial"/>
          <w:sz w:val="20"/>
          <w:szCs w:val="20"/>
        </w:rPr>
        <w:t xml:space="preserve"> (78%)</w:t>
      </w:r>
      <w:r w:rsidR="00E838A6">
        <w:rPr>
          <w:rFonts w:ascii="Arial" w:hAnsi="Arial" w:cs="Arial"/>
          <w:sz w:val="20"/>
          <w:szCs w:val="20"/>
        </w:rPr>
        <w:t xml:space="preserve">, </w:t>
      </w:r>
      <w:r w:rsidR="00352923">
        <w:rPr>
          <w:rFonts w:ascii="Arial" w:hAnsi="Arial" w:cs="Arial"/>
          <w:sz w:val="20"/>
          <w:szCs w:val="20"/>
        </w:rPr>
        <w:t xml:space="preserve">uma menor quantidade falece quando comparado ao sexo feminino. </w:t>
      </w:r>
      <w:r w:rsidR="00766F2F" w:rsidRPr="00221347">
        <w:rPr>
          <w:rFonts w:ascii="Arial" w:hAnsi="Arial" w:cs="Arial"/>
          <w:sz w:val="20"/>
          <w:szCs w:val="20"/>
        </w:rPr>
        <w:t>A porcentagem do sexo masculino (78%) no nosso estudo foi exatamente igual</w:t>
      </w:r>
      <w:r w:rsidR="00AF6D4C" w:rsidRPr="00221347">
        <w:rPr>
          <w:rFonts w:ascii="Arial" w:hAnsi="Arial" w:cs="Arial"/>
          <w:sz w:val="20"/>
          <w:szCs w:val="20"/>
        </w:rPr>
        <w:t xml:space="preserve"> (78%)</w:t>
      </w:r>
      <w:r w:rsidR="00766F2F" w:rsidRPr="00221347">
        <w:rPr>
          <w:rFonts w:ascii="Arial" w:hAnsi="Arial" w:cs="Arial"/>
          <w:sz w:val="20"/>
          <w:szCs w:val="20"/>
        </w:rPr>
        <w:t xml:space="preserve"> ao </w:t>
      </w:r>
      <w:r w:rsidR="00AF6D4C" w:rsidRPr="00221347">
        <w:rPr>
          <w:rFonts w:ascii="Arial" w:hAnsi="Arial" w:cs="Arial"/>
          <w:sz w:val="20"/>
          <w:szCs w:val="20"/>
        </w:rPr>
        <w:t xml:space="preserve">estudo de </w:t>
      </w:r>
      <w:r w:rsidR="00582663" w:rsidRPr="00221347">
        <w:rPr>
          <w:rFonts w:ascii="Arial" w:hAnsi="Arial" w:cs="Arial"/>
          <w:sz w:val="20"/>
          <w:szCs w:val="20"/>
        </w:rPr>
        <w:t>Carrilho</w:t>
      </w:r>
      <w:r w:rsidR="00582663"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{"citationItems":[{"id":"ITEM-1","itemData":{"DOI":"10.1590/s1807-59322010001200010","ISSN":"1980-5322 (Electronic)","PMID":"21340216","abstract":"OBJECTIVES: We performed a national survey to update hepatocellular carcinoma (HCC)  epidemiology in Brazil and determined the clinical and epidemiological profiles of patients with HCC in different Brazilian regions. METHODS: Data from 29 centers included 1,405 patients diagnosed with HCC from 2004 to 2009. RESULTS: The median age was 59 (1-92 years old; 78% male). At diagnosis, females were older than males (median age: 62 vs. 59 years old respectively; p&lt;0.0001). Ninety-eight percent of the patients had cirrhosis (1279/1308). Hepatitis C virus was the main etiology (54%), followed by hepatitis B virus (16%) and alcohol (14%). In Southeastern and Southern Brazil, hepatitis C virus accounted for over 55% of cases. In the Northeast and North, hepatitis C virus accounted for less than 50%, and hepatitis B virus accounted for 22-25% of cases; hepatitis B was more prevalent in the Northern than in the Southern regions. Some 43%, 35%, and 22% of patients were in early, intermediate, and advanced stages respectively. Initial therapies for HCC included chemoembolization or embolization (36%), percutaneous ablation (13%), liver resection (7%), and sorafenib (1%). Liver transplantation was performed in 242 patients (19%), but it was the initial therapy for only 56 patients (4%). CONCLUSION: The epidemiology, classification, and therapy selection for HCC varied among Brazilian regions. Hepatitis C infection was the most common etiology of liver cirrhosis; chemoembolization was the most common therapy employed. Liver cirrhosis was the main risk factor for HCC development in Brazil.","author":[{"dropping-particle":"","family":"Carrilho","given":"Flair Jose","non-dropping-particle":"","parse-names":false,"suffix":""},{"dropping-particle":"","family":"Kikuchi","given":"Luciana","non-dropping-particle":"","parse-names":false,"suffix":""},{"dropping-particle":"","family":"Branco","given":"Fernanda","non-dropping-particle":"","parse-names":false,"suffix":""},{"dropping-particle":"","family":"Goncalves","given":"Carlos Sandoval","non-dropping-particle":"","parse-names":false,"suffix":""},{"dropping-particle":"de","family":"Mattos","given":"Angelo Aves","non-dropping-particle":"","parse-names":false,"suffix":""}],"container-title":"Clinics (Sao Paulo, Brazil)","id":"ITEM-1","issue":"12","issued":{"date-parts":[["2010"]]},"language":"eng","page":"1285-1290","title":"Clinical and epidemiological aspects of hepatocellular carcinoma in Brazil.","type":"article-journal","volume":"65"},"uris":["http://www.mendeley.com/documents/?uuid=a50e6976-09ee-405c-b87d-f4a9545d7c27"]}],"mendeley":{"formattedCitation":"(30)","plainTextFormattedCitation":"(30)","previouslyFormattedCitation":"(30)"},"properties":{"noteIndex":0},"schema":"https://github.com/citation-style-language/schema/raw/master/csl-citation.json"}</w:instrText>
      </w:r>
      <w:r w:rsidR="00582663" w:rsidRPr="00221347">
        <w:rPr>
          <w:rFonts w:ascii="Arial" w:hAnsi="Arial" w:cs="Arial"/>
          <w:sz w:val="20"/>
          <w:szCs w:val="20"/>
        </w:rPr>
        <w:fldChar w:fldCharType="separate"/>
      </w:r>
      <w:r w:rsidR="0035699C" w:rsidRPr="0035699C">
        <w:rPr>
          <w:rFonts w:ascii="Arial" w:hAnsi="Arial" w:cs="Arial"/>
          <w:noProof/>
          <w:sz w:val="20"/>
          <w:szCs w:val="20"/>
        </w:rPr>
        <w:t>(30)</w:t>
      </w:r>
      <w:r w:rsidR="00582663" w:rsidRPr="00221347">
        <w:rPr>
          <w:rFonts w:ascii="Arial" w:hAnsi="Arial" w:cs="Arial"/>
          <w:sz w:val="20"/>
          <w:szCs w:val="20"/>
        </w:rPr>
        <w:fldChar w:fldCharType="end"/>
      </w:r>
      <w:r w:rsidR="007515F4" w:rsidRPr="00221347">
        <w:rPr>
          <w:rFonts w:ascii="Arial" w:hAnsi="Arial" w:cs="Arial"/>
          <w:sz w:val="20"/>
          <w:szCs w:val="20"/>
        </w:rPr>
        <w:t xml:space="preserve"> que analisou 1363 pacientes</w:t>
      </w:r>
      <w:r w:rsidR="00C82E5D" w:rsidRPr="00221347">
        <w:rPr>
          <w:rFonts w:ascii="Arial" w:hAnsi="Arial" w:cs="Arial"/>
          <w:sz w:val="20"/>
          <w:szCs w:val="20"/>
        </w:rPr>
        <w:t>,</w:t>
      </w:r>
      <w:r w:rsidR="007515F4" w:rsidRPr="00221347">
        <w:rPr>
          <w:rFonts w:ascii="Arial" w:hAnsi="Arial" w:cs="Arial"/>
          <w:sz w:val="20"/>
          <w:szCs w:val="20"/>
        </w:rPr>
        <w:t xml:space="preserve"> </w:t>
      </w:r>
      <w:r w:rsidR="005938E8" w:rsidRPr="00221347">
        <w:rPr>
          <w:rFonts w:ascii="Arial" w:hAnsi="Arial" w:cs="Arial"/>
          <w:sz w:val="20"/>
          <w:szCs w:val="20"/>
        </w:rPr>
        <w:t>com carcinoma hepatocelular</w:t>
      </w:r>
      <w:r w:rsidR="00C82E5D" w:rsidRPr="00221347">
        <w:rPr>
          <w:rFonts w:ascii="Arial" w:hAnsi="Arial" w:cs="Arial"/>
          <w:sz w:val="20"/>
          <w:szCs w:val="20"/>
        </w:rPr>
        <w:t>,</w:t>
      </w:r>
      <w:r w:rsidR="005938E8" w:rsidRPr="00221347">
        <w:rPr>
          <w:rFonts w:ascii="Arial" w:hAnsi="Arial" w:cs="Arial"/>
          <w:sz w:val="20"/>
          <w:szCs w:val="20"/>
        </w:rPr>
        <w:t xml:space="preserve"> em 2010. </w:t>
      </w:r>
      <w:r w:rsidR="00C82E5D" w:rsidRPr="00221347">
        <w:rPr>
          <w:rFonts w:ascii="Arial" w:hAnsi="Arial" w:cs="Arial"/>
          <w:sz w:val="20"/>
          <w:szCs w:val="20"/>
        </w:rPr>
        <w:t xml:space="preserve">Essa informação </w:t>
      </w:r>
      <w:r w:rsidR="00DF2B10" w:rsidRPr="00221347">
        <w:rPr>
          <w:rFonts w:ascii="Arial" w:hAnsi="Arial" w:cs="Arial"/>
          <w:sz w:val="20"/>
          <w:szCs w:val="20"/>
        </w:rPr>
        <w:t xml:space="preserve">revela que </w:t>
      </w:r>
      <w:r w:rsidR="00F465F0" w:rsidRPr="00221347">
        <w:rPr>
          <w:rFonts w:ascii="Arial" w:hAnsi="Arial" w:cs="Arial"/>
          <w:sz w:val="20"/>
          <w:szCs w:val="20"/>
        </w:rPr>
        <w:t xml:space="preserve">não </w:t>
      </w:r>
      <w:r w:rsidR="007322A1" w:rsidRPr="00221347">
        <w:rPr>
          <w:rFonts w:ascii="Arial" w:hAnsi="Arial" w:cs="Arial"/>
          <w:sz w:val="20"/>
          <w:szCs w:val="20"/>
        </w:rPr>
        <w:t xml:space="preserve">houve </w:t>
      </w:r>
      <w:r w:rsidR="00F465F0" w:rsidRPr="00221347">
        <w:rPr>
          <w:rFonts w:ascii="Arial" w:hAnsi="Arial" w:cs="Arial"/>
          <w:sz w:val="20"/>
          <w:szCs w:val="20"/>
        </w:rPr>
        <w:t>tendência</w:t>
      </w:r>
      <w:r w:rsidR="00DF2B10" w:rsidRPr="00221347">
        <w:rPr>
          <w:rFonts w:ascii="Arial" w:hAnsi="Arial" w:cs="Arial"/>
          <w:sz w:val="20"/>
          <w:szCs w:val="20"/>
        </w:rPr>
        <w:t xml:space="preserve"> de redução do CHC em homens</w:t>
      </w:r>
      <w:r w:rsidR="00F465F0" w:rsidRPr="00221347">
        <w:rPr>
          <w:rFonts w:ascii="Arial" w:hAnsi="Arial" w:cs="Arial"/>
          <w:sz w:val="20"/>
          <w:szCs w:val="20"/>
        </w:rPr>
        <w:t xml:space="preserve">, mantendo-se a uma taxa constante. </w:t>
      </w:r>
      <w:r w:rsidR="003D7F59" w:rsidRPr="00D80D14">
        <w:rPr>
          <w:rFonts w:ascii="Arial" w:hAnsi="Arial" w:cs="Arial"/>
          <w:sz w:val="20"/>
          <w:szCs w:val="20"/>
        </w:rPr>
        <w:tab/>
        <w:t xml:space="preserve">Além disso, </w:t>
      </w:r>
      <w:r w:rsidR="001C4B11" w:rsidRPr="00D80D14">
        <w:rPr>
          <w:rFonts w:ascii="Arial" w:hAnsi="Arial" w:cs="Arial"/>
          <w:sz w:val="20"/>
          <w:szCs w:val="20"/>
        </w:rPr>
        <w:t xml:space="preserve">ainda na tabela 4, </w:t>
      </w:r>
      <w:r w:rsidR="00B24D42" w:rsidRPr="00D80D14">
        <w:rPr>
          <w:rFonts w:ascii="Arial" w:hAnsi="Arial" w:cs="Arial"/>
          <w:sz w:val="20"/>
          <w:szCs w:val="20"/>
        </w:rPr>
        <w:t xml:space="preserve">não encontramos </w:t>
      </w:r>
      <w:r w:rsidR="000338EC" w:rsidRPr="00D80D14">
        <w:rPr>
          <w:rFonts w:ascii="Arial" w:hAnsi="Arial" w:cs="Arial"/>
          <w:sz w:val="20"/>
          <w:szCs w:val="20"/>
        </w:rPr>
        <w:t>nenhum</w:t>
      </w:r>
      <w:r w:rsidR="00A73840" w:rsidRPr="00D80D14">
        <w:rPr>
          <w:rFonts w:ascii="Arial" w:hAnsi="Arial" w:cs="Arial"/>
          <w:sz w:val="20"/>
          <w:szCs w:val="20"/>
        </w:rPr>
        <w:t>a</w:t>
      </w:r>
      <w:r w:rsidR="000338EC" w:rsidRPr="00D80D14">
        <w:rPr>
          <w:rFonts w:ascii="Arial" w:hAnsi="Arial" w:cs="Arial"/>
          <w:sz w:val="20"/>
          <w:szCs w:val="20"/>
        </w:rPr>
        <w:t xml:space="preserve"> relação entre os parâmetros </w:t>
      </w:r>
      <w:r w:rsidR="00615B1E" w:rsidRPr="00D80D14">
        <w:rPr>
          <w:rFonts w:ascii="Arial" w:hAnsi="Arial" w:cs="Arial"/>
          <w:sz w:val="20"/>
          <w:szCs w:val="20"/>
        </w:rPr>
        <w:t xml:space="preserve">analisados </w:t>
      </w:r>
      <w:r w:rsidR="00A73840" w:rsidRPr="00D80D14">
        <w:rPr>
          <w:rFonts w:ascii="Arial" w:hAnsi="Arial" w:cs="Arial"/>
          <w:sz w:val="20"/>
          <w:szCs w:val="20"/>
        </w:rPr>
        <w:t xml:space="preserve">e o desfecho invasão microvascular, nem mesmo o sexo masculino apresentou-se </w:t>
      </w:r>
      <w:r w:rsidR="00064A6C" w:rsidRPr="00D80D14">
        <w:rPr>
          <w:rFonts w:ascii="Arial" w:hAnsi="Arial" w:cs="Arial"/>
          <w:sz w:val="20"/>
          <w:szCs w:val="20"/>
        </w:rPr>
        <w:t xml:space="preserve">significante. </w:t>
      </w:r>
    </w:p>
    <w:p w14:paraId="25376D1C" w14:textId="4A4E19A0" w:rsidR="0016748B" w:rsidRPr="00D80D14" w:rsidRDefault="009646C5">
      <w:pPr>
        <w:spacing w:line="360" w:lineRule="auto"/>
        <w:jc w:val="both"/>
        <w:rPr>
          <w:rFonts w:ascii="Arial" w:hAnsi="Arial" w:cs="Arial"/>
          <w:sz w:val="20"/>
          <w:szCs w:val="20"/>
        </w:rPr>
      </w:pPr>
      <w:r w:rsidRPr="00221347">
        <w:rPr>
          <w:rFonts w:ascii="Arial" w:hAnsi="Arial" w:cs="Arial"/>
          <w:sz w:val="20"/>
          <w:szCs w:val="20"/>
        </w:rPr>
        <w:tab/>
      </w:r>
      <w:r w:rsidR="00DC4225" w:rsidRPr="00221347">
        <w:rPr>
          <w:rFonts w:ascii="Arial" w:hAnsi="Arial" w:cs="Arial"/>
          <w:sz w:val="20"/>
          <w:szCs w:val="20"/>
        </w:rPr>
        <w:t xml:space="preserve"> </w:t>
      </w:r>
      <w:r w:rsidR="00C400FE" w:rsidRPr="00221347">
        <w:rPr>
          <w:rFonts w:ascii="Arial" w:hAnsi="Arial" w:cs="Arial"/>
          <w:sz w:val="20"/>
          <w:szCs w:val="20"/>
        </w:rPr>
        <w:t xml:space="preserve">Em todos </w:t>
      </w:r>
      <w:r w:rsidR="00D45B50" w:rsidRPr="00221347">
        <w:rPr>
          <w:rFonts w:ascii="Arial" w:hAnsi="Arial" w:cs="Arial"/>
          <w:sz w:val="20"/>
          <w:szCs w:val="20"/>
        </w:rPr>
        <w:t>os prontuários do nosso estudo</w:t>
      </w:r>
      <w:r w:rsidR="004C1A3A" w:rsidRPr="00221347">
        <w:rPr>
          <w:rFonts w:ascii="Arial" w:hAnsi="Arial" w:cs="Arial"/>
          <w:sz w:val="20"/>
          <w:szCs w:val="20"/>
        </w:rPr>
        <w:t xml:space="preserve">, havia a informação sobre a etnia do paciente. </w:t>
      </w:r>
      <w:r w:rsidR="00EA39AC" w:rsidRPr="00221347">
        <w:rPr>
          <w:rFonts w:ascii="Arial" w:hAnsi="Arial" w:cs="Arial"/>
          <w:sz w:val="20"/>
          <w:szCs w:val="20"/>
        </w:rPr>
        <w:t xml:space="preserve">Considerando a tabela 1, temos que 91% dos pacientes estavam referidos como brancos, </w:t>
      </w:r>
      <w:r w:rsidR="00D45B50" w:rsidRPr="00221347">
        <w:rPr>
          <w:rFonts w:ascii="Arial" w:hAnsi="Arial" w:cs="Arial"/>
          <w:sz w:val="20"/>
          <w:szCs w:val="20"/>
        </w:rPr>
        <w:t>6 e 2%, como pardos e negros, res</w:t>
      </w:r>
      <w:r w:rsidR="003F51C7" w:rsidRPr="00221347">
        <w:rPr>
          <w:rFonts w:ascii="Arial" w:hAnsi="Arial" w:cs="Arial"/>
          <w:sz w:val="20"/>
          <w:szCs w:val="20"/>
        </w:rPr>
        <w:t xml:space="preserve">pectivamente. </w:t>
      </w:r>
      <w:r w:rsidR="00F37D5B" w:rsidRPr="00221347">
        <w:rPr>
          <w:rFonts w:ascii="Arial" w:hAnsi="Arial" w:cs="Arial"/>
          <w:sz w:val="20"/>
          <w:szCs w:val="20"/>
        </w:rPr>
        <w:t xml:space="preserve">Essa constatação </w:t>
      </w:r>
      <w:r w:rsidR="006747F7" w:rsidRPr="00221347">
        <w:rPr>
          <w:rFonts w:ascii="Arial" w:hAnsi="Arial" w:cs="Arial"/>
          <w:sz w:val="20"/>
          <w:szCs w:val="20"/>
        </w:rPr>
        <w:t>é dissonante do perfil étnico brasileiro</w:t>
      </w:r>
      <w:r w:rsidR="00B90A79" w:rsidRPr="00221347">
        <w:rPr>
          <w:rFonts w:ascii="Arial" w:hAnsi="Arial" w:cs="Arial"/>
          <w:sz w:val="20"/>
          <w:szCs w:val="20"/>
        </w:rPr>
        <w:t>, basead</w:t>
      </w:r>
      <w:r w:rsidR="008513E6" w:rsidRPr="00221347">
        <w:rPr>
          <w:rFonts w:ascii="Arial" w:hAnsi="Arial" w:cs="Arial"/>
          <w:sz w:val="20"/>
          <w:szCs w:val="20"/>
        </w:rPr>
        <w:t>a</w:t>
      </w:r>
      <w:r w:rsidR="006747F7" w:rsidRPr="00221347">
        <w:rPr>
          <w:rFonts w:ascii="Arial" w:hAnsi="Arial" w:cs="Arial"/>
          <w:sz w:val="20"/>
          <w:szCs w:val="20"/>
        </w:rPr>
        <w:t xml:space="preserve"> </w:t>
      </w:r>
      <w:r w:rsidR="00B90A79" w:rsidRPr="00221347">
        <w:rPr>
          <w:rFonts w:ascii="Arial" w:hAnsi="Arial" w:cs="Arial"/>
          <w:sz w:val="20"/>
          <w:szCs w:val="20"/>
        </w:rPr>
        <w:t>na</w:t>
      </w:r>
      <w:r w:rsidR="0022483E" w:rsidRPr="00221347">
        <w:rPr>
          <w:rFonts w:ascii="Arial" w:hAnsi="Arial" w:cs="Arial"/>
          <w:sz w:val="20"/>
          <w:szCs w:val="20"/>
        </w:rPr>
        <w:t xml:space="preserve"> Pesquisa Nacional por Amostra de Domicílios Contínua (Pnad contínua)</w:t>
      </w:r>
      <w:r w:rsidR="007E5BE4" w:rsidRPr="00221347">
        <w:rPr>
          <w:rFonts w:ascii="Arial" w:hAnsi="Arial" w:cs="Arial"/>
          <w:sz w:val="20"/>
          <w:szCs w:val="20"/>
        </w:rPr>
        <w:t xml:space="preserve">, divulgada pelo </w:t>
      </w:r>
      <w:r w:rsidR="008E3B9E" w:rsidRPr="00221347">
        <w:rPr>
          <w:rFonts w:ascii="Arial" w:hAnsi="Arial" w:cs="Arial"/>
          <w:sz w:val="20"/>
          <w:szCs w:val="20"/>
        </w:rPr>
        <w:t>Instituto Brasileiro de Geografia e Estatística (</w:t>
      </w:r>
      <w:r w:rsidR="00740E2C" w:rsidRPr="00221347">
        <w:rPr>
          <w:rFonts w:ascii="Arial" w:hAnsi="Arial" w:cs="Arial"/>
          <w:sz w:val="20"/>
          <w:szCs w:val="20"/>
        </w:rPr>
        <w:t>IBGE</w:t>
      </w:r>
      <w:r w:rsidR="008E3B9E" w:rsidRPr="00221347">
        <w:rPr>
          <w:rFonts w:ascii="Arial" w:hAnsi="Arial" w:cs="Arial"/>
          <w:sz w:val="20"/>
          <w:szCs w:val="20"/>
        </w:rPr>
        <w:t>)</w:t>
      </w:r>
      <w:r w:rsidR="007138D0"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{"citationItems":[{"id":"ITEM-1","itemData":{"URL":"http://www.ibge.gov.br","accessed":{"date-parts":[["2020","10","4"]]},"container-title":"2016","id":"ITEM-1","issued":{"date-parts":[["0"]]},"title":"Pesquisa Nacional por Amostra de Domicílios (PNAD)","type":"webpage"},"uris":["http://www.mendeley.com/documents/?uuid=c71be509-3a4d-4430-b79f-444c21eaaca6"]}],"mendeley":{"formattedCitation":"(32)","plainTextFormattedCitation":"(32)","previouslyFormattedCitation":"(32)"},"properties":{"noteIndex":0},"schema":"https://github.com/citation-style-language/schema/raw/master/csl-citation.json"}</w:instrText>
      </w:r>
      <w:r w:rsidR="007138D0" w:rsidRPr="00221347">
        <w:rPr>
          <w:rFonts w:ascii="Arial" w:hAnsi="Arial" w:cs="Arial"/>
          <w:sz w:val="20"/>
          <w:szCs w:val="20"/>
        </w:rPr>
        <w:fldChar w:fldCharType="separate"/>
      </w:r>
      <w:r w:rsidR="0035699C" w:rsidRPr="0035699C">
        <w:rPr>
          <w:rFonts w:ascii="Arial" w:hAnsi="Arial" w:cs="Arial"/>
          <w:noProof/>
          <w:sz w:val="20"/>
          <w:szCs w:val="20"/>
        </w:rPr>
        <w:t>(32)</w:t>
      </w:r>
      <w:r w:rsidR="007138D0" w:rsidRPr="00221347">
        <w:rPr>
          <w:rFonts w:ascii="Arial" w:hAnsi="Arial" w:cs="Arial"/>
          <w:sz w:val="20"/>
          <w:szCs w:val="20"/>
        </w:rPr>
        <w:fldChar w:fldCharType="end"/>
      </w:r>
      <w:r w:rsidR="009C319A" w:rsidRPr="00221347">
        <w:rPr>
          <w:rFonts w:ascii="Arial" w:hAnsi="Arial" w:cs="Arial"/>
          <w:sz w:val="20"/>
          <w:szCs w:val="20"/>
        </w:rPr>
        <w:t xml:space="preserve"> </w:t>
      </w:r>
      <w:r w:rsidR="007E5BE4" w:rsidRPr="00221347">
        <w:rPr>
          <w:rFonts w:ascii="Arial" w:hAnsi="Arial" w:cs="Arial"/>
          <w:sz w:val="20"/>
          <w:szCs w:val="20"/>
        </w:rPr>
        <w:t>em 2016</w:t>
      </w:r>
      <w:r w:rsidR="00B1308C" w:rsidRPr="00221347">
        <w:rPr>
          <w:rFonts w:ascii="Arial" w:hAnsi="Arial" w:cs="Arial"/>
          <w:sz w:val="20"/>
          <w:szCs w:val="20"/>
        </w:rPr>
        <w:t>,</w:t>
      </w:r>
      <w:r w:rsidR="007E5BE4" w:rsidRPr="00221347">
        <w:rPr>
          <w:rFonts w:ascii="Arial" w:hAnsi="Arial" w:cs="Arial"/>
          <w:sz w:val="20"/>
          <w:szCs w:val="20"/>
        </w:rPr>
        <w:t xml:space="preserve"> mostrou que </w:t>
      </w:r>
      <w:r w:rsidR="001D78EB" w:rsidRPr="00221347">
        <w:rPr>
          <w:rFonts w:ascii="Arial" w:hAnsi="Arial" w:cs="Arial"/>
          <w:sz w:val="20"/>
          <w:szCs w:val="20"/>
        </w:rPr>
        <w:t xml:space="preserve">46,7% da população brasileira </w:t>
      </w:r>
      <w:r w:rsidR="00C40BDC" w:rsidRPr="00221347">
        <w:rPr>
          <w:rFonts w:ascii="Arial" w:hAnsi="Arial" w:cs="Arial"/>
          <w:sz w:val="20"/>
          <w:szCs w:val="20"/>
        </w:rPr>
        <w:t>se autodeclarava</w:t>
      </w:r>
      <w:r w:rsidR="001D78EB" w:rsidRPr="00221347">
        <w:rPr>
          <w:rFonts w:ascii="Arial" w:hAnsi="Arial" w:cs="Arial"/>
          <w:sz w:val="20"/>
          <w:szCs w:val="20"/>
        </w:rPr>
        <w:t xml:space="preserve"> parda, </w:t>
      </w:r>
      <w:r w:rsidR="00F3469E" w:rsidRPr="00221347">
        <w:rPr>
          <w:rFonts w:ascii="Arial" w:hAnsi="Arial" w:cs="Arial"/>
          <w:sz w:val="20"/>
          <w:szCs w:val="20"/>
        </w:rPr>
        <w:t xml:space="preserve">contra 44,2 e </w:t>
      </w:r>
      <w:r w:rsidR="00C40BDC" w:rsidRPr="00221347">
        <w:rPr>
          <w:rFonts w:ascii="Arial" w:hAnsi="Arial" w:cs="Arial"/>
          <w:sz w:val="20"/>
          <w:szCs w:val="20"/>
        </w:rPr>
        <w:t xml:space="preserve">8,2% que </w:t>
      </w:r>
      <w:r w:rsidR="002661A4" w:rsidRPr="00D80D14">
        <w:rPr>
          <w:rFonts w:ascii="Arial" w:hAnsi="Arial" w:cs="Arial"/>
          <w:sz w:val="20"/>
          <w:szCs w:val="20"/>
        </w:rPr>
        <w:t>declaravam-se</w:t>
      </w:r>
      <w:r w:rsidR="00C40BDC" w:rsidRPr="00221347">
        <w:rPr>
          <w:rFonts w:ascii="Arial" w:hAnsi="Arial" w:cs="Arial"/>
          <w:sz w:val="20"/>
          <w:szCs w:val="20"/>
        </w:rPr>
        <w:t xml:space="preserve"> brancos e pretos, respectivamente. </w:t>
      </w:r>
      <w:r w:rsidR="00BB043F" w:rsidRPr="00221347">
        <w:rPr>
          <w:rFonts w:ascii="Arial" w:hAnsi="Arial" w:cs="Arial"/>
          <w:sz w:val="20"/>
          <w:szCs w:val="20"/>
        </w:rPr>
        <w:t xml:space="preserve">Acreditamos que o motivo dessa divergência </w:t>
      </w:r>
      <w:r w:rsidR="00DB3604" w:rsidRPr="00221347">
        <w:rPr>
          <w:rFonts w:ascii="Arial" w:hAnsi="Arial" w:cs="Arial"/>
          <w:sz w:val="20"/>
          <w:szCs w:val="20"/>
        </w:rPr>
        <w:t>possa</w:t>
      </w:r>
      <w:r w:rsidR="00BB043F" w:rsidRPr="00221347">
        <w:rPr>
          <w:rFonts w:ascii="Arial" w:hAnsi="Arial" w:cs="Arial"/>
          <w:sz w:val="20"/>
          <w:szCs w:val="20"/>
        </w:rPr>
        <w:t xml:space="preserve"> estar n</w:t>
      </w:r>
      <w:r w:rsidR="008513E6" w:rsidRPr="00221347">
        <w:rPr>
          <w:rFonts w:ascii="Arial" w:hAnsi="Arial" w:cs="Arial"/>
          <w:sz w:val="20"/>
          <w:szCs w:val="20"/>
        </w:rPr>
        <w:t>a subjetividade</w:t>
      </w:r>
      <w:r w:rsidR="00ED7608" w:rsidRPr="00221347">
        <w:rPr>
          <w:rFonts w:ascii="Arial" w:hAnsi="Arial" w:cs="Arial"/>
          <w:sz w:val="20"/>
          <w:szCs w:val="20"/>
        </w:rPr>
        <w:t xml:space="preserve"> d</w:t>
      </w:r>
      <w:r w:rsidR="00CA6288" w:rsidRPr="00221347">
        <w:rPr>
          <w:rFonts w:ascii="Arial" w:hAnsi="Arial" w:cs="Arial"/>
          <w:sz w:val="20"/>
          <w:szCs w:val="20"/>
        </w:rPr>
        <w:t>este dado</w:t>
      </w:r>
      <w:r w:rsidR="00CA209F" w:rsidRPr="00D80D14">
        <w:rPr>
          <w:rFonts w:ascii="Arial" w:hAnsi="Arial" w:cs="Arial"/>
          <w:sz w:val="20"/>
          <w:szCs w:val="20"/>
        </w:rPr>
        <w:t>,</w:t>
      </w:r>
      <w:r w:rsidR="002D42AD" w:rsidRPr="00D80D14">
        <w:rPr>
          <w:rFonts w:ascii="Arial" w:hAnsi="Arial" w:cs="Arial"/>
          <w:sz w:val="20"/>
          <w:szCs w:val="20"/>
        </w:rPr>
        <w:t xml:space="preserve"> isso porque</w:t>
      </w:r>
      <w:r w:rsidR="00CA209F" w:rsidRPr="00D80D14">
        <w:rPr>
          <w:rFonts w:ascii="Arial" w:hAnsi="Arial" w:cs="Arial"/>
          <w:sz w:val="20"/>
          <w:szCs w:val="20"/>
        </w:rPr>
        <w:t xml:space="preserve"> estudos mostraram que o sexo masculino é fator de risco para CHC independentemente da etnia </w:t>
      </w:r>
      <w:r w:rsidR="000A2163"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{"citationItems":[{"id":"ITEM-1","itemData":{"ISSN":"0104-4230","author":[{"dropping-particle":"","family":"Gomes","given":"Marcos AntÃ\\textthreesuperiornio","non-dropping-particle":"","parse-names":false,"suffix":""},{"dropping-particle":"","family":"Priolli","given":"Denise GonÃ\\Salves","non-dropping-particle":"","parse-names":false,"suffix":""},{"dropping-particle":"","family":"TralhÃ\\poundso","given":"JosÃ\\copyright Guilherme","non-dropping-particle":"","parse-names":false,"suffix":""},{"dropping-particle":"","family":"Botelho","given":"Maria Filomena","non-dropping-particle":"","parse-names":false,"suffix":""}],"container-title":"Revista da AssociaÃ§Ã\\poundso MÃ\\copyrightdica Brasileira","id":"ITEM-1","issued":{"date-parts":[["2013"]]},"page":"514-524","publisher":"scielo","title":"Carcinoma hepatocelular: epidemiologia, biologia, diagnÃ\\textthreesuperiorstico e terapias","type":"article-journal","volume":"59"},"uris":["http://www.mendeley.com/documents/?uuid=2c8bf914-add4-4050-aacf-da8460cd2fba"]}],"mendeley":{"formattedCitation":"(33)","plainTextFormattedCitation":"(33)","previouslyFormattedCitation":"(33)"},"properties":{"noteIndex":0},"schema":"https://github.com/citation-style-language/schema/raw/master/csl-citation.json"}</w:instrText>
      </w:r>
      <w:r w:rsidR="000A2163" w:rsidRPr="00221347">
        <w:rPr>
          <w:rFonts w:ascii="Arial" w:hAnsi="Arial" w:cs="Arial"/>
          <w:sz w:val="20"/>
          <w:szCs w:val="20"/>
        </w:rPr>
        <w:fldChar w:fldCharType="separate"/>
      </w:r>
      <w:r w:rsidR="0035699C" w:rsidRPr="0035699C">
        <w:rPr>
          <w:rFonts w:ascii="Arial" w:hAnsi="Arial" w:cs="Arial"/>
          <w:noProof/>
          <w:sz w:val="20"/>
          <w:szCs w:val="20"/>
        </w:rPr>
        <w:t>(33)</w:t>
      </w:r>
      <w:r w:rsidR="000A2163" w:rsidRPr="00221347">
        <w:rPr>
          <w:rFonts w:ascii="Arial" w:hAnsi="Arial" w:cs="Arial"/>
          <w:sz w:val="20"/>
          <w:szCs w:val="20"/>
        </w:rPr>
        <w:fldChar w:fldCharType="end"/>
      </w:r>
      <w:r w:rsidR="000A2163" w:rsidRPr="00221347">
        <w:rPr>
          <w:rFonts w:ascii="Arial" w:hAnsi="Arial" w:cs="Arial"/>
          <w:sz w:val="20"/>
          <w:szCs w:val="20"/>
        </w:rPr>
        <w:t>.</w:t>
      </w:r>
      <w:r w:rsidR="00DB3604" w:rsidRPr="00221347">
        <w:rPr>
          <w:rFonts w:ascii="Arial" w:hAnsi="Arial" w:cs="Arial"/>
          <w:sz w:val="20"/>
          <w:szCs w:val="20"/>
        </w:rPr>
        <w:t xml:space="preserve"> </w:t>
      </w:r>
      <w:r w:rsidR="00753A74" w:rsidRPr="00221347">
        <w:rPr>
          <w:rFonts w:ascii="Arial" w:hAnsi="Arial" w:cs="Arial"/>
          <w:sz w:val="20"/>
          <w:szCs w:val="20"/>
        </w:rPr>
        <w:t xml:space="preserve"> </w:t>
      </w:r>
    </w:p>
    <w:p w14:paraId="01BB007B" w14:textId="3E7DDFDE" w:rsidR="0045693E" w:rsidRPr="00221347" w:rsidRDefault="002F0A67" w:rsidP="00221347">
      <w:pPr>
        <w:spacing w:line="360" w:lineRule="auto"/>
        <w:ind w:firstLine="720"/>
        <w:jc w:val="both"/>
        <w:rPr>
          <w:rFonts w:ascii="Arial" w:hAnsi="Arial" w:cs="Arial"/>
          <w:sz w:val="20"/>
          <w:szCs w:val="20"/>
        </w:rPr>
      </w:pPr>
      <w:r w:rsidRPr="00D80D14">
        <w:rPr>
          <w:rFonts w:ascii="Arial" w:hAnsi="Arial" w:cs="Arial"/>
          <w:sz w:val="20"/>
          <w:szCs w:val="20"/>
        </w:rPr>
        <w:t xml:space="preserve">A tabela 2 </w:t>
      </w:r>
      <w:r w:rsidR="00F3781F" w:rsidRPr="00D80D14">
        <w:rPr>
          <w:rFonts w:ascii="Arial" w:hAnsi="Arial" w:cs="Arial"/>
          <w:sz w:val="20"/>
          <w:szCs w:val="20"/>
        </w:rPr>
        <w:t xml:space="preserve">relaciona a causa mortis de todos os pacientes que evoluíram para o óbito </w:t>
      </w:r>
      <w:r w:rsidR="00C335C6" w:rsidRPr="00D80D14">
        <w:rPr>
          <w:rFonts w:ascii="Arial" w:hAnsi="Arial" w:cs="Arial"/>
          <w:sz w:val="20"/>
          <w:szCs w:val="20"/>
        </w:rPr>
        <w:t>nos pós</w:t>
      </w:r>
      <w:r w:rsidR="00F3781F" w:rsidRPr="00D80D14">
        <w:rPr>
          <w:rFonts w:ascii="Arial" w:hAnsi="Arial" w:cs="Arial"/>
          <w:sz w:val="20"/>
          <w:szCs w:val="20"/>
        </w:rPr>
        <w:t xml:space="preserve"> transplante</w:t>
      </w:r>
      <w:r w:rsidR="00A33520" w:rsidRPr="00D80D14">
        <w:rPr>
          <w:rFonts w:ascii="Arial" w:hAnsi="Arial" w:cs="Arial"/>
          <w:sz w:val="20"/>
          <w:szCs w:val="20"/>
        </w:rPr>
        <w:t xml:space="preserve">, foram 14 </w:t>
      </w:r>
      <w:r w:rsidR="00502C86" w:rsidRPr="00D80D14">
        <w:rPr>
          <w:rFonts w:ascii="Arial" w:hAnsi="Arial" w:cs="Arial"/>
          <w:sz w:val="20"/>
          <w:szCs w:val="20"/>
        </w:rPr>
        <w:t>causas distintas</w:t>
      </w:r>
      <w:r w:rsidR="0016624D" w:rsidRPr="00D80D14">
        <w:rPr>
          <w:rFonts w:ascii="Arial" w:hAnsi="Arial" w:cs="Arial"/>
          <w:sz w:val="20"/>
          <w:szCs w:val="20"/>
        </w:rPr>
        <w:t xml:space="preserve">. </w:t>
      </w:r>
      <w:r w:rsidR="00C335C6" w:rsidRPr="00D80D14">
        <w:rPr>
          <w:rFonts w:ascii="Arial" w:hAnsi="Arial" w:cs="Arial"/>
          <w:sz w:val="20"/>
          <w:szCs w:val="20"/>
        </w:rPr>
        <w:t xml:space="preserve">Entre todas essas, </w:t>
      </w:r>
      <w:r w:rsidR="000C6066" w:rsidRPr="00D80D14">
        <w:rPr>
          <w:rFonts w:ascii="Arial" w:hAnsi="Arial" w:cs="Arial"/>
          <w:sz w:val="20"/>
          <w:szCs w:val="20"/>
        </w:rPr>
        <w:t xml:space="preserve">com aproximadamente 41%, </w:t>
      </w:r>
      <w:r w:rsidR="00C335C6" w:rsidRPr="00D80D14">
        <w:rPr>
          <w:rFonts w:ascii="Arial" w:hAnsi="Arial" w:cs="Arial"/>
          <w:sz w:val="20"/>
          <w:szCs w:val="20"/>
        </w:rPr>
        <w:t>a septicemia figurou como o principal motivo de óbito nos paciente</w:t>
      </w:r>
      <w:r w:rsidR="005D27E9" w:rsidRPr="00D80D14">
        <w:rPr>
          <w:rFonts w:ascii="Arial" w:hAnsi="Arial" w:cs="Arial"/>
          <w:sz w:val="20"/>
          <w:szCs w:val="20"/>
        </w:rPr>
        <w:t>s</w:t>
      </w:r>
      <w:r w:rsidR="00554AA9" w:rsidRPr="00D80D14">
        <w:rPr>
          <w:rFonts w:ascii="Arial" w:hAnsi="Arial" w:cs="Arial"/>
          <w:sz w:val="20"/>
          <w:szCs w:val="20"/>
        </w:rPr>
        <w:t>, seguido por choque hipovolêmico</w:t>
      </w:r>
      <w:r w:rsidR="00782463" w:rsidRPr="00D80D14">
        <w:rPr>
          <w:rFonts w:ascii="Arial" w:hAnsi="Arial" w:cs="Arial"/>
          <w:sz w:val="20"/>
          <w:szCs w:val="20"/>
        </w:rPr>
        <w:t xml:space="preserve">, com aproximadamente 16%. </w:t>
      </w:r>
      <w:r w:rsidR="00134E2C" w:rsidRPr="00D80D14">
        <w:rPr>
          <w:rFonts w:ascii="Arial" w:hAnsi="Arial" w:cs="Arial"/>
          <w:sz w:val="20"/>
          <w:szCs w:val="20"/>
        </w:rPr>
        <w:t xml:space="preserve">Acreditamos que </w:t>
      </w:r>
      <w:r w:rsidR="00A95FB2" w:rsidRPr="00D80D14">
        <w:rPr>
          <w:rFonts w:ascii="Arial" w:hAnsi="Arial" w:cs="Arial"/>
          <w:sz w:val="20"/>
          <w:szCs w:val="20"/>
        </w:rPr>
        <w:t>o motivo para esses resultados está</w:t>
      </w:r>
      <w:r w:rsidR="004647D8" w:rsidRPr="00D80D14">
        <w:rPr>
          <w:rFonts w:ascii="Arial" w:hAnsi="Arial" w:cs="Arial"/>
          <w:sz w:val="20"/>
          <w:szCs w:val="20"/>
        </w:rPr>
        <w:t>, principalmente,</w:t>
      </w:r>
      <w:r w:rsidR="00A95FB2" w:rsidRPr="00D80D14">
        <w:rPr>
          <w:rFonts w:ascii="Arial" w:hAnsi="Arial" w:cs="Arial"/>
          <w:sz w:val="20"/>
          <w:szCs w:val="20"/>
        </w:rPr>
        <w:t xml:space="preserve"> no fato do transplante </w:t>
      </w:r>
      <w:r w:rsidR="007E1C8E" w:rsidRPr="00D80D14">
        <w:rPr>
          <w:rFonts w:ascii="Arial" w:hAnsi="Arial" w:cs="Arial"/>
          <w:sz w:val="20"/>
          <w:szCs w:val="20"/>
        </w:rPr>
        <w:t xml:space="preserve">hepáticos </w:t>
      </w:r>
      <w:r w:rsidR="00A95FB2" w:rsidRPr="00D80D14">
        <w:rPr>
          <w:rFonts w:ascii="Arial" w:hAnsi="Arial" w:cs="Arial"/>
          <w:sz w:val="20"/>
          <w:szCs w:val="20"/>
        </w:rPr>
        <w:t>ser uma cirurgia de grande porte</w:t>
      </w:r>
      <w:r w:rsidR="004647D8" w:rsidRPr="00D80D14">
        <w:rPr>
          <w:rFonts w:ascii="Arial" w:hAnsi="Arial" w:cs="Arial"/>
          <w:sz w:val="20"/>
          <w:szCs w:val="20"/>
        </w:rPr>
        <w:t xml:space="preserve"> e</w:t>
      </w:r>
      <w:r w:rsidR="007E1C8E" w:rsidRPr="00D80D14">
        <w:rPr>
          <w:rFonts w:ascii="Arial" w:hAnsi="Arial" w:cs="Arial"/>
          <w:sz w:val="20"/>
          <w:szCs w:val="20"/>
        </w:rPr>
        <w:t xml:space="preserve"> na</w:t>
      </w:r>
      <w:r w:rsidR="00A95FB2" w:rsidRPr="00D80D14">
        <w:rPr>
          <w:rFonts w:ascii="Arial" w:hAnsi="Arial" w:cs="Arial"/>
          <w:sz w:val="20"/>
          <w:szCs w:val="20"/>
        </w:rPr>
        <w:t xml:space="preserve"> </w:t>
      </w:r>
      <w:r w:rsidR="00B33637" w:rsidRPr="00D80D14">
        <w:rPr>
          <w:rFonts w:ascii="Arial" w:hAnsi="Arial" w:cs="Arial"/>
          <w:sz w:val="20"/>
          <w:szCs w:val="20"/>
        </w:rPr>
        <w:t>utilização de imunossupressores no pós-operatório</w:t>
      </w:r>
      <w:r w:rsidR="004647D8" w:rsidRPr="00D80D14">
        <w:rPr>
          <w:rFonts w:ascii="Arial" w:hAnsi="Arial" w:cs="Arial"/>
          <w:sz w:val="20"/>
          <w:szCs w:val="20"/>
        </w:rPr>
        <w:t xml:space="preserve">. </w:t>
      </w:r>
      <w:r w:rsidR="00BC3E24" w:rsidRPr="00D80D14">
        <w:rPr>
          <w:rFonts w:ascii="Arial" w:hAnsi="Arial" w:cs="Arial"/>
          <w:sz w:val="20"/>
          <w:szCs w:val="20"/>
        </w:rPr>
        <w:t xml:space="preserve">No entanto, avanços significativos </w:t>
      </w:r>
      <w:r w:rsidR="00BC3E24" w:rsidRPr="00221347">
        <w:rPr>
          <w:rFonts w:ascii="Arial" w:hAnsi="Arial" w:cs="Arial"/>
          <w:sz w:val="20"/>
          <w:szCs w:val="20"/>
        </w:rPr>
        <w:t xml:space="preserve">na técnica </w:t>
      </w:r>
      <w:r w:rsidR="00D227C2" w:rsidRPr="00D80D14">
        <w:rPr>
          <w:rFonts w:ascii="Arial" w:hAnsi="Arial" w:cs="Arial"/>
          <w:sz w:val="20"/>
          <w:szCs w:val="20"/>
        </w:rPr>
        <w:t>cirúrgica</w:t>
      </w:r>
      <w:r w:rsidR="00BC3E24" w:rsidRPr="00221347">
        <w:rPr>
          <w:rFonts w:ascii="Arial" w:hAnsi="Arial" w:cs="Arial"/>
          <w:sz w:val="20"/>
          <w:szCs w:val="20"/>
        </w:rPr>
        <w:t xml:space="preserve">, </w:t>
      </w:r>
      <w:r w:rsidR="00D227C2" w:rsidRPr="00D80D14">
        <w:rPr>
          <w:rFonts w:ascii="Arial" w:hAnsi="Arial" w:cs="Arial"/>
          <w:sz w:val="20"/>
          <w:szCs w:val="20"/>
        </w:rPr>
        <w:t xml:space="preserve">na </w:t>
      </w:r>
      <w:r w:rsidR="00BC3E24" w:rsidRPr="00221347">
        <w:rPr>
          <w:rFonts w:ascii="Arial" w:hAnsi="Arial" w:cs="Arial"/>
          <w:sz w:val="20"/>
          <w:szCs w:val="20"/>
        </w:rPr>
        <w:t xml:space="preserve">terapia </w:t>
      </w:r>
      <w:proofErr w:type="spellStart"/>
      <w:r w:rsidR="00BC3E24" w:rsidRPr="00221347">
        <w:rPr>
          <w:rFonts w:ascii="Arial" w:hAnsi="Arial" w:cs="Arial"/>
          <w:sz w:val="20"/>
          <w:szCs w:val="20"/>
        </w:rPr>
        <w:t>imunos</w:t>
      </w:r>
      <w:r w:rsidR="00BC3E24" w:rsidRPr="00D80D14">
        <w:rPr>
          <w:rFonts w:ascii="Arial" w:hAnsi="Arial" w:cs="Arial"/>
          <w:sz w:val="20"/>
          <w:szCs w:val="20"/>
        </w:rPr>
        <w:t>surpressora</w:t>
      </w:r>
      <w:proofErr w:type="spellEnd"/>
      <w:r w:rsidR="00BC3E24" w:rsidRPr="00D80D14">
        <w:rPr>
          <w:rFonts w:ascii="Arial" w:hAnsi="Arial" w:cs="Arial"/>
          <w:sz w:val="20"/>
          <w:szCs w:val="20"/>
        </w:rPr>
        <w:t xml:space="preserve"> e </w:t>
      </w:r>
      <w:r w:rsidR="00D227C2" w:rsidRPr="00D80D14">
        <w:rPr>
          <w:rFonts w:ascii="Arial" w:hAnsi="Arial" w:cs="Arial"/>
          <w:sz w:val="20"/>
          <w:szCs w:val="20"/>
        </w:rPr>
        <w:t>no manejo anestésico</w:t>
      </w:r>
      <w:r w:rsidR="00784746" w:rsidRPr="00D80D14">
        <w:rPr>
          <w:rFonts w:ascii="Arial" w:hAnsi="Arial" w:cs="Arial"/>
          <w:sz w:val="20"/>
          <w:szCs w:val="20"/>
        </w:rPr>
        <w:t xml:space="preserve">, tem melhorado os desfechos no pós-operatório </w:t>
      </w:r>
      <w:r w:rsidR="00E7225D" w:rsidRPr="00D80D14">
        <w:rPr>
          <w:rFonts w:ascii="Arial" w:hAnsi="Arial" w:cs="Arial"/>
          <w:sz w:val="20"/>
          <w:szCs w:val="20"/>
        </w:rPr>
        <w:t>precoce e t</w:t>
      </w:r>
      <w:r w:rsidR="00784746" w:rsidRPr="00D80D14">
        <w:rPr>
          <w:rFonts w:ascii="Arial" w:hAnsi="Arial" w:cs="Arial"/>
          <w:sz w:val="20"/>
          <w:szCs w:val="20"/>
        </w:rPr>
        <w:t>ardio</w:t>
      </w:r>
      <w:r w:rsidR="00E7225D" w:rsidRPr="00D80D14">
        <w:rPr>
          <w:rFonts w:ascii="Arial" w:hAnsi="Arial" w:cs="Arial"/>
          <w:sz w:val="20"/>
          <w:szCs w:val="20"/>
        </w:rPr>
        <w:t xml:space="preserve"> </w:t>
      </w:r>
      <w:r w:rsidR="005E025A" w:rsidRPr="00D80D14">
        <w:rPr>
          <w:rFonts w:ascii="Arial" w:hAnsi="Arial" w:cs="Arial"/>
          <w:sz w:val="20"/>
          <w:szCs w:val="20"/>
        </w:rPr>
        <w:fldChar w:fldCharType="begin" w:fldLock="1"/>
      </w:r>
      <w:r w:rsidR="00DB0085">
        <w:rPr>
          <w:rFonts w:ascii="Arial" w:hAnsi="Arial" w:cs="Arial"/>
          <w:sz w:val="20"/>
          <w:szCs w:val="20"/>
        </w:rPr>
        <w:instrText>ADDIN CSL_CITATION {"citationItems":[{"id":"ITEM-1","itemData":{"DOI":"10.1016/j.transproceed.2018.06.025","ISSN":"18732623","PMID":"30655146","abstract":"Background: Liver transplantation (LT) is an established treatment for patients with end-stage liver disease. The significant advances in surgical technique, immunosuppression therapy, and anesthesiological management have dramatically improved short- and long-term outcomes. The aim of this study is to correlate specific surgical and anesthesiological variables with causes of early death in LT recipients. Methods: A retrospective observational analysis of adult patients who underwent LT in the period 2012 to 2016 and died within 90 days following LT was conducted. Exclusion criteria were intraoperative death, split liver, and domino transplant. Death was considered a dependent variable and classified into 3 different groups: death by sepsis, vascular events not related to the graft, and primary non-function. Donor and recipient variables were considered and analyzed using Fisher's exact test. Results: Statistically significative associations (P value &lt;.05) were found between renal function support, retransplantation, and the number of fresh frozen plasma units transfused in one group and early death due to sepsis in the other. Conclusions: This study identified some risk factors associated with the specific cause of early death in liver transplantation. The clinical implications of these findings are the ability to stratify patients at high risk of early death by planning more intensive and accurate management for them.","author":[{"dropping-particle":"","family":"Bertacco","given":"A","non-dropping-particle":"","parse-names":false,"suffix":""},{"dropping-particle":"","family":"Barbieri","given":"S","non-dropping-particle":"","parse-names":false,"suffix":""},{"dropping-particle":"","family":"Guastalla","given":"G","non-dropping-particle":"","parse-names":false,"suffix":""},{"dropping-particle":"","family":"Boetto","given":"R","non-dropping-particle":"","parse-names":false,"suffix":""},{"dropping-particle":"","family":"Vitale","given":"A","non-dropping-particle":"","parse-names":false,"suffix":""},{"dropping-particle":"","family":"Zanus","given":"G","non-dropping-particle":"","parse-names":false,"suffix":""},{"dropping-particle":"","family":"Cillo","given":"U","non-dropping-particle":"","parse-names":false,"suffix":""},{"dropping-particle":"","family":"Feltracco","given":"P","non-dropping-particle":"","parse-names":false,"suffix":""}],"container-title":"Transplantation Proceedings","id":"ITEM-1","issue":"1","issued":{"date-parts":[["2019"]]},"language":"eng","page":"179-183","publisher-place":"United States","title":"Risk Factors for Early Mortality in Liver Transplant Patients","type":"article-journal","volume":"51"},"uris":["http://www.mendeley.com/documents/?uuid=0b5b4394-4f4c-4f34-9b24-555bef261c68","http://www.mendeley.com/documents/?uuid=3a43dc1e-1d12-41ee-8416-69eb691b3937"]}],"mendeley":{"formattedCitation":"(34)","plainTextFormattedCitation":"(34)","previouslyFormattedCitation":"(34)"},"properties":{"noteIndex":0},"schema":"https://github.com/citation-style-language/schema/raw/master/csl-citation.json"}</w:instrText>
      </w:r>
      <w:r w:rsidR="005E025A" w:rsidRPr="00D80D14">
        <w:rPr>
          <w:rFonts w:ascii="Arial" w:hAnsi="Arial" w:cs="Arial"/>
          <w:sz w:val="20"/>
          <w:szCs w:val="20"/>
        </w:rPr>
        <w:fldChar w:fldCharType="separate"/>
      </w:r>
      <w:r w:rsidR="0035699C" w:rsidRPr="0035699C">
        <w:rPr>
          <w:rFonts w:ascii="Arial" w:hAnsi="Arial" w:cs="Arial"/>
          <w:noProof/>
          <w:sz w:val="20"/>
          <w:szCs w:val="20"/>
        </w:rPr>
        <w:t>(34)</w:t>
      </w:r>
      <w:r w:rsidR="005E025A" w:rsidRPr="00D80D14">
        <w:rPr>
          <w:rFonts w:ascii="Arial" w:hAnsi="Arial" w:cs="Arial"/>
          <w:sz w:val="20"/>
          <w:szCs w:val="20"/>
        </w:rPr>
        <w:fldChar w:fldCharType="end"/>
      </w:r>
      <w:r w:rsidR="00784746" w:rsidRPr="00D80D14">
        <w:rPr>
          <w:rFonts w:ascii="Arial" w:hAnsi="Arial" w:cs="Arial"/>
          <w:sz w:val="20"/>
          <w:szCs w:val="20"/>
        </w:rPr>
        <w:t xml:space="preserve">. </w:t>
      </w:r>
    </w:p>
    <w:p w14:paraId="71CBF125" w14:textId="3DB3606B" w:rsidR="00EC4664" w:rsidRPr="00221347" w:rsidRDefault="008952E7">
      <w:pPr>
        <w:spacing w:line="360" w:lineRule="auto"/>
        <w:jc w:val="both"/>
        <w:rPr>
          <w:rFonts w:ascii="Arial" w:hAnsi="Arial" w:cs="Arial"/>
          <w:sz w:val="20"/>
          <w:szCs w:val="20"/>
        </w:rPr>
      </w:pPr>
      <w:r w:rsidRPr="00D80D14">
        <w:rPr>
          <w:rFonts w:ascii="Arial" w:hAnsi="Arial" w:cs="Arial"/>
          <w:sz w:val="20"/>
          <w:szCs w:val="20"/>
        </w:rPr>
        <w:tab/>
        <w:t xml:space="preserve">Além disso, a tabela 3 correlacionou as concentrações de biomarcadores séricos com a ocorrência de IMV, não sendo, portanto, encontrada nenhuma relação significativa. Apesar disso, a mediana dos níveis de albumina sérica, plaquetas, GGT e fosfatase alcalina dos pacientes sem IMV, foi menor quando comparada à mediana dos pacientes com invasão microvascular identificada. O resultado de não haver relação significativa pode ser consequente à alta variabilidade desses biomarcadores e a possiblidade de diversos fatores interferirem na homeostase, alterando a concentração sérica dessas substâncias, não sendo uma característica restrita ao câncer hepático. </w:t>
      </w:r>
    </w:p>
    <w:p w14:paraId="66D40ED4" w14:textId="3AFD336A" w:rsidR="00EC4664" w:rsidRPr="00221347" w:rsidRDefault="00EC4664" w:rsidP="0068402D">
      <w:pPr>
        <w:spacing w:line="360" w:lineRule="auto"/>
        <w:jc w:val="both"/>
        <w:rPr>
          <w:rFonts w:ascii="Arial" w:hAnsi="Arial" w:cs="Arial"/>
          <w:sz w:val="20"/>
          <w:szCs w:val="20"/>
        </w:rPr>
      </w:pPr>
      <w:r w:rsidRPr="00221347">
        <w:rPr>
          <w:rFonts w:ascii="Arial" w:hAnsi="Arial" w:cs="Arial"/>
          <w:sz w:val="20"/>
          <w:szCs w:val="20"/>
        </w:rPr>
        <w:tab/>
      </w:r>
      <w:r w:rsidR="009335C1" w:rsidRPr="00D80D14">
        <w:rPr>
          <w:rFonts w:ascii="Arial" w:hAnsi="Arial" w:cs="Arial"/>
          <w:sz w:val="20"/>
          <w:szCs w:val="20"/>
        </w:rPr>
        <w:t>Sobre os exames séricos quantitativos, o</w:t>
      </w:r>
      <w:r w:rsidRPr="00221347">
        <w:rPr>
          <w:rFonts w:ascii="Arial" w:hAnsi="Arial" w:cs="Arial"/>
          <w:sz w:val="20"/>
          <w:szCs w:val="20"/>
        </w:rPr>
        <w:t xml:space="preserve"> estudo de </w:t>
      </w:r>
      <w:proofErr w:type="spellStart"/>
      <w:r w:rsidR="00690E28" w:rsidRPr="00221347">
        <w:rPr>
          <w:rFonts w:ascii="Arial" w:hAnsi="Arial" w:cs="Arial"/>
          <w:sz w:val="20"/>
          <w:szCs w:val="20"/>
        </w:rPr>
        <w:t>Zhao</w:t>
      </w:r>
      <w:proofErr w:type="spellEnd"/>
      <w:r w:rsidR="003F21B6"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{"citationItems":[{"id":"ITEM-1","itemData":{"DOI":"10.1016/j.ejso.2013.04.003","ISSN":"15322157","PMID":"23669199","abstract":"Background The preoperative predictors of microvascular invasion (MVI) in multinodular hepatocellular carcinoma (HCC) are currently unclear. Methods We retrospectively analyzed 266 patients who underwent potentially curative resection of multinodular HCC. MVI was diagnosed on pathological examination in 64 patients. Preoperative risk factors for MVI were identified and survival curves were analyzed. Results Patients with MVI had significantly lower overall and recurrence-free survival rates than those without MVI (overall survival, 1 year: 86% vs. 71%, 3 years: 58% vs. 16%; recurrence-free survival, 1 year: 69% vs. 12%; 3 years: 48% vs. 12%; both P &lt; 0.001). Multivariate analysis showed that serum alpha-fetoprotein (AFP) level &gt;400 μg/L (odds ratio [OR] = 3.732, P = 0.016), serum gamma-glutamyltransferase (GGT) level &gt;130 U/L (OR = 19.779, P &lt; 0.001), total tumor diameter &gt;8 cm (OR = 5.545, P = 0.010), and tumor number &gt;3 (OR = 11.566, P = 0.007) were independent predictors of MVI. A scoring system was constructed, and the MVI rate was significantly higher in patients with a score of ≥3 than those with a score of &lt;3 (64.1% vs. 10.9%, P &lt; 0.001). Overall and recurrence-free survival rates were significantly lower in patients with a score of ≥3 (both P &lt; 0.001). Conclusions Serum AFP level &gt;400 μg/L, serum GGT level &gt;130 U/L, total tumor diameter &gt;8 cm, and tumor number &gt;3 were preoperative predictors of MVI in patients with multinodular HCC. In patients with a high risk of MVI and well-preserved liver function, anatomic resection may be worth considering. © 2013 Elsevier Ltd. All rights reserved.","author":[{"dropping-particle":"","family":"Zhao","given":"W. C.","non-dropping-particle":"","parse-names":false,"suffix":""},{"dropping-particle":"","family":"Fan","given":"L. F.","non-dropping-particle":"","parse-names":false,"suffix":""},{"dropping-particle":"","family":"Yang","given":"N.","non-dropping-particle":"","parse-names":false,"suffix":""},{"dropping-particle":"","family":"Zhang","given":"H. B.","non-dropping-particle":"","parse-names":false,"suffix":""},{"dropping-particle":"","family":"Chen","given":"B. D.","non-dropping-particle":"","parse-names":false,"suffix":""},{"dropping-particle":"","family":"Yang","given":"G. S.","non-dropping-particle":"","parse-names":false,"suffix":""}],"container-title":"European Journal of Surgical Oncology","id":"ITEM-1","issue":"8","issued":{"date-parts":[["2013","8"]]},"language":"eng","page":"858-864","publisher-place":"England","title":"Preoperative predictors of microvascular invasion in multinodular hepatocellular carcinoma","type":"article-journal","volume":"39"},"uris":["http://www.mendeley.com/documents/?uuid=b61c8a92-626f-464e-999b-d7c81984e26c"]}],"mendeley":{"formattedCitation":"(25)","plainTextFormattedCitation":"(25)","previouslyFormattedCitation":"(25)"},"properties":{"noteIndex":0},"schema":"https://github.com/citation-style-language/schema/raw/master/csl-citation.json"}</w:instrText>
      </w:r>
      <w:r w:rsidR="003F21B6" w:rsidRPr="00221347">
        <w:rPr>
          <w:rFonts w:ascii="Arial" w:hAnsi="Arial" w:cs="Arial"/>
          <w:sz w:val="20"/>
          <w:szCs w:val="20"/>
        </w:rPr>
        <w:fldChar w:fldCharType="separate"/>
      </w:r>
      <w:r w:rsidR="0035699C" w:rsidRPr="0035699C">
        <w:rPr>
          <w:rFonts w:ascii="Arial" w:hAnsi="Arial" w:cs="Arial"/>
          <w:noProof/>
          <w:sz w:val="20"/>
          <w:szCs w:val="20"/>
        </w:rPr>
        <w:t>(25)</w:t>
      </w:r>
      <w:r w:rsidR="003F21B6" w:rsidRPr="00221347">
        <w:rPr>
          <w:rFonts w:ascii="Arial" w:hAnsi="Arial" w:cs="Arial"/>
          <w:sz w:val="20"/>
          <w:szCs w:val="20"/>
        </w:rPr>
        <w:fldChar w:fldCharType="end"/>
      </w:r>
      <w:r w:rsidR="00FC4198" w:rsidRPr="00221347">
        <w:rPr>
          <w:rFonts w:ascii="Arial" w:hAnsi="Arial" w:cs="Arial"/>
          <w:sz w:val="20"/>
          <w:szCs w:val="20"/>
        </w:rPr>
        <w:t xml:space="preserve"> concluiu que</w:t>
      </w:r>
      <w:r w:rsidR="0095010F" w:rsidRPr="00221347">
        <w:rPr>
          <w:rFonts w:ascii="Arial" w:hAnsi="Arial" w:cs="Arial"/>
          <w:sz w:val="20"/>
          <w:szCs w:val="20"/>
        </w:rPr>
        <w:t xml:space="preserve"> </w:t>
      </w:r>
      <w:r w:rsidR="00062F6D" w:rsidRPr="00221347">
        <w:rPr>
          <w:rFonts w:ascii="Arial" w:hAnsi="Arial" w:cs="Arial"/>
          <w:sz w:val="20"/>
          <w:szCs w:val="20"/>
        </w:rPr>
        <w:t xml:space="preserve">a concentração sérica dos biomarcadores </w:t>
      </w:r>
      <w:r w:rsidR="0095010F" w:rsidRPr="00221347">
        <w:rPr>
          <w:rFonts w:ascii="Arial" w:hAnsi="Arial" w:cs="Arial"/>
          <w:sz w:val="20"/>
          <w:szCs w:val="20"/>
        </w:rPr>
        <w:t xml:space="preserve">AFP &gt;400 mg/L, GGT &gt;130 U/L, </w:t>
      </w:r>
      <w:r w:rsidR="00443C2B" w:rsidRPr="00221347">
        <w:rPr>
          <w:rFonts w:ascii="Arial" w:hAnsi="Arial" w:cs="Arial"/>
          <w:sz w:val="20"/>
          <w:szCs w:val="20"/>
        </w:rPr>
        <w:t>diâmetro do tumor</w:t>
      </w:r>
      <w:r w:rsidR="0095010F" w:rsidRPr="00221347">
        <w:rPr>
          <w:rFonts w:ascii="Arial" w:hAnsi="Arial" w:cs="Arial"/>
          <w:sz w:val="20"/>
          <w:szCs w:val="20"/>
        </w:rPr>
        <w:t xml:space="preserve"> &gt;8 cm</w:t>
      </w:r>
      <w:r w:rsidR="00443C2B" w:rsidRPr="00221347">
        <w:rPr>
          <w:rFonts w:ascii="Arial" w:hAnsi="Arial" w:cs="Arial"/>
          <w:sz w:val="20"/>
          <w:szCs w:val="20"/>
        </w:rPr>
        <w:t xml:space="preserve"> e quantidade de tumores </w:t>
      </w:r>
      <w:r w:rsidR="0095010F" w:rsidRPr="00221347">
        <w:rPr>
          <w:rFonts w:ascii="Arial" w:hAnsi="Arial" w:cs="Arial"/>
          <w:sz w:val="20"/>
          <w:szCs w:val="20"/>
        </w:rPr>
        <w:t>&gt;3</w:t>
      </w:r>
      <w:r w:rsidR="001E4F53" w:rsidRPr="00221347">
        <w:rPr>
          <w:rFonts w:ascii="Arial" w:hAnsi="Arial" w:cs="Arial"/>
          <w:sz w:val="20"/>
          <w:szCs w:val="20"/>
        </w:rPr>
        <w:t xml:space="preserve">, eram preditores de IMV </w:t>
      </w:r>
      <w:r w:rsidR="00B73CE4" w:rsidRPr="00221347">
        <w:rPr>
          <w:rFonts w:ascii="Arial" w:hAnsi="Arial" w:cs="Arial"/>
          <w:sz w:val="20"/>
          <w:szCs w:val="20"/>
        </w:rPr>
        <w:t xml:space="preserve">em pacientes </w:t>
      </w:r>
      <w:r w:rsidR="00760DB5" w:rsidRPr="00221347">
        <w:rPr>
          <w:rFonts w:ascii="Arial" w:hAnsi="Arial" w:cs="Arial"/>
          <w:sz w:val="20"/>
          <w:szCs w:val="20"/>
        </w:rPr>
        <w:t xml:space="preserve">diagnosticados com CHC </w:t>
      </w:r>
      <w:proofErr w:type="spellStart"/>
      <w:r w:rsidR="00760DB5" w:rsidRPr="00221347">
        <w:rPr>
          <w:rFonts w:ascii="Arial" w:hAnsi="Arial" w:cs="Arial"/>
          <w:sz w:val="20"/>
          <w:szCs w:val="20"/>
        </w:rPr>
        <w:t>multinodular</w:t>
      </w:r>
      <w:proofErr w:type="spellEnd"/>
      <w:r w:rsidR="00760DB5" w:rsidRPr="00221347">
        <w:rPr>
          <w:rFonts w:ascii="Arial" w:hAnsi="Arial" w:cs="Arial"/>
          <w:sz w:val="20"/>
          <w:szCs w:val="20"/>
        </w:rPr>
        <w:t xml:space="preserve">. </w:t>
      </w:r>
      <w:r w:rsidR="001A425F" w:rsidRPr="00221347">
        <w:rPr>
          <w:rFonts w:ascii="Arial" w:hAnsi="Arial" w:cs="Arial"/>
          <w:sz w:val="20"/>
          <w:szCs w:val="20"/>
        </w:rPr>
        <w:t>No</w:t>
      </w:r>
      <w:r w:rsidR="001A56F5" w:rsidRPr="00221347">
        <w:rPr>
          <w:rFonts w:ascii="Arial" w:hAnsi="Arial" w:cs="Arial"/>
          <w:sz w:val="20"/>
          <w:szCs w:val="20"/>
        </w:rPr>
        <w:t xml:space="preserve"> nosso estudo, ent</w:t>
      </w:r>
      <w:r w:rsidR="00A812D8" w:rsidRPr="00221347">
        <w:rPr>
          <w:rFonts w:ascii="Arial" w:hAnsi="Arial" w:cs="Arial"/>
          <w:sz w:val="20"/>
          <w:szCs w:val="20"/>
        </w:rPr>
        <w:t>ret</w:t>
      </w:r>
      <w:r w:rsidR="001A56F5" w:rsidRPr="00221347">
        <w:rPr>
          <w:rFonts w:ascii="Arial" w:hAnsi="Arial" w:cs="Arial"/>
          <w:sz w:val="20"/>
          <w:szCs w:val="20"/>
        </w:rPr>
        <w:t xml:space="preserve">anto, </w:t>
      </w:r>
      <w:r w:rsidR="0070652B" w:rsidRPr="00221347">
        <w:rPr>
          <w:rFonts w:ascii="Arial" w:hAnsi="Arial" w:cs="Arial"/>
          <w:sz w:val="20"/>
          <w:szCs w:val="20"/>
        </w:rPr>
        <w:t xml:space="preserve">não conseguimos reproduzir esses </w:t>
      </w:r>
      <w:r w:rsidR="003C7062" w:rsidRPr="00221347">
        <w:rPr>
          <w:rFonts w:ascii="Arial" w:hAnsi="Arial" w:cs="Arial"/>
          <w:sz w:val="20"/>
          <w:szCs w:val="20"/>
        </w:rPr>
        <w:t>resultados</w:t>
      </w:r>
      <w:r w:rsidR="001D0CFE" w:rsidRPr="00221347">
        <w:rPr>
          <w:rFonts w:ascii="Arial" w:hAnsi="Arial" w:cs="Arial"/>
          <w:sz w:val="20"/>
          <w:szCs w:val="20"/>
        </w:rPr>
        <w:t xml:space="preserve">, pois foram avaliados </w:t>
      </w:r>
      <w:r w:rsidR="00717080" w:rsidRPr="00221347">
        <w:rPr>
          <w:rFonts w:ascii="Arial" w:hAnsi="Arial" w:cs="Arial"/>
          <w:sz w:val="20"/>
          <w:szCs w:val="20"/>
        </w:rPr>
        <w:t xml:space="preserve">tumores maiores que 5 centímetros, </w:t>
      </w:r>
      <w:r w:rsidR="004835D5" w:rsidRPr="00221347">
        <w:rPr>
          <w:rFonts w:ascii="Arial" w:hAnsi="Arial" w:cs="Arial"/>
          <w:sz w:val="20"/>
          <w:szCs w:val="20"/>
        </w:rPr>
        <w:t>bilirrubina total &gt; 1,2mg/</w:t>
      </w:r>
      <w:proofErr w:type="spellStart"/>
      <w:r w:rsidR="004835D5" w:rsidRPr="00221347">
        <w:rPr>
          <w:rFonts w:ascii="Arial" w:hAnsi="Arial" w:cs="Arial"/>
          <w:sz w:val="20"/>
          <w:szCs w:val="20"/>
        </w:rPr>
        <w:t>dL</w:t>
      </w:r>
      <w:proofErr w:type="spellEnd"/>
      <w:r w:rsidR="004835D5" w:rsidRPr="00221347">
        <w:rPr>
          <w:rFonts w:ascii="Arial" w:hAnsi="Arial" w:cs="Arial"/>
          <w:sz w:val="20"/>
          <w:szCs w:val="20"/>
        </w:rPr>
        <w:t xml:space="preserve">, </w:t>
      </w:r>
      <w:proofErr w:type="spellStart"/>
      <w:r w:rsidR="004835D5" w:rsidRPr="00221347">
        <w:rPr>
          <w:rFonts w:ascii="Arial" w:hAnsi="Arial" w:cs="Arial"/>
          <w:sz w:val="20"/>
          <w:szCs w:val="20"/>
        </w:rPr>
        <w:t>plaquetograma</w:t>
      </w:r>
      <w:proofErr w:type="spellEnd"/>
      <w:r w:rsidR="00AB6407" w:rsidRPr="00221347">
        <w:rPr>
          <w:rFonts w:ascii="Arial" w:hAnsi="Arial" w:cs="Arial"/>
          <w:sz w:val="20"/>
          <w:szCs w:val="20"/>
        </w:rPr>
        <w:t xml:space="preserve"> </w:t>
      </w:r>
      <w:r w:rsidR="008F0B35" w:rsidRPr="00221347">
        <w:rPr>
          <w:rFonts w:ascii="Arial" w:hAnsi="Arial" w:cs="Arial"/>
          <w:sz w:val="20"/>
          <w:szCs w:val="20"/>
        </w:rPr>
        <w:t>&lt; 100x</w:t>
      </w:r>
      <w:r w:rsidR="00E84152" w:rsidRPr="00221347">
        <w:rPr>
          <w:rFonts w:ascii="Arial" w:hAnsi="Arial" w:cs="Arial"/>
          <w:sz w:val="20"/>
          <w:szCs w:val="20"/>
        </w:rPr>
        <w:t>10</w:t>
      </w:r>
      <w:r w:rsidR="00E84152" w:rsidRPr="00221347">
        <w:rPr>
          <w:rFonts w:ascii="Arial" w:hAnsi="Arial" w:cs="Arial"/>
          <w:sz w:val="20"/>
          <w:szCs w:val="20"/>
          <w:vertAlign w:val="superscript"/>
        </w:rPr>
        <w:t>9</w:t>
      </w:r>
      <w:r w:rsidR="000D1733" w:rsidRPr="00221347">
        <w:rPr>
          <w:rFonts w:ascii="Arial" w:hAnsi="Arial" w:cs="Arial"/>
          <w:sz w:val="20"/>
          <w:szCs w:val="20"/>
        </w:rPr>
        <w:t>/L</w:t>
      </w:r>
      <w:r w:rsidR="00094DD8" w:rsidRPr="00221347">
        <w:rPr>
          <w:rFonts w:ascii="Arial" w:hAnsi="Arial" w:cs="Arial"/>
          <w:sz w:val="20"/>
          <w:szCs w:val="20"/>
        </w:rPr>
        <w:t>, albumina sérica &lt;</w:t>
      </w:r>
      <w:r w:rsidR="00C34222" w:rsidRPr="00221347">
        <w:rPr>
          <w:rFonts w:ascii="Arial" w:hAnsi="Arial" w:cs="Arial"/>
          <w:sz w:val="20"/>
          <w:szCs w:val="20"/>
        </w:rPr>
        <w:t>3,5 ou &gt;</w:t>
      </w:r>
      <w:r w:rsidR="00276A9A" w:rsidRPr="00221347">
        <w:rPr>
          <w:rFonts w:ascii="Arial" w:hAnsi="Arial" w:cs="Arial"/>
          <w:sz w:val="20"/>
          <w:szCs w:val="20"/>
        </w:rPr>
        <w:t>5,5g/</w:t>
      </w:r>
      <w:proofErr w:type="spellStart"/>
      <w:r w:rsidR="00276A9A" w:rsidRPr="00221347">
        <w:rPr>
          <w:rFonts w:ascii="Arial" w:hAnsi="Arial" w:cs="Arial"/>
          <w:sz w:val="20"/>
          <w:szCs w:val="20"/>
        </w:rPr>
        <w:t>dL</w:t>
      </w:r>
      <w:proofErr w:type="spellEnd"/>
      <w:r w:rsidR="00276A9A" w:rsidRPr="00221347">
        <w:rPr>
          <w:rFonts w:ascii="Arial" w:hAnsi="Arial" w:cs="Arial"/>
          <w:sz w:val="20"/>
          <w:szCs w:val="20"/>
        </w:rPr>
        <w:t>, TGP &gt;44 U</w:t>
      </w:r>
      <w:r w:rsidR="009407D6" w:rsidRPr="00221347">
        <w:rPr>
          <w:rFonts w:ascii="Arial" w:hAnsi="Arial" w:cs="Arial"/>
          <w:sz w:val="20"/>
          <w:szCs w:val="20"/>
        </w:rPr>
        <w:t>/L ou GGT &gt; 130 U/L</w:t>
      </w:r>
      <w:r w:rsidR="00996283" w:rsidRPr="00221347">
        <w:rPr>
          <w:rFonts w:ascii="Arial" w:hAnsi="Arial" w:cs="Arial"/>
          <w:sz w:val="20"/>
          <w:szCs w:val="20"/>
        </w:rPr>
        <w:t xml:space="preserve">, </w:t>
      </w:r>
      <w:r w:rsidR="001C5F9E" w:rsidRPr="00221347">
        <w:rPr>
          <w:rFonts w:ascii="Arial" w:hAnsi="Arial" w:cs="Arial"/>
          <w:sz w:val="20"/>
          <w:szCs w:val="20"/>
        </w:rPr>
        <w:t>conforme demonstrado n</w:t>
      </w:r>
      <w:r w:rsidR="001D0CFE" w:rsidRPr="00221347">
        <w:rPr>
          <w:rFonts w:ascii="Arial" w:hAnsi="Arial" w:cs="Arial"/>
          <w:sz w:val="20"/>
          <w:szCs w:val="20"/>
        </w:rPr>
        <w:t xml:space="preserve">a tabela </w:t>
      </w:r>
      <w:r w:rsidR="00DC6CFE" w:rsidRPr="00D80D14">
        <w:rPr>
          <w:rFonts w:ascii="Arial" w:hAnsi="Arial" w:cs="Arial"/>
          <w:sz w:val="20"/>
          <w:szCs w:val="20"/>
        </w:rPr>
        <w:t>5</w:t>
      </w:r>
      <w:r w:rsidR="001D0CFE" w:rsidRPr="00221347">
        <w:rPr>
          <w:rFonts w:ascii="Arial" w:hAnsi="Arial" w:cs="Arial"/>
          <w:sz w:val="20"/>
          <w:szCs w:val="20"/>
        </w:rPr>
        <w:t xml:space="preserve">, </w:t>
      </w:r>
      <w:r w:rsidR="001C5F9E" w:rsidRPr="00221347">
        <w:rPr>
          <w:rFonts w:ascii="Arial" w:hAnsi="Arial" w:cs="Arial"/>
          <w:sz w:val="20"/>
          <w:szCs w:val="20"/>
        </w:rPr>
        <w:t xml:space="preserve">sendo </w:t>
      </w:r>
      <w:r w:rsidR="007E21BA" w:rsidRPr="00221347">
        <w:rPr>
          <w:rFonts w:ascii="Arial" w:hAnsi="Arial" w:cs="Arial"/>
          <w:sz w:val="20"/>
          <w:szCs w:val="20"/>
        </w:rPr>
        <w:t xml:space="preserve">que </w:t>
      </w:r>
      <w:r w:rsidR="00996283" w:rsidRPr="00221347">
        <w:rPr>
          <w:rFonts w:ascii="Arial" w:hAnsi="Arial" w:cs="Arial"/>
          <w:sz w:val="20"/>
          <w:szCs w:val="20"/>
        </w:rPr>
        <w:t>nenhuma dessas variáveis mantiveram relação significante</w:t>
      </w:r>
      <w:r w:rsidR="007E21BA" w:rsidRPr="00221347">
        <w:rPr>
          <w:rFonts w:ascii="Arial" w:hAnsi="Arial" w:cs="Arial"/>
          <w:sz w:val="20"/>
          <w:szCs w:val="20"/>
        </w:rPr>
        <w:t xml:space="preserve"> para o desfecho invasão microvascular</w:t>
      </w:r>
      <w:r w:rsidR="00061777" w:rsidRPr="00221347">
        <w:rPr>
          <w:rFonts w:ascii="Arial" w:hAnsi="Arial" w:cs="Arial"/>
          <w:sz w:val="20"/>
          <w:szCs w:val="20"/>
        </w:rPr>
        <w:t>.</w:t>
      </w:r>
      <w:r w:rsidR="006718F6" w:rsidRPr="00221347">
        <w:rPr>
          <w:rFonts w:ascii="Arial" w:hAnsi="Arial" w:cs="Arial"/>
          <w:sz w:val="20"/>
          <w:szCs w:val="20"/>
        </w:rPr>
        <w:t xml:space="preserve"> </w:t>
      </w:r>
      <w:r w:rsidR="006718F6" w:rsidRPr="00221347">
        <w:rPr>
          <w:rFonts w:ascii="Arial" w:hAnsi="Arial" w:cs="Arial"/>
          <w:sz w:val="20"/>
          <w:szCs w:val="20"/>
        </w:rPr>
        <w:lastRenderedPageBreak/>
        <w:t xml:space="preserve">Além disso, </w:t>
      </w:r>
      <w:r w:rsidR="00802E67" w:rsidRPr="00221347">
        <w:rPr>
          <w:rFonts w:ascii="Arial" w:hAnsi="Arial" w:cs="Arial"/>
          <w:sz w:val="20"/>
          <w:szCs w:val="20"/>
        </w:rPr>
        <w:t>fizemos uma análise generalizad</w:t>
      </w:r>
      <w:r w:rsidR="002742EE" w:rsidRPr="00221347">
        <w:rPr>
          <w:rFonts w:ascii="Arial" w:hAnsi="Arial" w:cs="Arial"/>
          <w:sz w:val="20"/>
          <w:szCs w:val="20"/>
        </w:rPr>
        <w:t>a da amostra</w:t>
      </w:r>
      <w:r w:rsidR="000547E2" w:rsidRPr="00221347">
        <w:rPr>
          <w:rFonts w:ascii="Arial" w:hAnsi="Arial" w:cs="Arial"/>
          <w:sz w:val="20"/>
          <w:szCs w:val="20"/>
        </w:rPr>
        <w:t>, considerando</w:t>
      </w:r>
      <w:r w:rsidR="00D66E1F" w:rsidRPr="00221347">
        <w:rPr>
          <w:rFonts w:ascii="Arial" w:hAnsi="Arial" w:cs="Arial"/>
          <w:sz w:val="20"/>
          <w:szCs w:val="20"/>
        </w:rPr>
        <w:t>,</w:t>
      </w:r>
      <w:r w:rsidR="000547E2" w:rsidRPr="00221347">
        <w:rPr>
          <w:rFonts w:ascii="Arial" w:hAnsi="Arial" w:cs="Arial"/>
          <w:sz w:val="20"/>
          <w:szCs w:val="20"/>
        </w:rPr>
        <w:t xml:space="preserve"> no mesmo cálculo</w:t>
      </w:r>
      <w:r w:rsidR="00D66E1F" w:rsidRPr="00221347">
        <w:rPr>
          <w:rFonts w:ascii="Arial" w:hAnsi="Arial" w:cs="Arial"/>
          <w:sz w:val="20"/>
          <w:szCs w:val="20"/>
        </w:rPr>
        <w:t>,</w:t>
      </w:r>
      <w:r w:rsidR="000547E2" w:rsidRPr="00221347">
        <w:rPr>
          <w:rFonts w:ascii="Arial" w:hAnsi="Arial" w:cs="Arial"/>
          <w:sz w:val="20"/>
          <w:szCs w:val="20"/>
        </w:rPr>
        <w:t xml:space="preserve"> os pacientes com </w:t>
      </w:r>
      <w:r w:rsidR="00F07A32" w:rsidRPr="00221347">
        <w:rPr>
          <w:rFonts w:ascii="Arial" w:hAnsi="Arial" w:cs="Arial"/>
          <w:sz w:val="20"/>
          <w:szCs w:val="20"/>
        </w:rPr>
        <w:t>um ou múltiplos nódulos</w:t>
      </w:r>
      <w:r w:rsidR="00512024" w:rsidRPr="00221347">
        <w:rPr>
          <w:rFonts w:ascii="Arial" w:hAnsi="Arial" w:cs="Arial"/>
          <w:sz w:val="20"/>
          <w:szCs w:val="20"/>
        </w:rPr>
        <w:t xml:space="preserve">, apesar de 39% </w:t>
      </w:r>
      <w:r w:rsidR="002742EE" w:rsidRPr="00221347">
        <w:rPr>
          <w:rFonts w:ascii="Arial" w:hAnsi="Arial" w:cs="Arial"/>
          <w:sz w:val="20"/>
          <w:szCs w:val="20"/>
        </w:rPr>
        <w:t>desses</w:t>
      </w:r>
      <w:r w:rsidR="00512024" w:rsidRPr="00221347">
        <w:rPr>
          <w:rFonts w:ascii="Arial" w:hAnsi="Arial" w:cs="Arial"/>
          <w:sz w:val="20"/>
          <w:szCs w:val="20"/>
        </w:rPr>
        <w:t xml:space="preserve"> </w:t>
      </w:r>
      <w:r w:rsidR="00775A7E" w:rsidRPr="00221347">
        <w:rPr>
          <w:rFonts w:ascii="Arial" w:hAnsi="Arial" w:cs="Arial"/>
          <w:sz w:val="20"/>
          <w:szCs w:val="20"/>
        </w:rPr>
        <w:t xml:space="preserve">serem </w:t>
      </w:r>
      <w:proofErr w:type="spellStart"/>
      <w:r w:rsidR="00775A7E" w:rsidRPr="00221347">
        <w:rPr>
          <w:rFonts w:ascii="Arial" w:hAnsi="Arial" w:cs="Arial"/>
          <w:sz w:val="20"/>
          <w:szCs w:val="20"/>
        </w:rPr>
        <w:t>multinodulares</w:t>
      </w:r>
      <w:proofErr w:type="spellEnd"/>
      <w:r w:rsidR="00AF200F" w:rsidRPr="00221347">
        <w:rPr>
          <w:rFonts w:ascii="Arial" w:hAnsi="Arial" w:cs="Arial"/>
          <w:sz w:val="20"/>
          <w:szCs w:val="20"/>
        </w:rPr>
        <w:t>, muito semelhante à proporção</w:t>
      </w:r>
      <w:r w:rsidR="00D14481" w:rsidRPr="00221347">
        <w:rPr>
          <w:rFonts w:ascii="Arial" w:hAnsi="Arial" w:cs="Arial"/>
          <w:sz w:val="20"/>
          <w:szCs w:val="20"/>
        </w:rPr>
        <w:t xml:space="preserve"> de 40%</w:t>
      </w:r>
      <w:r w:rsidR="00AF200F" w:rsidRPr="00221347">
        <w:rPr>
          <w:rFonts w:ascii="Arial" w:hAnsi="Arial" w:cs="Arial"/>
          <w:sz w:val="20"/>
          <w:szCs w:val="20"/>
        </w:rPr>
        <w:t xml:space="preserve"> d</w:t>
      </w:r>
      <w:r w:rsidR="00D14481" w:rsidRPr="00221347">
        <w:rPr>
          <w:rFonts w:ascii="Arial" w:hAnsi="Arial" w:cs="Arial"/>
          <w:sz w:val="20"/>
          <w:szCs w:val="20"/>
        </w:rPr>
        <w:t>a amostra do estudo de</w:t>
      </w:r>
      <w:r w:rsidR="00AF200F" w:rsidRPr="00221347">
        <w:rPr>
          <w:rFonts w:ascii="Arial" w:hAnsi="Arial" w:cs="Arial"/>
          <w:sz w:val="20"/>
          <w:szCs w:val="20"/>
        </w:rPr>
        <w:t xml:space="preserve"> Yang</w:t>
      </w:r>
      <w:r w:rsidR="00797EE3" w:rsidRPr="00221347">
        <w:rPr>
          <w:rFonts w:ascii="Arial" w:hAnsi="Arial" w:cs="Arial"/>
          <w:sz w:val="20"/>
          <w:szCs w:val="20"/>
        </w:rPr>
        <w:t xml:space="preserve"> </w:t>
      </w:r>
      <w:r w:rsidR="00892F1E"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{"citationItems":[{"id":"ITEM-1","itemData":{"DOI":"10.1007/s00268-011-1161-0","ISSN":"1432-2323 (Electronic)","PMID":"21656309","abstract":"BACKGROUND: Major hepatic resection of more than three segments in patients with  hepatocellular carcinoma (HCC) is a high-risk operation, especially in patients with co-existing underlying liver diseases. The present study evaluated risk factors for postoperative morbidity and mortality after major hepatic resection in HCC patients with underlying liver diseases. METHODS: Perioperative data of 305 HCC patients with underlying liver diseases who underwent major hepatic resection were evaluated by univariate and multivariate analyses to identify risk factors for postoperative morbidity and mortality. RESULTS: The overall morbidity rate was 37.0% (n = 113), caused by pleural effusion (n = 56), ascites (n = 43), subphrenic effusion/infection (n = 23), hepatic dysfunction (n = 22), bile leakage (n = 10), respiratory infection (n = 7), incision infection (n = 7), intra-abdominal hemorrhage (n = 5), and others. The hospital mortality rate was 2.6% (n = 8), primarily caused by liver failure (4/8). Multivariate logistic regression analysis showed that preoperative platelet count &lt;100 × 10(9)/l (P = 0.006), and increased intraoperative blood loss (≥ 800 ml) (P = 0.008) were independent risk factors of postoperative morbidity, and that preoperative prothrombin time &gt;14 s (P = 0.015) and preoperative platelet count &lt;100 × 10(9)/l (P = 0.007) were independent risk factors for significant hospital mortality. CONCLUSIONS: Careful preoperative selection of patients in terms of the Child-Pugh classification and decrease of intraoperative blood loss are important measures to reduce postoperative morbidity after major hepatic resection in HCC patients with underlying liver diseases. Moreover, we should be aware that preoperative platelet count is independently associated with postoperative morbidity and mortality for those patients following major hepatic resection.","author":[{"dropping-particle":"","family":"Yang","given":"Tian","non-dropping-particle":"","parse-names":false,"suffix":""},{"dropping-particle":"","family":"Zhang","given":"Jin","non-dropping-particle":"","parse-names":false,"suffix":""},{"dropping-particle":"","family":"Lu","given":"Jun-Hua","non-dropping-particle":"","parse-names":false,"suffix":""},{"dropping-particle":"","family":"Yang","given":"Guang-Shun","non-dropping-particle":"","parse-names":false,"suffix":""},{"dropping-particle":"","family":"Wu","given":"Meng-Chao","non-dropping-particle":"","parse-names":false,"suffix":""},{"dropping-particle":"","family":"Yu","given":"Wei-Feng","non-dropping-particle":"","parse-names":false,"suffix":""}],"container-title":"World journal of surgery","id":"ITEM-1","issue":"9","issued":{"date-parts":[["2011","9"]]},"language":"eng","page":"2073-2082","publisher-place":"United States","title":"Risk factors influencing postoperative outcomes of major hepatic resection of  hepatocellular carcinoma for patients with underlying liver diseases.","type":"article-journal","volume":"35"},"uris":["http://www.mendeley.com/documents/?uuid=32f34259-a82f-4bda-b317-5bca8f4a32e2"]}],"mendeley":{"formattedCitation":"(35)","plainTextFormattedCitation":"(35)","previouslyFormattedCitation":"(35)"},"properties":{"noteIndex":0},"schema":"https://github.com/citation-style-language/schema/raw/master/csl-citation.json"}</w:instrText>
      </w:r>
      <w:r w:rsidR="00892F1E" w:rsidRPr="00221347">
        <w:rPr>
          <w:rFonts w:ascii="Arial" w:hAnsi="Arial" w:cs="Arial"/>
          <w:sz w:val="20"/>
          <w:szCs w:val="20"/>
        </w:rPr>
        <w:fldChar w:fldCharType="separate"/>
      </w:r>
      <w:r w:rsidR="0035699C" w:rsidRPr="0035699C">
        <w:rPr>
          <w:rFonts w:ascii="Arial" w:hAnsi="Arial" w:cs="Arial"/>
          <w:noProof/>
          <w:sz w:val="20"/>
          <w:szCs w:val="20"/>
        </w:rPr>
        <w:t>(35)</w:t>
      </w:r>
      <w:r w:rsidR="00892F1E" w:rsidRPr="00221347">
        <w:rPr>
          <w:rFonts w:ascii="Arial" w:hAnsi="Arial" w:cs="Arial"/>
          <w:sz w:val="20"/>
          <w:szCs w:val="20"/>
        </w:rPr>
        <w:fldChar w:fldCharType="end"/>
      </w:r>
      <w:r w:rsidR="00480678" w:rsidRPr="00221347">
        <w:rPr>
          <w:rFonts w:ascii="Arial" w:hAnsi="Arial" w:cs="Arial"/>
          <w:sz w:val="20"/>
          <w:szCs w:val="20"/>
        </w:rPr>
        <w:t>.</w:t>
      </w:r>
      <w:r w:rsidR="00480678" w:rsidRPr="00221347">
        <w:rPr>
          <w:rFonts w:ascii="Arial" w:hAnsi="Arial" w:cs="Arial"/>
          <w:sz w:val="20"/>
          <w:szCs w:val="20"/>
          <w:u w:val="single"/>
        </w:rPr>
        <w:t xml:space="preserve"> </w:t>
      </w:r>
      <w:r w:rsidR="00D14481" w:rsidRPr="00221347">
        <w:rPr>
          <w:rFonts w:ascii="Arial" w:hAnsi="Arial" w:cs="Arial"/>
          <w:sz w:val="20"/>
          <w:szCs w:val="20"/>
        </w:rPr>
        <w:t xml:space="preserve"> </w:t>
      </w:r>
    </w:p>
    <w:p w14:paraId="5EEC541B" w14:textId="4C8D0D19" w:rsidR="00797EE3" w:rsidRPr="00221347" w:rsidRDefault="00797EE3" w:rsidP="0068402D">
      <w:pPr>
        <w:spacing w:line="360" w:lineRule="auto"/>
        <w:jc w:val="both"/>
        <w:rPr>
          <w:rFonts w:ascii="Arial" w:hAnsi="Arial" w:cs="Arial"/>
          <w:sz w:val="20"/>
          <w:szCs w:val="20"/>
        </w:rPr>
      </w:pPr>
      <w:r w:rsidRPr="00221347">
        <w:rPr>
          <w:rFonts w:ascii="Arial" w:hAnsi="Arial" w:cs="Arial"/>
          <w:sz w:val="20"/>
          <w:szCs w:val="20"/>
        </w:rPr>
        <w:tab/>
      </w:r>
      <w:r w:rsidR="003206D3" w:rsidRPr="00D80D14">
        <w:rPr>
          <w:rFonts w:ascii="Arial" w:hAnsi="Arial" w:cs="Arial"/>
          <w:sz w:val="20"/>
          <w:szCs w:val="20"/>
        </w:rPr>
        <w:t xml:space="preserve">Com isso, apesar da literatura médica apontar uma possível relação entre os biomarcadores séricos e a ocorrência de IMV, </w:t>
      </w:r>
      <w:r w:rsidR="0088253A" w:rsidRPr="00D80D14">
        <w:rPr>
          <w:rFonts w:ascii="Arial" w:hAnsi="Arial" w:cs="Arial"/>
          <w:sz w:val="20"/>
          <w:szCs w:val="20"/>
        </w:rPr>
        <w:t>nosso estudo não conseguiu essa correlação.</w:t>
      </w:r>
      <w:r w:rsidR="00C43B91" w:rsidRPr="00D80D14">
        <w:rPr>
          <w:rFonts w:ascii="Arial" w:hAnsi="Arial" w:cs="Arial"/>
          <w:sz w:val="20"/>
          <w:szCs w:val="20"/>
        </w:rPr>
        <w:t xml:space="preserve"> </w:t>
      </w:r>
      <w:r w:rsidR="00DB41CE" w:rsidRPr="00D80D14">
        <w:rPr>
          <w:rFonts w:ascii="Arial" w:hAnsi="Arial" w:cs="Arial"/>
          <w:sz w:val="20"/>
          <w:szCs w:val="20"/>
        </w:rPr>
        <w:t xml:space="preserve">Destaca-se que foram avaliadas populações distintas e os biomarcadores </w:t>
      </w:r>
      <w:r w:rsidR="0046176D" w:rsidRPr="00D80D14">
        <w:rPr>
          <w:rFonts w:ascii="Arial" w:hAnsi="Arial" w:cs="Arial"/>
          <w:sz w:val="20"/>
          <w:szCs w:val="20"/>
        </w:rPr>
        <w:t xml:space="preserve">podem </w:t>
      </w:r>
      <w:r w:rsidR="00DB41CE" w:rsidRPr="00D80D14">
        <w:rPr>
          <w:rFonts w:ascii="Arial" w:hAnsi="Arial" w:cs="Arial"/>
          <w:sz w:val="20"/>
          <w:szCs w:val="20"/>
        </w:rPr>
        <w:t>sofre</w:t>
      </w:r>
      <w:r w:rsidR="0046176D" w:rsidRPr="00D80D14">
        <w:rPr>
          <w:rFonts w:ascii="Arial" w:hAnsi="Arial" w:cs="Arial"/>
          <w:sz w:val="20"/>
          <w:szCs w:val="20"/>
        </w:rPr>
        <w:t>r</w:t>
      </w:r>
      <w:r w:rsidR="00DB41CE" w:rsidRPr="00D80D14">
        <w:rPr>
          <w:rFonts w:ascii="Arial" w:hAnsi="Arial" w:cs="Arial"/>
          <w:sz w:val="20"/>
          <w:szCs w:val="20"/>
        </w:rPr>
        <w:t xml:space="preserve"> interferência </w:t>
      </w:r>
      <w:r w:rsidR="00EA7602" w:rsidRPr="00D80D14">
        <w:rPr>
          <w:rFonts w:ascii="Arial" w:hAnsi="Arial" w:cs="Arial"/>
          <w:sz w:val="20"/>
          <w:szCs w:val="20"/>
        </w:rPr>
        <w:t xml:space="preserve">de fatores externos, como a técnica utilizada, por exemplo. Além disso, evidencia-se que essa </w:t>
      </w:r>
      <w:r w:rsidR="005F1607" w:rsidRPr="00D80D14">
        <w:rPr>
          <w:rFonts w:ascii="Arial" w:hAnsi="Arial" w:cs="Arial"/>
          <w:sz w:val="20"/>
          <w:szCs w:val="20"/>
        </w:rPr>
        <w:t>relação não é frequente e não possui reprodutibilidade universal</w:t>
      </w:r>
      <w:r w:rsidR="00B27926" w:rsidRPr="00D80D14">
        <w:rPr>
          <w:rFonts w:ascii="Arial" w:hAnsi="Arial" w:cs="Arial"/>
          <w:sz w:val="20"/>
          <w:szCs w:val="20"/>
        </w:rPr>
        <w:t xml:space="preserve">, devendo ser mais bem estudada. </w:t>
      </w:r>
    </w:p>
    <w:p w14:paraId="57172A37" w14:textId="2042E7C4" w:rsidR="001F6E95" w:rsidRPr="00D80D14" w:rsidRDefault="00F470F7">
      <w:pPr>
        <w:spacing w:line="360" w:lineRule="auto"/>
        <w:ind w:firstLine="720"/>
        <w:jc w:val="both"/>
        <w:rPr>
          <w:rFonts w:ascii="Arial" w:hAnsi="Arial" w:cs="Arial"/>
          <w:sz w:val="20"/>
          <w:szCs w:val="20"/>
        </w:rPr>
      </w:pPr>
      <w:r w:rsidRPr="00221347">
        <w:rPr>
          <w:rFonts w:ascii="Arial" w:hAnsi="Arial" w:cs="Arial"/>
          <w:sz w:val="20"/>
          <w:szCs w:val="20"/>
        </w:rPr>
        <w:t>Destaca-se que</w:t>
      </w:r>
      <w:r w:rsidR="009C18F2" w:rsidRPr="00D80D14">
        <w:rPr>
          <w:rFonts w:ascii="Arial" w:hAnsi="Arial" w:cs="Arial"/>
          <w:sz w:val="20"/>
          <w:szCs w:val="20"/>
        </w:rPr>
        <w:t xml:space="preserve"> outros </w:t>
      </w:r>
      <w:r w:rsidRPr="00221347">
        <w:rPr>
          <w:rFonts w:ascii="Arial" w:hAnsi="Arial" w:cs="Arial"/>
          <w:sz w:val="20"/>
          <w:szCs w:val="20"/>
        </w:rPr>
        <w:t>autores</w:t>
      </w:r>
      <w:r w:rsidR="00AE056A" w:rsidRPr="00221347">
        <w:rPr>
          <w:rFonts w:ascii="Arial" w:hAnsi="Arial" w:cs="Arial"/>
          <w:sz w:val="20"/>
          <w:szCs w:val="20"/>
        </w:rPr>
        <w:t xml:space="preserve"> </w:t>
      </w:r>
      <w:r w:rsidR="009C18F2" w:rsidRPr="00D80D14">
        <w:rPr>
          <w:rFonts w:ascii="Arial" w:hAnsi="Arial" w:cs="Arial"/>
          <w:sz w:val="20"/>
          <w:szCs w:val="20"/>
        </w:rPr>
        <w:fldChar w:fldCharType="begin" w:fldLock="1"/>
      </w:r>
      <w:r w:rsidR="00DB0085">
        <w:rPr>
          <w:rFonts w:ascii="Arial" w:hAnsi="Arial" w:cs="Arial"/>
          <w:sz w:val="20"/>
          <w:szCs w:val="20"/>
        </w:rPr>
        <w:instrText>ADDIN CSL_CITATION {"citationItems":[{"id":"ITEM-1","itemData":{"DOI":"10.1002/jso.21631","ISSN":"1096-9098 (Electronic)","PMID":"20872949","abstract":"BACKGROUND AND OBJECTIVES: Microvascular invasion (MVI) is difficult to detect  before resection of hepatocellular carcinoma (HCC). METHODS: Clinicopathological and outcome data were retrospectively compared between 213 HCC patients with MVI and 221 patients without MVI who underwent hepatectomy. RESULTS: MVI risk was selected as an independent prognostic indicator for both disease-free and overall survival in our 434 HCC patients. Univariate and multivariate analyses showed that an age under 65 years, a protein induced by vitamin K absence/antagonism II (PIVKA-II) level ≥200 mAU/ml, a preoperative tumor size ≥5.0 cm, and poorly differentiated carcinoma were independent predictors of MVI. When age, PIVKA-II level, and tumor size (data available before surgery) were scored as a combined index, the total score demonstrated a significant correlation with the extent of vascular invasion and with survival after hepatic resection. CONCLUSIONS: An age under 65 years, increase of PIVKA-II, and larger tumor size were preoperative predictors of MVI in HCC patients undergoing potentially curative resection. Our combined score based on the age, serum PIVKA-II, and preoperative tumor size is a reliable predictor of MVI and survival in patients with HCC.","author":[{"dropping-particle":"","family":"Kaibori","given":"Masaki","non-dropping-particle":"","parse-names":false,"suffix":""},{"dropping-particle":"","family":"Ishizaki","given":"Morihiko","non-dropping-particle":"","parse-names":false,"suffix":""},{"dropping-particle":"","family":"Matsui","given":"Kosuke","non-dropping-particle":"","parse-names":false,"suffix":""},{"dropping-particle":"","family":"Kwon","given":"A-Hon","non-dropping-particle":"","parse-names":false,"suffix":""}],"container-title":"Journal of surgical oncology","id":"ITEM-1","issue":"5","issued":{"date-parts":[["2010","10"]]},"language":"eng","page":"462-468","publisher-place":"United States","title":"Predictors of microvascular invasion before hepatectomy for hepatocellular  carcinoma.","type":"article-journal","volume":"102"},"uris":["http://www.mendeley.com/documents/?uuid=507dbdd2-d74a-492d-884c-96ef7cd93e99"]}],"mendeley":{"formattedCitation":"(23)","plainTextFormattedCitation":"(23)","previouslyFormattedCitation":"(23)"},"properties":{"noteIndex":0},"schema":"https://github.com/citation-style-language/schema/raw/master/csl-citation.json"}</w:instrText>
      </w:r>
      <w:r w:rsidR="009C18F2" w:rsidRPr="00D80D14">
        <w:rPr>
          <w:rFonts w:ascii="Arial" w:hAnsi="Arial" w:cs="Arial"/>
          <w:sz w:val="20"/>
          <w:szCs w:val="20"/>
        </w:rPr>
        <w:fldChar w:fldCharType="separate"/>
      </w:r>
      <w:r w:rsidR="0035699C" w:rsidRPr="0035699C">
        <w:rPr>
          <w:rFonts w:ascii="Arial" w:hAnsi="Arial" w:cs="Arial"/>
          <w:noProof/>
          <w:sz w:val="20"/>
          <w:szCs w:val="20"/>
        </w:rPr>
        <w:t>(23)</w:t>
      </w:r>
      <w:r w:rsidR="009C18F2" w:rsidRPr="00D80D14">
        <w:rPr>
          <w:rFonts w:ascii="Arial" w:hAnsi="Arial" w:cs="Arial"/>
          <w:sz w:val="20"/>
          <w:szCs w:val="20"/>
        </w:rPr>
        <w:fldChar w:fldCharType="end"/>
      </w:r>
      <w:r w:rsidRPr="00221347">
        <w:rPr>
          <w:rFonts w:ascii="Arial" w:hAnsi="Arial" w:cs="Arial"/>
          <w:sz w:val="20"/>
          <w:szCs w:val="20"/>
        </w:rPr>
        <w:t xml:space="preserve"> já determinaram que </w:t>
      </w:r>
      <w:r w:rsidR="004B5514" w:rsidRPr="00221347">
        <w:rPr>
          <w:rFonts w:ascii="Arial" w:hAnsi="Arial" w:cs="Arial"/>
          <w:sz w:val="20"/>
          <w:szCs w:val="20"/>
        </w:rPr>
        <w:t>essa característica patológica é fator de risco para gravidade e recorrência do CHC</w:t>
      </w:r>
      <w:r w:rsidR="00D23BCB" w:rsidRPr="00221347">
        <w:rPr>
          <w:rFonts w:ascii="Arial" w:hAnsi="Arial" w:cs="Arial"/>
          <w:sz w:val="20"/>
          <w:szCs w:val="20"/>
        </w:rPr>
        <w:t xml:space="preserve">, embora nosso estudo não tenha contemplado dados </w:t>
      </w:r>
      <w:r w:rsidR="004A56BC" w:rsidRPr="00221347">
        <w:rPr>
          <w:rFonts w:ascii="Arial" w:hAnsi="Arial" w:cs="Arial"/>
          <w:sz w:val="20"/>
          <w:szCs w:val="20"/>
        </w:rPr>
        <w:t xml:space="preserve">de recorrência do </w:t>
      </w:r>
      <w:proofErr w:type="spellStart"/>
      <w:r w:rsidR="004A56BC" w:rsidRPr="00221347">
        <w:rPr>
          <w:rFonts w:ascii="Arial" w:hAnsi="Arial" w:cs="Arial"/>
          <w:sz w:val="20"/>
          <w:szCs w:val="20"/>
        </w:rPr>
        <w:t>hepatocarcinoma</w:t>
      </w:r>
      <w:proofErr w:type="spellEnd"/>
      <w:r w:rsidR="004A56BC" w:rsidRPr="00221347">
        <w:rPr>
          <w:rFonts w:ascii="Arial" w:hAnsi="Arial" w:cs="Arial"/>
          <w:sz w:val="20"/>
          <w:szCs w:val="20"/>
        </w:rPr>
        <w:t xml:space="preserve">. </w:t>
      </w:r>
      <w:r w:rsidR="005D6D4B" w:rsidRPr="00221347">
        <w:rPr>
          <w:rFonts w:ascii="Arial" w:hAnsi="Arial" w:cs="Arial"/>
          <w:sz w:val="20"/>
          <w:szCs w:val="20"/>
        </w:rPr>
        <w:t xml:space="preserve">Além disso, quando o tumor está próximo </w:t>
      </w:r>
      <w:r w:rsidR="00BA718F" w:rsidRPr="00221347">
        <w:rPr>
          <w:rFonts w:ascii="Arial" w:hAnsi="Arial" w:cs="Arial"/>
          <w:sz w:val="20"/>
          <w:szCs w:val="20"/>
        </w:rPr>
        <w:t xml:space="preserve">de </w:t>
      </w:r>
      <w:r w:rsidR="00532106" w:rsidRPr="00221347">
        <w:rPr>
          <w:rFonts w:ascii="Arial" w:hAnsi="Arial" w:cs="Arial"/>
          <w:sz w:val="20"/>
          <w:szCs w:val="20"/>
        </w:rPr>
        <w:t xml:space="preserve">5 centímetros de diâmetro, </w:t>
      </w:r>
      <w:r w:rsidR="00EE29AE" w:rsidRPr="00221347">
        <w:rPr>
          <w:rFonts w:ascii="Arial" w:hAnsi="Arial" w:cs="Arial"/>
          <w:sz w:val="20"/>
          <w:szCs w:val="20"/>
        </w:rPr>
        <w:t xml:space="preserve">usualmente </w:t>
      </w:r>
      <w:r w:rsidR="00532106" w:rsidRPr="00221347">
        <w:rPr>
          <w:rFonts w:ascii="Arial" w:hAnsi="Arial" w:cs="Arial"/>
          <w:sz w:val="20"/>
          <w:szCs w:val="20"/>
        </w:rPr>
        <w:t xml:space="preserve">o nódulo começa a perder </w:t>
      </w:r>
      <w:r w:rsidR="00EE6D50" w:rsidRPr="00221347">
        <w:rPr>
          <w:rFonts w:ascii="Arial" w:hAnsi="Arial" w:cs="Arial"/>
          <w:sz w:val="20"/>
          <w:szCs w:val="20"/>
        </w:rPr>
        <w:t xml:space="preserve">diferenciação, </w:t>
      </w:r>
      <w:r w:rsidR="00EE29AE" w:rsidRPr="00221347">
        <w:rPr>
          <w:rFonts w:ascii="Arial" w:hAnsi="Arial" w:cs="Arial"/>
          <w:sz w:val="20"/>
          <w:szCs w:val="20"/>
        </w:rPr>
        <w:t xml:space="preserve">podendo </w:t>
      </w:r>
      <w:r w:rsidR="00EE6D50" w:rsidRPr="00221347">
        <w:rPr>
          <w:rFonts w:ascii="Arial" w:hAnsi="Arial" w:cs="Arial"/>
          <w:sz w:val="20"/>
          <w:szCs w:val="20"/>
        </w:rPr>
        <w:t>apresentar invasão microvascular</w:t>
      </w:r>
      <w:r w:rsidR="002E1A7F" w:rsidRPr="00221347">
        <w:rPr>
          <w:rFonts w:ascii="Arial" w:hAnsi="Arial" w:cs="Arial"/>
          <w:sz w:val="20"/>
          <w:szCs w:val="20"/>
        </w:rPr>
        <w:t xml:space="preserve">. A partir disso, poderia ser admitido que quanto maior o nódulo, pior </w:t>
      </w:r>
      <w:r w:rsidR="00AC7D5D" w:rsidRPr="00221347">
        <w:rPr>
          <w:rFonts w:ascii="Arial" w:hAnsi="Arial" w:cs="Arial"/>
          <w:sz w:val="20"/>
          <w:szCs w:val="20"/>
        </w:rPr>
        <w:t>seria</w:t>
      </w:r>
      <w:r w:rsidR="00510DF1" w:rsidRPr="00221347">
        <w:rPr>
          <w:rFonts w:ascii="Arial" w:hAnsi="Arial" w:cs="Arial"/>
          <w:sz w:val="20"/>
          <w:szCs w:val="20"/>
        </w:rPr>
        <w:t xml:space="preserve"> o prognóstico do paciente, com maior probabilidade de recorrência</w:t>
      </w:r>
      <w:r w:rsidR="00A87226" w:rsidRPr="00221347">
        <w:rPr>
          <w:rFonts w:ascii="Arial" w:hAnsi="Arial" w:cs="Arial"/>
          <w:sz w:val="20"/>
          <w:szCs w:val="20"/>
        </w:rPr>
        <w:t xml:space="preserve"> </w:t>
      </w:r>
      <w:r w:rsidR="00A87226" w:rsidRPr="00221347">
        <w:rPr>
          <w:rFonts w:ascii="Arial" w:hAnsi="Arial" w:cs="Arial"/>
          <w:sz w:val="20"/>
          <w:szCs w:val="20"/>
        </w:rPr>
        <w:fldChar w:fldCharType="begin" w:fldLock="1"/>
      </w:r>
      <w:r w:rsidR="00DB0085">
        <w:rPr>
          <w:rFonts w:ascii="Arial" w:hAnsi="Arial" w:cs="Arial"/>
          <w:sz w:val="20"/>
          <w:szCs w:val="20"/>
        </w:rPr>
        <w:instrText>ADDIN CSL_CITATION {"citationItems":[{"id":"ITEM-1","itemData":{"DOI":"10.1053/j.gastro.2015.12.041","ISSN":"1528-0012 (Electronic)","PMID":"26795574","abstract":"Evidence-based management of patients with hepatocellular carcinoma (HCC) is key to  their optimal care. For individuals at risk for HCC, surveillance usually involves ultrasonography (there is controversy over use of biomarkers). A diagnosis of HCC is made based on findings from biopsy or imaging analyses. Molecular markers are not used in diagnosis or determination of prognosis and treatment for patients. The Barcelona Clinic Liver Cancer algorithm is the most widely used staging system. Patients with single liver tumors or as many as 3 nodules ≤3 cm are classified as having very early or early-stage cancer and benefit from resection, transplantation, or ablation. Those with a greater tumor burden, confined to the liver, and who are free of symptoms are considered to have intermediate-stage cancer and can benefit from chemoembolization if they still have preserved liver function. Those with symptoms of HCC and/or vascular invasion and/or extrahepatic cancer are considered to have advanced-stage cancer and could benefit from treatment with the kinase inhibitor sorafenib. Patients with end-stage HCC have advanced liver disease that is not suitable for transplantation and/or have intense symptoms. Studies now aim to identify molecular markers and imaging techniques that can detect patients with HCC at earlier stages and better predict their survival time and response to treatment.","author":[{"dropping-particle":"","family":"Bruix","given":"Jordi","non-dropping-particle":"","parse-names":false,"suffix":""},{"dropping-particle":"","family":"Reig","given":"Maria","non-dropping-particle":"","parse-names":false,"suffix":""},{"dropping-particle":"","family":"Sherman","given":"Morris","non-dropping-particle":"","parse-names":false,"suffix":""}],"container-title":"Gastroenterology","id":"ITEM-1","issue":"4","issued":{"date-parts":[["2016","4"]]},"language":"eng","page":"835-853","publisher-place":"United States","title":"Evidence-Based Diagnosis, Staging, and Treatment of Patients With Hepatocellular  Carcinoma.","type":"article-journal","volume":"150"},"uris":["http://www.mendeley.com/documents/?uuid=8f67af84-0ec9-4d76-b9b5-d4593ea72139"]},{"id":"ITEM-2","itemData":{"DOI":"10.1002/1097-0142(19850801)56:3&lt;672::aid-cncr2820560340&gt;3.0.co;2-v","ISSN":"0008-543X (Print)","PMID":"2988752","abstract":"The morphologic features and their prognostic significance were analyzed in 83  surgically resected hepatocellular carcinomas (HCC): 44 of them were of less than or equal to 5 cm in diameter and 39 were larger. This study demonstrated a high prevalence of tumor capsule in both small and large HCCs, 86.4% and 84.6%, respectively. In small HCC, the capsule formation was significantly higher in the liver with cirrhosis (96.9%, or 31/32) than without (58.3%, or 7/12) (P less than 0.003). In both small and large HCCs, the most important histologic parameter influencing the tumor recurrence was the liver invasion. In the small but not in the large HCC, the invasion through the capsule also correlated well with recurrence (P less than 0.05). None of the 19 patients whose HCC were confined by a tumor capsule and did not invade the liver, had a recurrence during the 10 months or longer follow-up period. The significantly more favorable outcome of smaller HCC was related to the lower frequencies of liver invasion (P less than 0.001), portal vein involvement (P less than 0.01), and satellite formation (P less than 0.01). Tumor recurrence did not correlate with the tumor grading, presence of clear cells, liver cell dysplasia, or host inflammatory response. The HBsAg positivity in tumor cells was significantly higher in small (40.9%, or 18/44) than in large HCC (10.3%, or 4/39), suggestive of a gradual loss of the cytoplasmic expression of HBsAg in the tumor cells during the growth of HCC.","author":[{"dropping-particle":"","family":"Hsu","given":"H C","non-dropping-particle":"","parse-names":false,"suffix":""},{"dropping-particle":"","family":"Sheu","given":"J C","non-dropping-particle":"","parse-names":false,"suffix":""},{"dropping-particle":"","family":"Lin","given":"Y H","non-dropping-particle":"","parse-names":false,"suffix":""},{"dropping-particle":"","family":"Chen","given":"D S","non-dropping-particle":"","parse-names":false,"suffix":""},{"dropping-particle":"","family":"Lee","given":"C S","non-dropping-particle":"","parse-names":false,"suffix":""},{"dropping-particle":"","family":"Hwang","given":"L Y","non-dropping-particle":"","parse-names":false,"suffix":""},{"dropping-particle":"","family":"Beasley","given":"R P","non-dropping-particle":"","parse-names":false,"suffix":""}],"container-title":"Cancer","id":"ITEM-2","issue":"3","issued":{"date-parts":[["1985","8"]]},"language":"eng","page":"672-680","publisher-place":"United States","title":"Prognostic histologic features of resected small hepatocellular carcinoma (HCC) in  Taiwan. A comparison with resected large HCC.","type":"article-journal","volume":"56"},"uris":["http://www.mendeley.com/documents/?uuid=e1032872-4436-4d6c-a3cf-4b98f9c8dba0"]}],"mendeley":{"formattedCitation":"(36,37)","plainTextFormattedCitation":"(36,37)","previouslyFormattedCitation":"(36,37)"},"properties":{"noteIndex":0},"schema":"https://github.com/citation-style-language/schema/raw/master/csl-citation.json"}</w:instrText>
      </w:r>
      <w:r w:rsidR="00A87226" w:rsidRPr="00221347">
        <w:rPr>
          <w:rFonts w:ascii="Arial" w:hAnsi="Arial" w:cs="Arial"/>
          <w:sz w:val="20"/>
          <w:szCs w:val="20"/>
        </w:rPr>
        <w:fldChar w:fldCharType="separate"/>
      </w:r>
      <w:r w:rsidR="0035699C" w:rsidRPr="0035699C">
        <w:rPr>
          <w:rFonts w:ascii="Arial" w:hAnsi="Arial" w:cs="Arial"/>
          <w:noProof/>
          <w:sz w:val="20"/>
          <w:szCs w:val="20"/>
        </w:rPr>
        <w:t>(36,37)</w:t>
      </w:r>
      <w:r w:rsidR="00A87226" w:rsidRPr="00221347">
        <w:rPr>
          <w:rFonts w:ascii="Arial" w:hAnsi="Arial" w:cs="Arial"/>
          <w:sz w:val="20"/>
          <w:szCs w:val="20"/>
        </w:rPr>
        <w:fldChar w:fldCharType="end"/>
      </w:r>
      <w:r w:rsidR="00A87226" w:rsidRPr="00221347">
        <w:rPr>
          <w:rFonts w:ascii="Arial" w:hAnsi="Arial" w:cs="Arial"/>
          <w:sz w:val="20"/>
          <w:szCs w:val="20"/>
        </w:rPr>
        <w:t>.</w:t>
      </w:r>
      <w:r w:rsidR="00510DF1" w:rsidRPr="00221347">
        <w:rPr>
          <w:rFonts w:ascii="Arial" w:hAnsi="Arial" w:cs="Arial"/>
          <w:sz w:val="20"/>
          <w:szCs w:val="20"/>
        </w:rPr>
        <w:t xml:space="preserve"> </w:t>
      </w:r>
      <w:r w:rsidR="00B749A2" w:rsidRPr="00221347">
        <w:rPr>
          <w:rFonts w:ascii="Arial" w:hAnsi="Arial" w:cs="Arial"/>
          <w:sz w:val="20"/>
          <w:szCs w:val="20"/>
        </w:rPr>
        <w:t xml:space="preserve"> </w:t>
      </w:r>
      <w:r w:rsidR="00540F7F" w:rsidRPr="00D80D14">
        <w:rPr>
          <w:rFonts w:ascii="Arial" w:hAnsi="Arial" w:cs="Arial"/>
          <w:sz w:val="20"/>
          <w:szCs w:val="20"/>
        </w:rPr>
        <w:t xml:space="preserve">No entanto, nosso estudo não foi capaz de comprovar essa </w:t>
      </w:r>
      <w:r w:rsidR="00D03A86" w:rsidRPr="00D80D14">
        <w:rPr>
          <w:rFonts w:ascii="Arial" w:hAnsi="Arial" w:cs="Arial"/>
          <w:sz w:val="20"/>
          <w:szCs w:val="20"/>
        </w:rPr>
        <w:t>informação</w:t>
      </w:r>
      <w:r w:rsidR="00DB4E5B" w:rsidRPr="00D80D14">
        <w:rPr>
          <w:rFonts w:ascii="Arial" w:hAnsi="Arial" w:cs="Arial"/>
          <w:sz w:val="20"/>
          <w:szCs w:val="20"/>
        </w:rPr>
        <w:t xml:space="preserve">, pois </w:t>
      </w:r>
      <w:r w:rsidR="007D190D" w:rsidRPr="00D80D14">
        <w:rPr>
          <w:rFonts w:ascii="Arial" w:hAnsi="Arial" w:cs="Arial"/>
          <w:sz w:val="20"/>
          <w:szCs w:val="20"/>
        </w:rPr>
        <w:t xml:space="preserve">além de </w:t>
      </w:r>
      <w:r w:rsidR="00DB4E5B" w:rsidRPr="00D80D14">
        <w:rPr>
          <w:rFonts w:ascii="Arial" w:hAnsi="Arial" w:cs="Arial"/>
          <w:sz w:val="20"/>
          <w:szCs w:val="20"/>
        </w:rPr>
        <w:t>não encontra</w:t>
      </w:r>
      <w:r w:rsidR="007D190D" w:rsidRPr="00D80D14">
        <w:rPr>
          <w:rFonts w:ascii="Arial" w:hAnsi="Arial" w:cs="Arial"/>
          <w:sz w:val="20"/>
          <w:szCs w:val="20"/>
        </w:rPr>
        <w:t>r</w:t>
      </w:r>
      <w:r w:rsidR="00DB4E5B" w:rsidRPr="00D80D14">
        <w:rPr>
          <w:rFonts w:ascii="Arial" w:hAnsi="Arial" w:cs="Arial"/>
          <w:sz w:val="20"/>
          <w:szCs w:val="20"/>
        </w:rPr>
        <w:t xml:space="preserve">mos relação </w:t>
      </w:r>
      <w:r w:rsidR="007D190D" w:rsidRPr="00D80D14">
        <w:rPr>
          <w:rFonts w:ascii="Arial" w:hAnsi="Arial" w:cs="Arial"/>
          <w:sz w:val="20"/>
          <w:szCs w:val="20"/>
        </w:rPr>
        <w:t xml:space="preserve">significativa </w:t>
      </w:r>
      <w:r w:rsidR="00DB4E5B" w:rsidRPr="00D80D14">
        <w:rPr>
          <w:rFonts w:ascii="Arial" w:hAnsi="Arial" w:cs="Arial"/>
          <w:sz w:val="20"/>
          <w:szCs w:val="20"/>
        </w:rPr>
        <w:t>entre a presença de IVM e o desfecho mortalidade</w:t>
      </w:r>
      <w:r w:rsidR="00264F8E" w:rsidRPr="00D80D14">
        <w:rPr>
          <w:rFonts w:ascii="Arial" w:hAnsi="Arial" w:cs="Arial"/>
          <w:sz w:val="20"/>
          <w:szCs w:val="20"/>
        </w:rPr>
        <w:t>,</w:t>
      </w:r>
      <w:r w:rsidR="007D190D" w:rsidRPr="00D80D14">
        <w:rPr>
          <w:rFonts w:ascii="Arial" w:hAnsi="Arial" w:cs="Arial"/>
          <w:sz w:val="20"/>
          <w:szCs w:val="20"/>
        </w:rPr>
        <w:t xml:space="preserve"> </w:t>
      </w:r>
      <w:r w:rsidR="004B79FB" w:rsidRPr="00D80D14">
        <w:rPr>
          <w:rFonts w:ascii="Arial" w:hAnsi="Arial" w:cs="Arial"/>
          <w:sz w:val="20"/>
          <w:szCs w:val="20"/>
        </w:rPr>
        <w:t xml:space="preserve">também não conseguimos </w:t>
      </w:r>
      <w:r w:rsidR="0053003E" w:rsidRPr="00D80D14">
        <w:rPr>
          <w:rFonts w:ascii="Arial" w:hAnsi="Arial" w:cs="Arial"/>
          <w:sz w:val="20"/>
          <w:szCs w:val="20"/>
        </w:rPr>
        <w:t xml:space="preserve">relacionar o </w:t>
      </w:r>
      <w:r w:rsidR="007D190D" w:rsidRPr="00D80D14">
        <w:rPr>
          <w:rFonts w:ascii="Arial" w:hAnsi="Arial" w:cs="Arial"/>
          <w:sz w:val="20"/>
          <w:szCs w:val="20"/>
        </w:rPr>
        <w:t>tamanho</w:t>
      </w:r>
      <w:r w:rsidR="0053003E" w:rsidRPr="00D80D14">
        <w:rPr>
          <w:rFonts w:ascii="Arial" w:hAnsi="Arial" w:cs="Arial"/>
          <w:sz w:val="20"/>
          <w:szCs w:val="20"/>
        </w:rPr>
        <w:t xml:space="preserve"> do nódulo com o desfecho</w:t>
      </w:r>
      <w:r w:rsidR="00BD2DEE" w:rsidRPr="00D80D14">
        <w:rPr>
          <w:rFonts w:ascii="Arial" w:hAnsi="Arial" w:cs="Arial"/>
          <w:sz w:val="20"/>
          <w:szCs w:val="20"/>
        </w:rPr>
        <w:t xml:space="preserve"> IVM</w:t>
      </w:r>
      <w:r w:rsidR="0053003E" w:rsidRPr="00D80D14">
        <w:rPr>
          <w:rFonts w:ascii="Arial" w:hAnsi="Arial" w:cs="Arial"/>
          <w:sz w:val="20"/>
          <w:szCs w:val="20"/>
        </w:rPr>
        <w:t>,</w:t>
      </w:r>
      <w:r w:rsidR="00264F8E" w:rsidRPr="00D80D14">
        <w:rPr>
          <w:rFonts w:ascii="Arial" w:hAnsi="Arial" w:cs="Arial"/>
          <w:sz w:val="20"/>
          <w:szCs w:val="20"/>
        </w:rPr>
        <w:t xml:space="preserve"> conforme tabela </w:t>
      </w:r>
      <w:r w:rsidR="005A3F02" w:rsidRPr="00D80D14">
        <w:rPr>
          <w:rFonts w:ascii="Arial" w:hAnsi="Arial" w:cs="Arial"/>
          <w:sz w:val="20"/>
          <w:szCs w:val="20"/>
        </w:rPr>
        <w:t>5.</w:t>
      </w:r>
    </w:p>
    <w:p w14:paraId="60D80B35" w14:textId="77777777" w:rsidR="0083075A" w:rsidRDefault="007D7DBF">
      <w:pPr>
        <w:spacing w:line="360" w:lineRule="auto"/>
        <w:ind w:firstLine="720"/>
        <w:jc w:val="both"/>
        <w:rPr>
          <w:rFonts w:ascii="Arial" w:hAnsi="Arial" w:cs="Arial"/>
          <w:sz w:val="20"/>
          <w:szCs w:val="20"/>
        </w:rPr>
      </w:pPr>
      <w:r w:rsidRPr="00D80D14">
        <w:rPr>
          <w:rFonts w:ascii="Arial" w:hAnsi="Arial" w:cs="Arial"/>
          <w:sz w:val="20"/>
          <w:szCs w:val="20"/>
        </w:rPr>
        <w:t xml:space="preserve">O tratamento de eleição para o </w:t>
      </w:r>
      <w:proofErr w:type="spellStart"/>
      <w:r w:rsidRPr="00D80D14">
        <w:rPr>
          <w:rFonts w:ascii="Arial" w:hAnsi="Arial" w:cs="Arial"/>
          <w:sz w:val="20"/>
          <w:szCs w:val="20"/>
        </w:rPr>
        <w:t>hepatocarcinoma</w:t>
      </w:r>
      <w:proofErr w:type="spellEnd"/>
      <w:r w:rsidRPr="00D80D14">
        <w:rPr>
          <w:rFonts w:ascii="Arial" w:hAnsi="Arial" w:cs="Arial"/>
          <w:sz w:val="20"/>
          <w:szCs w:val="20"/>
        </w:rPr>
        <w:t xml:space="preserve"> em estágio avançado é o transplante </w:t>
      </w:r>
      <w:r w:rsidR="00D21365" w:rsidRPr="00D80D14">
        <w:rPr>
          <w:rFonts w:ascii="Arial" w:hAnsi="Arial" w:cs="Arial"/>
          <w:sz w:val="20"/>
          <w:szCs w:val="20"/>
        </w:rPr>
        <w:t xml:space="preserve">hepático. </w:t>
      </w:r>
      <w:r w:rsidR="00ED707C" w:rsidRPr="00D80D14">
        <w:rPr>
          <w:rFonts w:ascii="Arial" w:hAnsi="Arial" w:cs="Arial"/>
          <w:sz w:val="20"/>
          <w:szCs w:val="20"/>
        </w:rPr>
        <w:t xml:space="preserve">Considerando que o fígado humano é um recurso limitado, </w:t>
      </w:r>
      <w:r w:rsidR="000E3198" w:rsidRPr="00D80D14">
        <w:rPr>
          <w:rFonts w:ascii="Arial" w:hAnsi="Arial" w:cs="Arial"/>
          <w:sz w:val="20"/>
          <w:szCs w:val="20"/>
        </w:rPr>
        <w:t xml:space="preserve">é necessário que haja ferramentas </w:t>
      </w:r>
      <w:r w:rsidR="00314739" w:rsidRPr="00D80D14">
        <w:rPr>
          <w:rFonts w:ascii="Arial" w:hAnsi="Arial" w:cs="Arial"/>
          <w:sz w:val="20"/>
          <w:szCs w:val="20"/>
        </w:rPr>
        <w:t xml:space="preserve">bem acuradas a fim de determinar prioridades na fila do transplante, </w:t>
      </w:r>
      <w:r w:rsidR="00471634" w:rsidRPr="00D80D14">
        <w:rPr>
          <w:rFonts w:ascii="Arial" w:hAnsi="Arial" w:cs="Arial"/>
          <w:sz w:val="20"/>
          <w:szCs w:val="20"/>
        </w:rPr>
        <w:t xml:space="preserve">priorizando </w:t>
      </w:r>
      <w:r w:rsidR="00390E02" w:rsidRPr="00D80D14">
        <w:rPr>
          <w:rFonts w:ascii="Arial" w:hAnsi="Arial" w:cs="Arial"/>
          <w:sz w:val="20"/>
          <w:szCs w:val="20"/>
        </w:rPr>
        <w:t>a criticidade do paciente</w:t>
      </w:r>
      <w:r w:rsidR="00471634" w:rsidRPr="00D80D14">
        <w:rPr>
          <w:rFonts w:ascii="Arial" w:hAnsi="Arial" w:cs="Arial"/>
          <w:sz w:val="20"/>
          <w:szCs w:val="20"/>
        </w:rPr>
        <w:t xml:space="preserve"> </w:t>
      </w:r>
      <w:r w:rsidR="00433843" w:rsidRPr="00D80D14">
        <w:rPr>
          <w:rFonts w:ascii="Arial" w:hAnsi="Arial" w:cs="Arial"/>
          <w:sz w:val="20"/>
          <w:szCs w:val="20"/>
        </w:rPr>
        <w:t xml:space="preserve">com possibilidade de </w:t>
      </w:r>
      <w:r w:rsidR="00FB482F" w:rsidRPr="00D80D14">
        <w:rPr>
          <w:rFonts w:ascii="Arial" w:hAnsi="Arial" w:cs="Arial"/>
          <w:sz w:val="20"/>
          <w:szCs w:val="20"/>
        </w:rPr>
        <w:t xml:space="preserve">benefício por essa terapia. </w:t>
      </w:r>
      <w:r w:rsidR="00730861" w:rsidRPr="00D80D14">
        <w:rPr>
          <w:rFonts w:ascii="Arial" w:hAnsi="Arial" w:cs="Arial"/>
          <w:sz w:val="20"/>
          <w:szCs w:val="20"/>
        </w:rPr>
        <w:t xml:space="preserve">Com isso, </w:t>
      </w:r>
      <w:r w:rsidR="00C7771E" w:rsidRPr="00D80D14">
        <w:rPr>
          <w:rFonts w:ascii="Arial" w:hAnsi="Arial" w:cs="Arial"/>
          <w:sz w:val="20"/>
          <w:szCs w:val="20"/>
        </w:rPr>
        <w:t xml:space="preserve">a partir dos dados séricos colhidos, calculamos </w:t>
      </w:r>
      <w:r w:rsidR="00730861" w:rsidRPr="00D80D14">
        <w:rPr>
          <w:rFonts w:ascii="Arial" w:hAnsi="Arial" w:cs="Arial"/>
          <w:sz w:val="20"/>
          <w:szCs w:val="20"/>
        </w:rPr>
        <w:t xml:space="preserve">os scores MELD e </w:t>
      </w:r>
      <w:proofErr w:type="spellStart"/>
      <w:r w:rsidR="00730861" w:rsidRPr="00D80D14">
        <w:rPr>
          <w:rFonts w:ascii="Arial" w:hAnsi="Arial" w:cs="Arial"/>
          <w:sz w:val="20"/>
          <w:szCs w:val="20"/>
        </w:rPr>
        <w:t>MELD-Na</w:t>
      </w:r>
      <w:proofErr w:type="spellEnd"/>
      <w:r w:rsidR="007B1515" w:rsidRPr="00D80D14">
        <w:rPr>
          <w:rFonts w:ascii="Arial" w:hAnsi="Arial" w:cs="Arial"/>
          <w:sz w:val="20"/>
          <w:szCs w:val="20"/>
        </w:rPr>
        <w:t xml:space="preserve"> </w:t>
      </w:r>
      <w:r w:rsidR="00A35E62" w:rsidRPr="00D80D14">
        <w:rPr>
          <w:rFonts w:ascii="Arial" w:hAnsi="Arial" w:cs="Arial"/>
          <w:sz w:val="20"/>
          <w:szCs w:val="20"/>
        </w:rPr>
        <w:t>para</w:t>
      </w:r>
      <w:r w:rsidR="007B1515" w:rsidRPr="00D80D14">
        <w:rPr>
          <w:rFonts w:ascii="Arial" w:hAnsi="Arial" w:cs="Arial"/>
          <w:sz w:val="20"/>
          <w:szCs w:val="20"/>
        </w:rPr>
        <w:t xml:space="preserve"> todos os pacientes no </w:t>
      </w:r>
      <w:proofErr w:type="spellStart"/>
      <w:r w:rsidR="007B1515" w:rsidRPr="00D80D14">
        <w:rPr>
          <w:rFonts w:ascii="Arial" w:hAnsi="Arial" w:cs="Arial"/>
          <w:sz w:val="20"/>
          <w:szCs w:val="20"/>
        </w:rPr>
        <w:t>pré</w:t>
      </w:r>
      <w:proofErr w:type="spellEnd"/>
      <w:r w:rsidR="007B1515" w:rsidRPr="00D80D14">
        <w:rPr>
          <w:rFonts w:ascii="Arial" w:hAnsi="Arial" w:cs="Arial"/>
          <w:sz w:val="20"/>
          <w:szCs w:val="20"/>
        </w:rPr>
        <w:t>-transplante e avaliamos a evolução</w:t>
      </w:r>
      <w:r w:rsidR="0036695B" w:rsidRPr="00D80D14">
        <w:rPr>
          <w:rFonts w:ascii="Arial" w:hAnsi="Arial" w:cs="Arial"/>
          <w:sz w:val="20"/>
          <w:szCs w:val="20"/>
        </w:rPr>
        <w:t>, com os dados de óbitos</w:t>
      </w:r>
      <w:r w:rsidR="004B3028" w:rsidRPr="00D80D14">
        <w:rPr>
          <w:rFonts w:ascii="Arial" w:hAnsi="Arial" w:cs="Arial"/>
          <w:sz w:val="20"/>
          <w:szCs w:val="20"/>
        </w:rPr>
        <w:t xml:space="preserve"> e IMV</w:t>
      </w:r>
      <w:r w:rsidR="0036695B" w:rsidRPr="00D80D14">
        <w:rPr>
          <w:rFonts w:ascii="Arial" w:hAnsi="Arial" w:cs="Arial"/>
          <w:sz w:val="20"/>
          <w:szCs w:val="20"/>
        </w:rPr>
        <w:t xml:space="preserve">, </w:t>
      </w:r>
      <w:r w:rsidR="00B12AE2">
        <w:rPr>
          <w:rFonts w:ascii="Arial" w:hAnsi="Arial" w:cs="Arial"/>
          <w:sz w:val="20"/>
          <w:szCs w:val="20"/>
        </w:rPr>
        <w:t>comparamos</w:t>
      </w:r>
      <w:r w:rsidR="0036695B" w:rsidRPr="00D80D14">
        <w:rPr>
          <w:rFonts w:ascii="Arial" w:hAnsi="Arial" w:cs="Arial"/>
          <w:sz w:val="20"/>
          <w:szCs w:val="20"/>
        </w:rPr>
        <w:t xml:space="preserve"> a sensibilidade d</w:t>
      </w:r>
      <w:r w:rsidR="004B3028" w:rsidRPr="00D80D14">
        <w:rPr>
          <w:rFonts w:ascii="Arial" w:hAnsi="Arial" w:cs="Arial"/>
          <w:sz w:val="20"/>
          <w:szCs w:val="20"/>
        </w:rPr>
        <w:t xml:space="preserve">esses scores para predizer </w:t>
      </w:r>
      <w:r w:rsidR="0099402D" w:rsidRPr="00D80D14">
        <w:rPr>
          <w:rFonts w:ascii="Arial" w:hAnsi="Arial" w:cs="Arial"/>
          <w:sz w:val="20"/>
          <w:szCs w:val="20"/>
        </w:rPr>
        <w:t>esses</w:t>
      </w:r>
      <w:r w:rsidR="004B3028" w:rsidRPr="00D80D14">
        <w:rPr>
          <w:rFonts w:ascii="Arial" w:hAnsi="Arial" w:cs="Arial"/>
          <w:sz w:val="20"/>
          <w:szCs w:val="20"/>
        </w:rPr>
        <w:t xml:space="preserve"> desfechos, conforme ilustrado na figura 1 e 2.</w:t>
      </w:r>
    </w:p>
    <w:p w14:paraId="686DF3C5" w14:textId="4D2A85CE" w:rsidR="00285571" w:rsidRPr="00D80D14" w:rsidRDefault="00504E9A">
      <w:pPr>
        <w:spacing w:line="360" w:lineRule="auto"/>
        <w:ind w:firstLine="720"/>
        <w:jc w:val="both"/>
        <w:rPr>
          <w:rFonts w:ascii="Arial" w:hAnsi="Arial" w:cs="Arial"/>
          <w:sz w:val="20"/>
          <w:szCs w:val="20"/>
        </w:rPr>
      </w:pPr>
      <w:r w:rsidRPr="00D80D14">
        <w:rPr>
          <w:rFonts w:ascii="Arial" w:hAnsi="Arial" w:cs="Arial"/>
          <w:sz w:val="20"/>
          <w:szCs w:val="20"/>
        </w:rPr>
        <w:t>Inicialmente,</w:t>
      </w:r>
      <w:r w:rsidR="0081494D">
        <w:rPr>
          <w:rFonts w:ascii="Arial" w:hAnsi="Arial" w:cs="Arial"/>
          <w:sz w:val="20"/>
          <w:szCs w:val="20"/>
        </w:rPr>
        <w:t xml:space="preserve"> na figura 1</w:t>
      </w:r>
      <w:r w:rsidR="002A477C">
        <w:rPr>
          <w:rFonts w:ascii="Arial" w:hAnsi="Arial" w:cs="Arial"/>
          <w:sz w:val="20"/>
          <w:szCs w:val="20"/>
        </w:rPr>
        <w:t>, o</w:t>
      </w:r>
      <w:r w:rsidR="00134748">
        <w:rPr>
          <w:rFonts w:ascii="Arial" w:hAnsi="Arial" w:cs="Arial"/>
          <w:sz w:val="20"/>
          <w:szCs w:val="20"/>
        </w:rPr>
        <w:t>s</w:t>
      </w:r>
      <w:r w:rsidR="002A477C">
        <w:rPr>
          <w:rFonts w:ascii="Arial" w:hAnsi="Arial" w:cs="Arial"/>
          <w:sz w:val="20"/>
          <w:szCs w:val="20"/>
        </w:rPr>
        <w:t xml:space="preserve"> </w:t>
      </w:r>
      <w:r w:rsidR="002A477C" w:rsidRPr="000359F3">
        <w:rPr>
          <w:rFonts w:ascii="Arial" w:hAnsi="Arial" w:cs="Arial"/>
          <w:bCs/>
          <w:sz w:val="20"/>
          <w:szCs w:val="20"/>
        </w:rPr>
        <w:t>valor</w:t>
      </w:r>
      <w:r w:rsidR="00134748">
        <w:rPr>
          <w:rFonts w:ascii="Arial" w:hAnsi="Arial" w:cs="Arial"/>
          <w:bCs/>
          <w:sz w:val="20"/>
          <w:szCs w:val="20"/>
        </w:rPr>
        <w:t>es</w:t>
      </w:r>
      <w:r w:rsidR="002A477C" w:rsidRPr="000359F3">
        <w:rPr>
          <w:rFonts w:ascii="Arial" w:hAnsi="Arial" w:cs="Arial"/>
          <w:bCs/>
          <w:sz w:val="20"/>
          <w:szCs w:val="20"/>
        </w:rPr>
        <w:t xml:space="preserve"> da</w:t>
      </w:r>
      <w:r w:rsidR="00134748">
        <w:rPr>
          <w:rFonts w:ascii="Arial" w:hAnsi="Arial" w:cs="Arial"/>
          <w:bCs/>
          <w:sz w:val="20"/>
          <w:szCs w:val="20"/>
        </w:rPr>
        <w:t>s</w:t>
      </w:r>
      <w:r w:rsidR="002A477C" w:rsidRPr="000359F3">
        <w:rPr>
          <w:rFonts w:ascii="Arial" w:hAnsi="Arial" w:cs="Arial"/>
          <w:bCs/>
          <w:sz w:val="20"/>
          <w:szCs w:val="20"/>
        </w:rPr>
        <w:t xml:space="preserve"> área</w:t>
      </w:r>
      <w:r w:rsidR="00134748">
        <w:rPr>
          <w:rFonts w:ascii="Arial" w:hAnsi="Arial" w:cs="Arial"/>
          <w:bCs/>
          <w:sz w:val="20"/>
          <w:szCs w:val="20"/>
        </w:rPr>
        <w:t>s</w:t>
      </w:r>
      <w:r w:rsidR="002A477C" w:rsidRPr="000359F3">
        <w:rPr>
          <w:rFonts w:ascii="Arial" w:hAnsi="Arial" w:cs="Arial"/>
          <w:bCs/>
          <w:sz w:val="20"/>
          <w:szCs w:val="20"/>
        </w:rPr>
        <w:t xml:space="preserve"> sob a</w:t>
      </w:r>
      <w:r w:rsidR="00134748">
        <w:rPr>
          <w:rFonts w:ascii="Arial" w:hAnsi="Arial" w:cs="Arial"/>
          <w:bCs/>
          <w:sz w:val="20"/>
          <w:szCs w:val="20"/>
        </w:rPr>
        <w:t>s</w:t>
      </w:r>
      <w:r w:rsidR="002A477C" w:rsidRPr="000359F3">
        <w:rPr>
          <w:rFonts w:ascii="Arial" w:hAnsi="Arial" w:cs="Arial"/>
          <w:bCs/>
          <w:sz w:val="20"/>
          <w:szCs w:val="20"/>
        </w:rPr>
        <w:t xml:space="preserve"> curva</w:t>
      </w:r>
      <w:r w:rsidR="00134748">
        <w:rPr>
          <w:rFonts w:ascii="Arial" w:hAnsi="Arial" w:cs="Arial"/>
          <w:bCs/>
          <w:sz w:val="20"/>
          <w:szCs w:val="20"/>
        </w:rPr>
        <w:t>s</w:t>
      </w:r>
      <w:r w:rsidR="00A26F54" w:rsidRPr="00D80D14">
        <w:rPr>
          <w:rFonts w:ascii="Arial" w:hAnsi="Arial" w:cs="Arial"/>
          <w:sz w:val="20"/>
          <w:szCs w:val="20"/>
        </w:rPr>
        <w:t xml:space="preserve"> </w:t>
      </w:r>
      <w:r w:rsidR="002A477C">
        <w:rPr>
          <w:rFonts w:ascii="Arial" w:hAnsi="Arial" w:cs="Arial"/>
          <w:sz w:val="20"/>
          <w:szCs w:val="20"/>
        </w:rPr>
        <w:t xml:space="preserve">ROC </w:t>
      </w:r>
      <w:r w:rsidR="00B01460" w:rsidRPr="00D80D14">
        <w:rPr>
          <w:rFonts w:ascii="Arial" w:hAnsi="Arial" w:cs="Arial"/>
          <w:sz w:val="20"/>
          <w:szCs w:val="20"/>
        </w:rPr>
        <w:t xml:space="preserve">não </w:t>
      </w:r>
      <w:r w:rsidR="002E31EF">
        <w:rPr>
          <w:rFonts w:ascii="Arial" w:hAnsi="Arial" w:cs="Arial"/>
          <w:sz w:val="20"/>
          <w:szCs w:val="20"/>
        </w:rPr>
        <w:t>mostr</w:t>
      </w:r>
      <w:r w:rsidR="00134748">
        <w:rPr>
          <w:rFonts w:ascii="Arial" w:hAnsi="Arial" w:cs="Arial"/>
          <w:sz w:val="20"/>
          <w:szCs w:val="20"/>
        </w:rPr>
        <w:t>aram</w:t>
      </w:r>
      <w:r w:rsidR="002E31EF">
        <w:rPr>
          <w:rFonts w:ascii="Arial" w:hAnsi="Arial" w:cs="Arial"/>
          <w:sz w:val="20"/>
          <w:szCs w:val="20"/>
        </w:rPr>
        <w:t xml:space="preserve"> qualquer</w:t>
      </w:r>
      <w:r w:rsidR="00B01460" w:rsidRPr="00D80D14">
        <w:rPr>
          <w:rFonts w:ascii="Arial" w:hAnsi="Arial" w:cs="Arial"/>
          <w:sz w:val="20"/>
          <w:szCs w:val="20"/>
        </w:rPr>
        <w:t xml:space="preserve"> </w:t>
      </w:r>
      <w:r w:rsidR="00574318" w:rsidRPr="00D80D14">
        <w:rPr>
          <w:rFonts w:ascii="Arial" w:hAnsi="Arial" w:cs="Arial"/>
          <w:sz w:val="20"/>
          <w:szCs w:val="20"/>
        </w:rPr>
        <w:t xml:space="preserve">diferença de sensibilidade </w:t>
      </w:r>
      <w:r w:rsidR="00D635A2" w:rsidRPr="00D80D14">
        <w:rPr>
          <w:rFonts w:ascii="Arial" w:hAnsi="Arial" w:cs="Arial"/>
          <w:sz w:val="20"/>
          <w:szCs w:val="20"/>
        </w:rPr>
        <w:t xml:space="preserve">entre os scores MELD e </w:t>
      </w:r>
      <w:proofErr w:type="spellStart"/>
      <w:r w:rsidR="00D635A2" w:rsidRPr="00D80D14">
        <w:rPr>
          <w:rFonts w:ascii="Arial" w:hAnsi="Arial" w:cs="Arial"/>
          <w:sz w:val="20"/>
          <w:szCs w:val="20"/>
        </w:rPr>
        <w:t>MELD-Na</w:t>
      </w:r>
      <w:proofErr w:type="spellEnd"/>
      <w:r w:rsidR="00D635A2" w:rsidRPr="00D80D14">
        <w:rPr>
          <w:rFonts w:ascii="Arial" w:hAnsi="Arial" w:cs="Arial"/>
          <w:sz w:val="20"/>
          <w:szCs w:val="20"/>
        </w:rPr>
        <w:t xml:space="preserve"> para</w:t>
      </w:r>
      <w:r w:rsidR="00A26F54" w:rsidRPr="00D80D14">
        <w:rPr>
          <w:rFonts w:ascii="Arial" w:hAnsi="Arial" w:cs="Arial"/>
          <w:sz w:val="20"/>
          <w:szCs w:val="20"/>
        </w:rPr>
        <w:t xml:space="preserve"> </w:t>
      </w:r>
      <w:r w:rsidR="004736ED" w:rsidRPr="00D80D14">
        <w:rPr>
          <w:rFonts w:ascii="Arial" w:hAnsi="Arial" w:cs="Arial"/>
          <w:sz w:val="20"/>
          <w:szCs w:val="20"/>
        </w:rPr>
        <w:t>invas</w:t>
      </w:r>
      <w:r w:rsidR="00670134" w:rsidRPr="00D80D14">
        <w:rPr>
          <w:rFonts w:ascii="Arial" w:hAnsi="Arial" w:cs="Arial"/>
          <w:sz w:val="20"/>
          <w:szCs w:val="20"/>
        </w:rPr>
        <w:t xml:space="preserve">ão microvascular em pacientes com </w:t>
      </w:r>
      <w:r w:rsidR="002368BD">
        <w:rPr>
          <w:rFonts w:ascii="Arial" w:hAnsi="Arial" w:cs="Arial"/>
          <w:sz w:val="20"/>
          <w:szCs w:val="20"/>
        </w:rPr>
        <w:t xml:space="preserve">CHC </w:t>
      </w:r>
      <w:r w:rsidR="008A4EB5">
        <w:rPr>
          <w:rFonts w:ascii="Arial" w:hAnsi="Arial" w:cs="Arial"/>
          <w:sz w:val="20"/>
          <w:szCs w:val="20"/>
        </w:rPr>
        <w:t>e</w:t>
      </w:r>
      <w:r w:rsidR="00926B69">
        <w:rPr>
          <w:rFonts w:ascii="Arial" w:hAnsi="Arial" w:cs="Arial"/>
          <w:sz w:val="20"/>
          <w:szCs w:val="20"/>
        </w:rPr>
        <w:t>, por análise dos resultados,</w:t>
      </w:r>
      <w:r w:rsidR="008A4EB5">
        <w:rPr>
          <w:rFonts w:ascii="Arial" w:hAnsi="Arial" w:cs="Arial"/>
          <w:sz w:val="20"/>
          <w:szCs w:val="20"/>
        </w:rPr>
        <w:t xml:space="preserve"> </w:t>
      </w:r>
      <w:r w:rsidR="00262814">
        <w:rPr>
          <w:rFonts w:ascii="Arial" w:hAnsi="Arial" w:cs="Arial"/>
          <w:sz w:val="20"/>
          <w:szCs w:val="20"/>
        </w:rPr>
        <w:t>demonstr</w:t>
      </w:r>
      <w:r w:rsidR="00134748">
        <w:rPr>
          <w:rFonts w:ascii="Arial" w:hAnsi="Arial" w:cs="Arial"/>
          <w:sz w:val="20"/>
          <w:szCs w:val="20"/>
        </w:rPr>
        <w:t>aram</w:t>
      </w:r>
      <w:r w:rsidR="00262814">
        <w:rPr>
          <w:rFonts w:ascii="Arial" w:hAnsi="Arial" w:cs="Arial"/>
          <w:sz w:val="20"/>
          <w:szCs w:val="20"/>
        </w:rPr>
        <w:t xml:space="preserve"> </w:t>
      </w:r>
      <w:r w:rsidR="008A4EB5" w:rsidRPr="000359F3">
        <w:rPr>
          <w:rFonts w:ascii="Arial" w:hAnsi="Arial" w:cs="Arial"/>
          <w:bCs/>
          <w:sz w:val="20"/>
          <w:szCs w:val="20"/>
        </w:rPr>
        <w:t xml:space="preserve">que as curvas para ambas as escalas não foram significativas </w:t>
      </w:r>
      <w:r w:rsidR="004418F1">
        <w:rPr>
          <w:rFonts w:ascii="Arial" w:hAnsi="Arial" w:cs="Arial"/>
          <w:bCs/>
          <w:sz w:val="20"/>
          <w:szCs w:val="20"/>
        </w:rPr>
        <w:t xml:space="preserve">– concluindo que </w:t>
      </w:r>
      <w:proofErr w:type="gramStart"/>
      <w:r w:rsidR="004418F1">
        <w:rPr>
          <w:rFonts w:ascii="Arial" w:hAnsi="Arial" w:cs="Arial"/>
          <w:bCs/>
          <w:sz w:val="20"/>
          <w:szCs w:val="20"/>
        </w:rPr>
        <w:t>ambos scores</w:t>
      </w:r>
      <w:proofErr w:type="gramEnd"/>
      <w:r w:rsidR="008A4EB5" w:rsidRPr="000359F3">
        <w:rPr>
          <w:rFonts w:ascii="Arial" w:hAnsi="Arial" w:cs="Arial"/>
          <w:bCs/>
          <w:sz w:val="20"/>
          <w:szCs w:val="20"/>
        </w:rPr>
        <w:t xml:space="preserve"> não podem ser utilizad</w:t>
      </w:r>
      <w:r w:rsidR="004418F1">
        <w:rPr>
          <w:rFonts w:ascii="Arial" w:hAnsi="Arial" w:cs="Arial"/>
          <w:bCs/>
          <w:sz w:val="20"/>
          <w:szCs w:val="20"/>
        </w:rPr>
        <w:t>o</w:t>
      </w:r>
      <w:r w:rsidR="008A4EB5" w:rsidRPr="000359F3">
        <w:rPr>
          <w:rFonts w:ascii="Arial" w:hAnsi="Arial" w:cs="Arial"/>
          <w:bCs/>
          <w:sz w:val="20"/>
          <w:szCs w:val="20"/>
        </w:rPr>
        <w:t>s para predizer IMV</w:t>
      </w:r>
      <w:r w:rsidR="00FF3ED0">
        <w:rPr>
          <w:rFonts w:ascii="Arial" w:hAnsi="Arial" w:cs="Arial"/>
          <w:bCs/>
          <w:sz w:val="20"/>
          <w:szCs w:val="20"/>
        </w:rPr>
        <w:t xml:space="preserve">, </w:t>
      </w:r>
      <w:r w:rsidR="00406359">
        <w:rPr>
          <w:rFonts w:ascii="Arial" w:hAnsi="Arial" w:cs="Arial"/>
          <w:bCs/>
          <w:sz w:val="20"/>
          <w:szCs w:val="20"/>
        </w:rPr>
        <w:t>visto que os valores ficaram abaixo de 0,5</w:t>
      </w:r>
      <w:r w:rsidR="002368BD">
        <w:rPr>
          <w:rFonts w:ascii="Arial" w:hAnsi="Arial" w:cs="Arial"/>
          <w:bCs/>
          <w:sz w:val="20"/>
          <w:szCs w:val="20"/>
        </w:rPr>
        <w:t>.</w:t>
      </w:r>
      <w:r w:rsidR="00670134" w:rsidRPr="00D80D14">
        <w:rPr>
          <w:rFonts w:ascii="Arial" w:hAnsi="Arial" w:cs="Arial"/>
          <w:sz w:val="20"/>
          <w:szCs w:val="20"/>
        </w:rPr>
        <w:t xml:space="preserve"> </w:t>
      </w:r>
      <w:r w:rsidR="00F947A4">
        <w:rPr>
          <w:rFonts w:ascii="Arial" w:hAnsi="Arial" w:cs="Arial"/>
          <w:bCs/>
          <w:sz w:val="20"/>
          <w:szCs w:val="20"/>
        </w:rPr>
        <w:t xml:space="preserve">Até o presente momento, não encontramos nenhum </w:t>
      </w:r>
      <w:r w:rsidR="0008156F">
        <w:rPr>
          <w:rFonts w:ascii="Arial" w:hAnsi="Arial" w:cs="Arial"/>
          <w:bCs/>
          <w:sz w:val="20"/>
          <w:szCs w:val="20"/>
        </w:rPr>
        <w:t>outro estudo com associação semelhante.</w:t>
      </w:r>
    </w:p>
    <w:p w14:paraId="4A55E2E9" w14:textId="34C7031A" w:rsidR="0064024F" w:rsidRDefault="00285571" w:rsidP="00E54B37">
      <w:pPr>
        <w:spacing w:line="360" w:lineRule="auto"/>
        <w:ind w:firstLine="720"/>
        <w:jc w:val="both"/>
        <w:rPr>
          <w:rFonts w:ascii="Arial" w:hAnsi="Arial" w:cs="Arial"/>
          <w:sz w:val="20"/>
          <w:szCs w:val="20"/>
        </w:rPr>
      </w:pPr>
      <w:r w:rsidRPr="00D80D14">
        <w:rPr>
          <w:rFonts w:ascii="Arial" w:hAnsi="Arial" w:cs="Arial"/>
          <w:sz w:val="20"/>
          <w:szCs w:val="20"/>
        </w:rPr>
        <w:t>N</w:t>
      </w:r>
      <w:r w:rsidR="002F1282" w:rsidRPr="00D80D14">
        <w:rPr>
          <w:rFonts w:ascii="Arial" w:hAnsi="Arial" w:cs="Arial"/>
          <w:sz w:val="20"/>
          <w:szCs w:val="20"/>
        </w:rPr>
        <w:t xml:space="preserve">o entanto, </w:t>
      </w:r>
      <w:r w:rsidR="00E54B37">
        <w:rPr>
          <w:rFonts w:ascii="Arial" w:hAnsi="Arial" w:cs="Arial"/>
          <w:sz w:val="20"/>
          <w:szCs w:val="20"/>
        </w:rPr>
        <w:t>c</w:t>
      </w:r>
      <w:r w:rsidR="005D25FA" w:rsidRPr="00D80D14">
        <w:rPr>
          <w:rFonts w:ascii="Arial" w:hAnsi="Arial" w:cs="Arial"/>
          <w:sz w:val="20"/>
          <w:szCs w:val="20"/>
        </w:rPr>
        <w:t xml:space="preserve">onforme </w:t>
      </w:r>
      <w:r w:rsidR="004F1ACE" w:rsidRPr="00D80D14">
        <w:rPr>
          <w:rFonts w:ascii="Arial" w:hAnsi="Arial" w:cs="Arial"/>
          <w:sz w:val="20"/>
          <w:szCs w:val="20"/>
        </w:rPr>
        <w:t>figura</w:t>
      </w:r>
      <w:r w:rsidR="005D25FA" w:rsidRPr="00D80D14">
        <w:rPr>
          <w:rFonts w:ascii="Arial" w:hAnsi="Arial" w:cs="Arial"/>
          <w:sz w:val="20"/>
          <w:szCs w:val="20"/>
        </w:rPr>
        <w:t xml:space="preserve"> 2, </w:t>
      </w:r>
      <w:r w:rsidR="00E7054C" w:rsidRPr="00D80D14">
        <w:rPr>
          <w:rFonts w:ascii="Arial" w:hAnsi="Arial" w:cs="Arial"/>
          <w:sz w:val="20"/>
          <w:szCs w:val="20"/>
        </w:rPr>
        <w:t xml:space="preserve">a curva ROC demonstrou que há </w:t>
      </w:r>
      <w:r w:rsidR="00487932" w:rsidRPr="00D80D14">
        <w:rPr>
          <w:rFonts w:ascii="Arial" w:hAnsi="Arial" w:cs="Arial"/>
          <w:sz w:val="20"/>
          <w:szCs w:val="20"/>
        </w:rPr>
        <w:t xml:space="preserve">maior sensibilidade </w:t>
      </w:r>
      <w:r w:rsidR="004B61C9" w:rsidRPr="00D80D14">
        <w:rPr>
          <w:rFonts w:ascii="Arial" w:hAnsi="Arial" w:cs="Arial"/>
          <w:sz w:val="20"/>
          <w:szCs w:val="20"/>
        </w:rPr>
        <w:t xml:space="preserve">do </w:t>
      </w:r>
      <w:proofErr w:type="spellStart"/>
      <w:r w:rsidR="004B61C9" w:rsidRPr="00D80D14">
        <w:rPr>
          <w:rFonts w:ascii="Arial" w:hAnsi="Arial" w:cs="Arial"/>
          <w:sz w:val="20"/>
          <w:szCs w:val="20"/>
        </w:rPr>
        <w:t>MELD-Na</w:t>
      </w:r>
      <w:proofErr w:type="spellEnd"/>
      <w:r w:rsidR="004B61C9" w:rsidRPr="00D80D14">
        <w:rPr>
          <w:rFonts w:ascii="Arial" w:hAnsi="Arial" w:cs="Arial"/>
          <w:sz w:val="20"/>
          <w:szCs w:val="20"/>
        </w:rPr>
        <w:t xml:space="preserve"> sobre o MELD </w:t>
      </w:r>
      <w:r w:rsidR="00761565" w:rsidRPr="00D80D14">
        <w:rPr>
          <w:rFonts w:ascii="Arial" w:hAnsi="Arial" w:cs="Arial"/>
          <w:sz w:val="20"/>
          <w:szCs w:val="20"/>
        </w:rPr>
        <w:t xml:space="preserve">para </w:t>
      </w:r>
      <w:r w:rsidR="00F8606F" w:rsidRPr="00D80D14">
        <w:rPr>
          <w:rFonts w:ascii="Arial" w:hAnsi="Arial" w:cs="Arial"/>
          <w:sz w:val="20"/>
          <w:szCs w:val="20"/>
        </w:rPr>
        <w:t xml:space="preserve">determinar óbito </w:t>
      </w:r>
      <w:r w:rsidR="006D4559" w:rsidRPr="00D80D14">
        <w:rPr>
          <w:rFonts w:ascii="Arial" w:hAnsi="Arial" w:cs="Arial"/>
          <w:sz w:val="20"/>
          <w:szCs w:val="20"/>
        </w:rPr>
        <w:t>em pacientes com CHC, considerando um mesmo ponto de corte</w:t>
      </w:r>
      <w:r w:rsidR="00681FCE" w:rsidRPr="00D80D14">
        <w:rPr>
          <w:rFonts w:ascii="Arial" w:hAnsi="Arial" w:cs="Arial"/>
          <w:sz w:val="20"/>
          <w:szCs w:val="20"/>
        </w:rPr>
        <w:t xml:space="preserve"> para ambos</w:t>
      </w:r>
      <w:r w:rsidR="006D4559" w:rsidRPr="00D80D14">
        <w:rPr>
          <w:rFonts w:ascii="Arial" w:hAnsi="Arial" w:cs="Arial"/>
          <w:sz w:val="20"/>
          <w:szCs w:val="20"/>
        </w:rPr>
        <w:t xml:space="preserve">. </w:t>
      </w:r>
      <w:r w:rsidR="00C0624D" w:rsidRPr="00D80D14">
        <w:rPr>
          <w:rFonts w:ascii="Arial" w:hAnsi="Arial" w:cs="Arial"/>
          <w:sz w:val="20"/>
          <w:szCs w:val="20"/>
        </w:rPr>
        <w:t>Outros estudos</w:t>
      </w:r>
      <w:r w:rsidR="00A56236" w:rsidRPr="00D80D14">
        <w:rPr>
          <w:rFonts w:ascii="Arial" w:hAnsi="Arial" w:cs="Arial"/>
          <w:sz w:val="20"/>
          <w:szCs w:val="20"/>
        </w:rPr>
        <w:t xml:space="preserve"> já evidenciaram </w:t>
      </w:r>
      <w:r w:rsidR="006358D2" w:rsidRPr="00D80D14">
        <w:rPr>
          <w:rFonts w:ascii="Arial" w:hAnsi="Arial" w:cs="Arial"/>
          <w:sz w:val="20"/>
          <w:szCs w:val="20"/>
        </w:rPr>
        <w:t xml:space="preserve">que o score </w:t>
      </w:r>
      <w:proofErr w:type="spellStart"/>
      <w:r w:rsidR="006358D2" w:rsidRPr="00D80D14">
        <w:rPr>
          <w:rFonts w:ascii="Arial" w:hAnsi="Arial" w:cs="Arial"/>
          <w:sz w:val="20"/>
          <w:szCs w:val="20"/>
        </w:rPr>
        <w:t>MELD-Na</w:t>
      </w:r>
      <w:proofErr w:type="spellEnd"/>
      <w:r w:rsidR="006358D2" w:rsidRPr="00D80D14">
        <w:rPr>
          <w:rFonts w:ascii="Arial" w:hAnsi="Arial" w:cs="Arial"/>
          <w:sz w:val="20"/>
          <w:szCs w:val="20"/>
        </w:rPr>
        <w:t xml:space="preserve"> é mais sensível </w:t>
      </w:r>
      <w:r w:rsidR="000F411C" w:rsidRPr="00D80D14">
        <w:rPr>
          <w:rFonts w:ascii="Arial" w:hAnsi="Arial" w:cs="Arial"/>
          <w:sz w:val="20"/>
          <w:szCs w:val="20"/>
        </w:rPr>
        <w:t xml:space="preserve">para determinar gravidade e </w:t>
      </w:r>
      <w:r w:rsidR="006857C0" w:rsidRPr="00D80D14">
        <w:rPr>
          <w:rFonts w:ascii="Arial" w:hAnsi="Arial" w:cs="Arial"/>
          <w:sz w:val="20"/>
          <w:szCs w:val="20"/>
        </w:rPr>
        <w:t xml:space="preserve">prioridade na fila </w:t>
      </w:r>
      <w:r w:rsidR="0038429B" w:rsidRPr="00D80D14">
        <w:rPr>
          <w:rFonts w:ascii="Arial" w:hAnsi="Arial" w:cs="Arial"/>
          <w:sz w:val="20"/>
          <w:szCs w:val="20"/>
        </w:rPr>
        <w:t xml:space="preserve">do </w:t>
      </w:r>
      <w:r w:rsidR="006857C0" w:rsidRPr="00D80D14">
        <w:rPr>
          <w:rFonts w:ascii="Arial" w:hAnsi="Arial" w:cs="Arial"/>
          <w:sz w:val="20"/>
          <w:szCs w:val="20"/>
        </w:rPr>
        <w:t>transplante</w:t>
      </w:r>
      <w:r w:rsidR="00E638D8">
        <w:rPr>
          <w:rFonts w:ascii="Arial" w:hAnsi="Arial" w:cs="Arial"/>
          <w:sz w:val="20"/>
          <w:szCs w:val="20"/>
        </w:rPr>
        <w:t xml:space="preserve"> </w:t>
      </w:r>
      <w:r w:rsidR="00DB0085" w:rsidRPr="00B376AE">
        <w:rPr>
          <w:rFonts w:ascii="Arial" w:hAnsi="Arial" w:cs="Arial"/>
          <w:sz w:val="20"/>
          <w:szCs w:val="20"/>
        </w:rPr>
        <w:fldChar w:fldCharType="begin" w:fldLock="1"/>
      </w:r>
      <w:r w:rsidR="00210454" w:rsidRPr="003E6211">
        <w:rPr>
          <w:rFonts w:ascii="Arial" w:hAnsi="Arial" w:cs="Arial"/>
          <w:sz w:val="20"/>
          <w:szCs w:val="20"/>
        </w:rPr>
        <w:instrText>ADDIN CSL_CITATION {"citationItems":[{"id":"ITEM-1","itemData":{"DOI":"10.1590/0102-672020190001e1460","ISSN":"23176326","PMID":"31826087","abstract":"Background: Serum sodium was incorporated to MELD score for the allocation of liver transplantation In the USA in 2016. Hyponatremia significantly increased the efficacy of the score to predict mortality on the waiting list. Such modification was not adopted in Brazil. Aim: To carry out a simulation using MELD-Na as waiting list ordering criteria in the state of Paraná and to compare to the list ordered according to MELD score. Methods: The study used data of 122 patients waiting for hepatic transplantation and listed at Parana´s Transplantation Central. Two classificatory lists were set up, one with MELD, the current qualifying criteria, and another with MELD-Na. We analyzed the changes on classification comparing these two lists. Results: Among all patients, 95.1% of the participants changed position, 30.3% showed improvement, 64.8% presented worsening and 4.9% maintained their position. There were 19 patients with hyponatremia, of whom 94.7% presented a change of position, and in all of them there was an improvement of position. One hundred and one patients presented sodium within the normal range and 95% of them presented a change of position: Improved placement was observed in 18.8%, and worsened placement in 76.2%. Two patients presented hypernatremia and changed their position, both worsening the placement. There was a significant different behavior on waiting list according to sodium serum level when MELDNa was applied. Conclusion: The inclusion of serum sodium caused a great impact in the classification, bringing benefit to patients with hyponatremia.","author":[{"dropping-particle":"","family":"FREITAS","given":"Alexandre Coutinho Teixeira","non-dropping-particle":"de","parse-names":false,"suffix":""},{"dropping-particle":"","family":"Rampim","given":"Aline Tatiane","non-dropping-particle":"","parse-names":false,"suffix":""},{"dropping-particle":"","family":"Nunes","given":"Carolline Popovicz","non-dropping-particle":"","parse-names":false,"suffix":""},{"dropping-particle":"","family":"Coelho","given":"Júlio Cezar Uili","non-dropping-particle":"","parse-names":false,"suffix":""}],"container-title":"Arquivos Brasileiros de Cirurgia Digestiva","id":"ITEM-1","issue":"3","issued":{"date-parts":[["2019"]]},"language":"eng","page":"e1460","title":"Impact of meld sodium on liver transplantation waiting list","type":"article-journal","volume":"32"},"uris":["http://www.mendeley.com/documents/?uuid=ea564e72-b148-44db-967e-88c95976e645"]},{"id":"ITEM-2","itemData":{"DOI":"10.1056/NEJMoa0801209","ISSN":"15334406","PMID":"18768945","abstract":"BACKGROUND: Under the current liver-transplantation policy, donor organs are offered to patients with the highest risk of death. METHODS: Using data derived from all adult candidates for primary liver transplantation who were registered with the Organ Procurement and Transplantation Network in 2005 and 2006, we developed and validated a multivariable survival model to predict mortality at 90 days after registration. The predictor variable was the Model for End-Stage Liver Disease (MELD) score with and without the addition of the serum sodium concentration. The MELD score (on a scale of 6 to 40, with higher values indicating more severe disease) is calculated on the basis of the serum bilirubin and creatinine concentrations and the international normalized ratio for the prothrombin time. RESULTS: In 2005, there were 6769 registrants, including 1781 who underwent liver transplantation and 422 who died within 90 days after registration on the waiting list. Both the MELD score and the serum sodium concentration were significantly associated with mortality (hazard ratio for death, 1.21 per MELD point and 1.05 per 1-unit decrease in the serum sodium concentration for values between 125 and 140 mmol per liter; P&lt;0.001 for both variables). Furthermore, a significant interaction was found between the MELD score and the serum sodium concentration, indicating that the effect of the serum sodium concentration was greater in patients with a low MELD score. When applied to the data from 2006, when 477 patients died within 3 months after registration on the waiting list, the combination of the MELD score and the serum sodium concentration was considerably higher than the MELD score alone in 32 patients who died (7%). Thus, assignment of priority according to the MELD score combined with the serum sodium concentration might have resulted in transplantation and prevented death. CONCLUSIONS: This population-wide study shows that the MELD score and the serum sodium concentration are important predictors of survival among candidates for liver transplantation. Copyright © 2008 Massachusetts Medical Society.","author":[{"dropping-particle":"","family":"Kim","given":"W. Ray","non-dropping-particle":"","parse-names":false,"suffix":""},{"dropping-particle":"","family":"Biggins","given":"Scott W.","non-dropping-particle":"","parse-names":false,"suffix":""},{"dropping-particle":"","family":"Kremers","given":"Walter K.","non-dropping-particle":"","parse-names":false,"suffix":""},{"dropping-particle":"","family":"Wiesner","given":"Russell H.","non-dropping-particle":"","parse-names":false,"suffix":""},{"dropping-particle":"","family":"Kamath","given":"Patrick S.","non-dropping-particle":"","parse-names":false,"suffix":""},{"dropping-particle":"","family":"Benson","given":"Joanne T.","non-dropping-particle":"","parse-names":false,"suffix":""},{"dropping-particle":"","family":"Edwards","given":"Erick","non-dropping-particle":"","parse-names":false,"suffix":""},{"dropping-particle":"","family":"Therneau","given":"Terry M.","non-dropping-particle":"","parse-names":false,"suffix":""}],"container-title":"New England Journal of Medicine","id":"ITEM-2","issue":"10","issued":{"date-parts":[["2008"]]},"page":"1018-1026","title":"Hyponatremia and mortality among patients on the liver-transplant waiting list","type":"article-journal","volume":"359"},"uris":["http://www.mendeley.com/documents/?uuid=63ac342f-4b29-46c6-b391-a0466e8fb835"]}],"mendeley":{"formattedCitation":"(20,38)","plainTextFormattedCitation":"(20,38)","previouslyFormattedCitation":"(20,38)"},"properties":{"noteIndex":0},"schema":"https://github.com/citation-style-language/schema/raw/master/csl-citation.json"}</w:instrText>
      </w:r>
      <w:r w:rsidR="00DB0085" w:rsidRPr="00221347">
        <w:rPr>
          <w:rFonts w:ascii="Arial" w:hAnsi="Arial" w:cs="Arial"/>
          <w:sz w:val="20"/>
          <w:szCs w:val="20"/>
        </w:rPr>
        <w:fldChar w:fldCharType="separate"/>
      </w:r>
      <w:r w:rsidR="00DB0085" w:rsidRPr="003E6211">
        <w:rPr>
          <w:rFonts w:ascii="Arial" w:hAnsi="Arial" w:cs="Arial"/>
          <w:noProof/>
          <w:sz w:val="20"/>
          <w:szCs w:val="20"/>
        </w:rPr>
        <w:t>(20,38)</w:t>
      </w:r>
      <w:r w:rsidR="00DB0085" w:rsidRPr="00B376AE">
        <w:rPr>
          <w:rFonts w:ascii="Arial" w:hAnsi="Arial" w:cs="Arial"/>
          <w:sz w:val="20"/>
          <w:szCs w:val="20"/>
        </w:rPr>
        <w:fldChar w:fldCharType="end"/>
      </w:r>
      <w:r w:rsidR="006857C0" w:rsidRPr="003E6211">
        <w:rPr>
          <w:rFonts w:ascii="Arial" w:hAnsi="Arial" w:cs="Arial"/>
          <w:sz w:val="20"/>
          <w:szCs w:val="20"/>
        </w:rPr>
        <w:t>,</w:t>
      </w:r>
      <w:r w:rsidR="006857C0" w:rsidRPr="00D80D14">
        <w:rPr>
          <w:rFonts w:ascii="Arial" w:hAnsi="Arial" w:cs="Arial"/>
          <w:sz w:val="20"/>
          <w:szCs w:val="20"/>
        </w:rPr>
        <w:t xml:space="preserve"> </w:t>
      </w:r>
      <w:r w:rsidR="00351DE6">
        <w:rPr>
          <w:rFonts w:ascii="Arial" w:hAnsi="Arial" w:cs="Arial"/>
          <w:sz w:val="20"/>
          <w:szCs w:val="20"/>
        </w:rPr>
        <w:t>e</w:t>
      </w:r>
      <w:r w:rsidR="006857C0" w:rsidRPr="00D80D14">
        <w:rPr>
          <w:rFonts w:ascii="Arial" w:hAnsi="Arial" w:cs="Arial"/>
          <w:sz w:val="20"/>
          <w:szCs w:val="20"/>
        </w:rPr>
        <w:t xml:space="preserve"> </w:t>
      </w:r>
      <w:r w:rsidR="00BA15BE" w:rsidRPr="00D80D14">
        <w:rPr>
          <w:rFonts w:ascii="Arial" w:hAnsi="Arial" w:cs="Arial"/>
          <w:sz w:val="20"/>
          <w:szCs w:val="20"/>
        </w:rPr>
        <w:t xml:space="preserve">em </w:t>
      </w:r>
      <w:r w:rsidR="006857C0" w:rsidRPr="00D80D14">
        <w:rPr>
          <w:rFonts w:ascii="Arial" w:hAnsi="Arial" w:cs="Arial"/>
          <w:sz w:val="20"/>
          <w:szCs w:val="20"/>
        </w:rPr>
        <w:t>no</w:t>
      </w:r>
      <w:r w:rsidR="00F111A5" w:rsidRPr="00D80D14">
        <w:rPr>
          <w:rFonts w:ascii="Arial" w:hAnsi="Arial" w:cs="Arial"/>
          <w:sz w:val="20"/>
          <w:szCs w:val="20"/>
        </w:rPr>
        <w:t>sso</w:t>
      </w:r>
      <w:r w:rsidR="006857C0" w:rsidRPr="00D80D14">
        <w:rPr>
          <w:rFonts w:ascii="Arial" w:hAnsi="Arial" w:cs="Arial"/>
          <w:sz w:val="20"/>
          <w:szCs w:val="20"/>
        </w:rPr>
        <w:t xml:space="preserve"> estudo, </w:t>
      </w:r>
      <w:r w:rsidR="00DE6252" w:rsidRPr="00D80D14">
        <w:rPr>
          <w:rFonts w:ascii="Arial" w:hAnsi="Arial" w:cs="Arial"/>
          <w:sz w:val="20"/>
          <w:szCs w:val="20"/>
        </w:rPr>
        <w:t>mais que isso</w:t>
      </w:r>
      <w:r w:rsidR="006857C0" w:rsidRPr="00D80D14">
        <w:rPr>
          <w:rFonts w:ascii="Arial" w:hAnsi="Arial" w:cs="Arial"/>
          <w:sz w:val="20"/>
          <w:szCs w:val="20"/>
        </w:rPr>
        <w:t xml:space="preserve">, </w:t>
      </w:r>
      <w:r w:rsidR="00F111A5" w:rsidRPr="00D80D14">
        <w:rPr>
          <w:rFonts w:ascii="Arial" w:hAnsi="Arial" w:cs="Arial"/>
          <w:sz w:val="20"/>
          <w:szCs w:val="20"/>
        </w:rPr>
        <w:t>avali</w:t>
      </w:r>
      <w:r w:rsidR="00BA15BE" w:rsidRPr="00D80D14">
        <w:rPr>
          <w:rFonts w:ascii="Arial" w:hAnsi="Arial" w:cs="Arial"/>
          <w:sz w:val="20"/>
          <w:szCs w:val="20"/>
        </w:rPr>
        <w:t>amos</w:t>
      </w:r>
      <w:r w:rsidR="00F111A5" w:rsidRPr="00D80D14">
        <w:rPr>
          <w:rFonts w:ascii="Arial" w:hAnsi="Arial" w:cs="Arial"/>
          <w:sz w:val="20"/>
          <w:szCs w:val="20"/>
        </w:rPr>
        <w:t xml:space="preserve"> </w:t>
      </w:r>
      <w:r w:rsidR="00DE6252" w:rsidRPr="00D80D14">
        <w:rPr>
          <w:rFonts w:ascii="Arial" w:hAnsi="Arial" w:cs="Arial"/>
          <w:sz w:val="20"/>
          <w:szCs w:val="20"/>
        </w:rPr>
        <w:t xml:space="preserve">que há íntima relação entre os valores de </w:t>
      </w:r>
      <w:proofErr w:type="spellStart"/>
      <w:r w:rsidR="004F7CD3" w:rsidRPr="00D80D14">
        <w:rPr>
          <w:rFonts w:ascii="Arial" w:hAnsi="Arial" w:cs="Arial"/>
          <w:sz w:val="20"/>
          <w:szCs w:val="20"/>
        </w:rPr>
        <w:t>MELD-Na</w:t>
      </w:r>
      <w:proofErr w:type="spellEnd"/>
      <w:r w:rsidR="004F7CD3" w:rsidRPr="00D80D14">
        <w:rPr>
          <w:rFonts w:ascii="Arial" w:hAnsi="Arial" w:cs="Arial"/>
          <w:sz w:val="20"/>
          <w:szCs w:val="20"/>
        </w:rPr>
        <w:t xml:space="preserve"> e o evento óbito</w:t>
      </w:r>
      <w:r w:rsidR="00BA15BE" w:rsidRPr="00D80D14">
        <w:rPr>
          <w:rFonts w:ascii="Arial" w:hAnsi="Arial" w:cs="Arial"/>
          <w:sz w:val="20"/>
          <w:szCs w:val="20"/>
        </w:rPr>
        <w:t xml:space="preserve"> </w:t>
      </w:r>
      <w:r w:rsidR="00C93AAB" w:rsidRPr="00D80D14">
        <w:rPr>
          <w:rFonts w:ascii="Arial" w:hAnsi="Arial" w:cs="Arial"/>
          <w:sz w:val="20"/>
          <w:szCs w:val="20"/>
        </w:rPr>
        <w:t>nos pós</w:t>
      </w:r>
      <w:r w:rsidR="00BA15BE" w:rsidRPr="00D80D14">
        <w:rPr>
          <w:rFonts w:ascii="Arial" w:hAnsi="Arial" w:cs="Arial"/>
          <w:sz w:val="20"/>
          <w:szCs w:val="20"/>
        </w:rPr>
        <w:t xml:space="preserve"> transplante. </w:t>
      </w:r>
      <w:r w:rsidR="00C93AAB" w:rsidRPr="00D80D14">
        <w:rPr>
          <w:rFonts w:ascii="Arial" w:hAnsi="Arial" w:cs="Arial"/>
          <w:sz w:val="20"/>
          <w:szCs w:val="20"/>
        </w:rPr>
        <w:t>A partir dessa análise, podemos inferir que esse score também é útil para avaliar prognóstico</w:t>
      </w:r>
      <w:r w:rsidR="00DD2B3E" w:rsidRPr="00D80D14">
        <w:rPr>
          <w:rFonts w:ascii="Arial" w:hAnsi="Arial" w:cs="Arial"/>
          <w:sz w:val="20"/>
          <w:szCs w:val="20"/>
        </w:rPr>
        <w:t xml:space="preserve"> nos </w:t>
      </w:r>
      <w:r w:rsidR="000176B3" w:rsidRPr="00D80D14">
        <w:rPr>
          <w:rFonts w:ascii="Arial" w:hAnsi="Arial" w:cs="Arial"/>
          <w:sz w:val="20"/>
          <w:szCs w:val="20"/>
        </w:rPr>
        <w:t>pós-operatório</w:t>
      </w:r>
      <w:r w:rsidR="005F6779" w:rsidRPr="00D80D14">
        <w:rPr>
          <w:rFonts w:ascii="Arial" w:hAnsi="Arial" w:cs="Arial"/>
          <w:sz w:val="20"/>
          <w:szCs w:val="20"/>
        </w:rPr>
        <w:t xml:space="preserve">, </w:t>
      </w:r>
      <w:r w:rsidR="001A1D07" w:rsidRPr="00D80D14">
        <w:rPr>
          <w:rFonts w:ascii="Arial" w:hAnsi="Arial" w:cs="Arial"/>
          <w:sz w:val="20"/>
          <w:szCs w:val="20"/>
        </w:rPr>
        <w:t xml:space="preserve">sendo </w:t>
      </w:r>
      <w:r w:rsidR="008F3297" w:rsidRPr="00D80D14">
        <w:rPr>
          <w:rFonts w:ascii="Arial" w:hAnsi="Arial" w:cs="Arial"/>
          <w:sz w:val="20"/>
          <w:szCs w:val="20"/>
        </w:rPr>
        <w:t>mais sensível que o MELD isolado</w:t>
      </w:r>
      <w:r w:rsidR="00FD12CA">
        <w:rPr>
          <w:rFonts w:ascii="Arial" w:hAnsi="Arial" w:cs="Arial"/>
          <w:sz w:val="20"/>
          <w:szCs w:val="20"/>
        </w:rPr>
        <w:t xml:space="preserve">, apesar de </w:t>
      </w:r>
      <w:proofErr w:type="gramStart"/>
      <w:r w:rsidR="00FD12CA">
        <w:rPr>
          <w:rFonts w:ascii="Arial" w:hAnsi="Arial" w:cs="Arial"/>
          <w:sz w:val="20"/>
          <w:szCs w:val="20"/>
        </w:rPr>
        <w:t>ambos scores</w:t>
      </w:r>
      <w:proofErr w:type="gramEnd"/>
      <w:r w:rsidR="00FD12CA">
        <w:rPr>
          <w:rFonts w:ascii="Arial" w:hAnsi="Arial" w:cs="Arial"/>
          <w:sz w:val="20"/>
          <w:szCs w:val="20"/>
        </w:rPr>
        <w:t xml:space="preserve"> apresentarem significância estatística para este fim sob</w:t>
      </w:r>
      <w:r w:rsidR="005A29C6">
        <w:rPr>
          <w:rFonts w:ascii="Arial" w:hAnsi="Arial" w:cs="Arial"/>
          <w:sz w:val="20"/>
          <w:szCs w:val="20"/>
        </w:rPr>
        <w:t xml:space="preserve"> </w:t>
      </w:r>
      <w:r w:rsidR="0064024F">
        <w:rPr>
          <w:rFonts w:ascii="Arial" w:hAnsi="Arial" w:cs="Arial"/>
          <w:sz w:val="20"/>
          <w:szCs w:val="20"/>
        </w:rPr>
        <w:t xml:space="preserve">nossa </w:t>
      </w:r>
      <w:r w:rsidR="005A29C6">
        <w:rPr>
          <w:rFonts w:ascii="Arial" w:hAnsi="Arial" w:cs="Arial"/>
          <w:sz w:val="20"/>
          <w:szCs w:val="20"/>
        </w:rPr>
        <w:t>análise</w:t>
      </w:r>
      <w:r w:rsidR="0064024F">
        <w:rPr>
          <w:rFonts w:ascii="Arial" w:hAnsi="Arial" w:cs="Arial"/>
          <w:sz w:val="20"/>
          <w:szCs w:val="20"/>
        </w:rPr>
        <w:t xml:space="preserve"> estatística. </w:t>
      </w:r>
    </w:p>
    <w:p w14:paraId="1CCDECFF" w14:textId="77777777" w:rsidR="004F11B8" w:rsidRDefault="004F11B8" w:rsidP="00221347">
      <w:pPr>
        <w:spacing w:line="360" w:lineRule="auto"/>
        <w:jc w:val="both"/>
        <w:rPr>
          <w:rFonts w:ascii="Arial" w:hAnsi="Arial" w:cs="Arial"/>
          <w:sz w:val="20"/>
          <w:szCs w:val="20"/>
        </w:rPr>
      </w:pPr>
    </w:p>
    <w:p w14:paraId="10928332" w14:textId="7458909A" w:rsidR="007D7DBF" w:rsidRDefault="00135B8E" w:rsidP="00E54B37">
      <w:pPr>
        <w:spacing w:line="360" w:lineRule="auto"/>
        <w:ind w:firstLine="720"/>
        <w:jc w:val="both"/>
        <w:rPr>
          <w:rFonts w:ascii="Arial" w:hAnsi="Arial" w:cs="Arial"/>
          <w:sz w:val="20"/>
          <w:szCs w:val="20"/>
        </w:rPr>
      </w:pPr>
      <w:r>
        <w:rPr>
          <w:rFonts w:ascii="Arial" w:hAnsi="Arial" w:cs="Arial"/>
          <w:sz w:val="20"/>
          <w:szCs w:val="20"/>
        </w:rPr>
        <w:lastRenderedPageBreak/>
        <w:t xml:space="preserve">Nosso </w:t>
      </w:r>
      <w:r w:rsidR="003075C0">
        <w:rPr>
          <w:rFonts w:ascii="Arial" w:hAnsi="Arial" w:cs="Arial"/>
          <w:sz w:val="20"/>
          <w:szCs w:val="20"/>
        </w:rPr>
        <w:t>análise,</w:t>
      </w:r>
      <w:r w:rsidR="0064024F">
        <w:rPr>
          <w:rFonts w:ascii="Arial" w:hAnsi="Arial" w:cs="Arial"/>
          <w:sz w:val="20"/>
          <w:szCs w:val="20"/>
        </w:rPr>
        <w:t xml:space="preserve"> além disso,</w:t>
      </w:r>
      <w:r w:rsidR="000A5F54">
        <w:rPr>
          <w:rFonts w:ascii="Arial" w:hAnsi="Arial" w:cs="Arial"/>
          <w:sz w:val="20"/>
          <w:szCs w:val="20"/>
        </w:rPr>
        <w:t xml:space="preserve"> </w:t>
      </w:r>
      <w:r w:rsidR="003075C0">
        <w:rPr>
          <w:rFonts w:ascii="Arial" w:hAnsi="Arial" w:cs="Arial"/>
          <w:sz w:val="20"/>
          <w:szCs w:val="20"/>
        </w:rPr>
        <w:t xml:space="preserve">é semelhante </w:t>
      </w:r>
      <w:r w:rsidR="00E40BF7">
        <w:rPr>
          <w:rFonts w:ascii="Arial" w:hAnsi="Arial" w:cs="Arial"/>
          <w:sz w:val="20"/>
          <w:szCs w:val="20"/>
        </w:rPr>
        <w:t>à</w:t>
      </w:r>
      <w:r w:rsidR="003075C0">
        <w:rPr>
          <w:rFonts w:ascii="Arial" w:hAnsi="Arial" w:cs="Arial"/>
          <w:sz w:val="20"/>
          <w:szCs w:val="20"/>
        </w:rPr>
        <w:t xml:space="preserve"> de</w:t>
      </w:r>
      <w:r>
        <w:rPr>
          <w:rFonts w:ascii="Arial" w:hAnsi="Arial" w:cs="Arial"/>
          <w:sz w:val="20"/>
          <w:szCs w:val="20"/>
        </w:rPr>
        <w:t xml:space="preserve"> </w:t>
      </w:r>
      <w:proofErr w:type="spellStart"/>
      <w:r w:rsidR="00B90B99" w:rsidRPr="00221347">
        <w:rPr>
          <w:rFonts w:ascii="Arial" w:hAnsi="Arial" w:cs="Arial"/>
          <w:sz w:val="20"/>
          <w:szCs w:val="20"/>
        </w:rPr>
        <w:t>Aranzana</w:t>
      </w:r>
      <w:proofErr w:type="spellEnd"/>
      <w:r w:rsidR="00B90B99" w:rsidRPr="00221347">
        <w:rPr>
          <w:rFonts w:ascii="Arial" w:hAnsi="Arial" w:cs="Arial"/>
          <w:sz w:val="20"/>
          <w:szCs w:val="20"/>
        </w:rPr>
        <w:t xml:space="preserve"> et. Al.</w:t>
      </w:r>
      <w:r w:rsidR="00210454">
        <w:rPr>
          <w:rFonts w:ascii="Arial" w:hAnsi="Arial" w:cs="Arial"/>
          <w:sz w:val="20"/>
          <w:szCs w:val="20"/>
        </w:rPr>
        <w:t xml:space="preserve"> </w:t>
      </w:r>
      <w:r w:rsidR="00210454">
        <w:rPr>
          <w:rFonts w:ascii="Arial" w:hAnsi="Arial" w:cs="Arial"/>
          <w:sz w:val="20"/>
          <w:szCs w:val="20"/>
        </w:rPr>
        <w:fldChar w:fldCharType="begin" w:fldLock="1"/>
      </w:r>
      <w:r w:rsidR="00210454">
        <w:rPr>
          <w:rFonts w:ascii="Arial" w:hAnsi="Arial" w:cs="Arial"/>
          <w:sz w:val="20"/>
          <w:szCs w:val="20"/>
        </w:rPr>
        <w:instrText>ADDIN CSL_CITATION {"citationItems":[{"id":"ITEM-1","itemData":{"DOI":"10.6061/clinics/2015(06)05","ISSN":"18075932","PMID":"26106959","abstract":"Objectives: Liver transplantation has not increased with the number of patients requiring this treatment, increasing deaths among those on the waiting list. Models predicting post-transplantation survival, including the Model for Liver Transplantation Survival and the Donor Risk Index, have been created. Our aim was to compare the performance of the Model for End-Stage Liver Disease, the Model for Liver Transplantation Survival and the Donor Risk Index as prognostic models for survival after liver transplantation. Method: We retrospectively analyzed the data from 1,270 patients who received a liver transplant from a deceased donor in the state of São Paulo, Brazil, between July 2006 and July 2009. All data obtained from the Health Department of the State of São Paulo at the 15 registered transplant centers were analyzed. Patients younger than 13 years of age or with acute liver failure were excluded. Results: The majority of the recipients had Child-Pugh class B or C cirrhosis (63.5%). Among the 1,006 patients included, 274 (27%) died. Univariate survival analysis using a Cox proportional hazards model showed hazard ratios of 1.02 and 1.43 for the Model for End-Stage Liver Disease and the Model for Liver Transplantation Survival, respectively (p&lt;0.001). The areas under the ROC curve for the Donor Risk Index were always less than 0.5, whereas those for the Model for End-Stage Liver Disease and the Model for Liver Transplantation Survival were significantly greater than 0.5 (p&lt;0.001). The cutoff values for the Model for End-Stage Liver Disease (≥29.5; sensitivity: 39.1%; specificity: 75.4%) and the Model for Liver Transplantation Survival (≥1.9; sensitivity 63.9%, specificity 54.5%), which were calculated using data available before liver transplantation, were good predictors of survival after liver transplantation (p&lt;0.001). Conclusions: The Model for Liver Transplantation Survival displayed similar death prediction performance to that of the Model for End-Stage Liver Disease. A simpler model involving fewer variables, such as the Model for End-Stage Liver Disease, is preferred over a complex model involving more variables, such as the Model for Liver Transplantation Survival. The Donor Risk Index had no significance in post-transplantation survival in our patients.","author":[{"dropping-particle":"","family":"Camargo Aranzana","given":"Elisa Maria","non-dropping-particle":"de","parse-names":false,"suffix":""},{"dropping-particle":"","family":"Coppini","given":"Adriana Zuolo","non-dropping-particle":"","parse-names":false,"suffix":""},{"dropping-particle":"","family":"Ribeiro","given":"Maurício Alves","non-dropping-particle":"","parse-names":false,"suffix":""},{"dropping-particle":"","family":"Massarollo","given":"Paulo Celso Bosco","non-dropping-particle":"","parse-names":false,"suffix":""},{"dropping-particle":"","family":"Szutan","given":"Luiz Arnaldo","non-dropping-particle":"","parse-names":false,"suffix":""},{"dropping-particle":"","family":"Ferreira","given":"Fabio Gonçalves","non-dropping-particle":"","parse-names":false,"suffix":""}],"container-title":"Clinics","id":"ITEM-1","issue":"6","issued":{"date-parts":[["2015"]]},"page":"413-418","title":"Model for end-stage liver disease, model for liver transplantation survival and donor risk index as predictive models of survival after liver transplantation in 1,006 patients","type":"article-journal","volume":"70"},"uris":["http://www.mendeley.com/documents/?uuid=669b30b4-c7de-4e77-b970-a865b264a2c9"]}],"mendeley":{"formattedCitation":"(22)","plainTextFormattedCitation":"(22)","previouslyFormattedCitation":"(22)"},"properties":{"noteIndex":0},"schema":"https://github.com/citation-style-language/schema/raw/master/csl-citation.json"}</w:instrText>
      </w:r>
      <w:r w:rsidR="00210454">
        <w:rPr>
          <w:rFonts w:ascii="Arial" w:hAnsi="Arial" w:cs="Arial"/>
          <w:sz w:val="20"/>
          <w:szCs w:val="20"/>
        </w:rPr>
        <w:fldChar w:fldCharType="separate"/>
      </w:r>
      <w:r w:rsidR="00210454" w:rsidRPr="00210454">
        <w:rPr>
          <w:rFonts w:ascii="Arial" w:hAnsi="Arial" w:cs="Arial"/>
          <w:noProof/>
          <w:sz w:val="20"/>
          <w:szCs w:val="20"/>
        </w:rPr>
        <w:t>(22)</w:t>
      </w:r>
      <w:r w:rsidR="00210454">
        <w:rPr>
          <w:rFonts w:ascii="Arial" w:hAnsi="Arial" w:cs="Arial"/>
          <w:sz w:val="20"/>
          <w:szCs w:val="20"/>
        </w:rPr>
        <w:fldChar w:fldCharType="end"/>
      </w:r>
      <w:r w:rsidR="00B90B99" w:rsidRPr="00274882">
        <w:rPr>
          <w:rFonts w:ascii="Arial" w:hAnsi="Arial" w:cs="Arial"/>
          <w:sz w:val="20"/>
          <w:szCs w:val="20"/>
        </w:rPr>
        <w:t xml:space="preserve">, </w:t>
      </w:r>
      <w:r w:rsidR="00B90B99" w:rsidRPr="000359F3">
        <w:rPr>
          <w:rFonts w:ascii="Arial" w:hAnsi="Arial" w:cs="Arial"/>
          <w:sz w:val="20"/>
          <w:szCs w:val="20"/>
        </w:rPr>
        <w:t xml:space="preserve">que utilizou a curva ROC para valores de MELD versus sobrevida pós-transplante a </w:t>
      </w:r>
      <w:r w:rsidR="006006BC">
        <w:rPr>
          <w:rFonts w:ascii="Arial" w:hAnsi="Arial" w:cs="Arial"/>
          <w:sz w:val="20"/>
          <w:szCs w:val="20"/>
        </w:rPr>
        <w:t>sete</w:t>
      </w:r>
      <w:r w:rsidR="00B90B99" w:rsidRPr="000359F3">
        <w:rPr>
          <w:rFonts w:ascii="Arial" w:hAnsi="Arial" w:cs="Arial"/>
          <w:sz w:val="20"/>
          <w:szCs w:val="20"/>
        </w:rPr>
        <w:t xml:space="preserve"> dias, </w:t>
      </w:r>
      <w:r w:rsidR="006006BC">
        <w:rPr>
          <w:rFonts w:ascii="Arial" w:hAnsi="Arial" w:cs="Arial"/>
          <w:sz w:val="20"/>
          <w:szCs w:val="20"/>
        </w:rPr>
        <w:t>um</w:t>
      </w:r>
      <w:r w:rsidR="00B90B99" w:rsidRPr="000359F3">
        <w:rPr>
          <w:rFonts w:ascii="Arial" w:hAnsi="Arial" w:cs="Arial"/>
          <w:sz w:val="20"/>
          <w:szCs w:val="20"/>
        </w:rPr>
        <w:t xml:space="preserve"> mês, </w:t>
      </w:r>
      <w:r w:rsidR="006006BC">
        <w:rPr>
          <w:rFonts w:ascii="Arial" w:hAnsi="Arial" w:cs="Arial"/>
          <w:sz w:val="20"/>
          <w:szCs w:val="20"/>
        </w:rPr>
        <w:t>tr</w:t>
      </w:r>
      <w:r w:rsidR="00FB6EC8">
        <w:rPr>
          <w:rFonts w:ascii="Arial" w:hAnsi="Arial" w:cs="Arial"/>
          <w:sz w:val="20"/>
          <w:szCs w:val="20"/>
        </w:rPr>
        <w:t xml:space="preserve">ês </w:t>
      </w:r>
      <w:r w:rsidR="00B90B99" w:rsidRPr="000359F3">
        <w:rPr>
          <w:rFonts w:ascii="Arial" w:hAnsi="Arial" w:cs="Arial"/>
          <w:sz w:val="20"/>
          <w:szCs w:val="20"/>
        </w:rPr>
        <w:t xml:space="preserve">meses, </w:t>
      </w:r>
      <w:r w:rsidR="00FB6EC8">
        <w:rPr>
          <w:rFonts w:ascii="Arial" w:hAnsi="Arial" w:cs="Arial"/>
          <w:sz w:val="20"/>
          <w:szCs w:val="20"/>
        </w:rPr>
        <w:t>seis</w:t>
      </w:r>
      <w:r w:rsidR="00B90B99" w:rsidRPr="000359F3">
        <w:rPr>
          <w:rFonts w:ascii="Arial" w:hAnsi="Arial" w:cs="Arial"/>
          <w:sz w:val="20"/>
          <w:szCs w:val="20"/>
        </w:rPr>
        <w:t xml:space="preserve"> meses, </w:t>
      </w:r>
      <w:r w:rsidR="00FB6EC8">
        <w:rPr>
          <w:rFonts w:ascii="Arial" w:hAnsi="Arial" w:cs="Arial"/>
          <w:sz w:val="20"/>
          <w:szCs w:val="20"/>
        </w:rPr>
        <w:t>um</w:t>
      </w:r>
      <w:r w:rsidR="00B90B99" w:rsidRPr="000359F3">
        <w:rPr>
          <w:rFonts w:ascii="Arial" w:hAnsi="Arial" w:cs="Arial"/>
          <w:sz w:val="20"/>
          <w:szCs w:val="20"/>
        </w:rPr>
        <w:t xml:space="preserve"> ano e </w:t>
      </w:r>
      <w:r w:rsidR="00FB6EC8">
        <w:rPr>
          <w:rFonts w:ascii="Arial" w:hAnsi="Arial" w:cs="Arial"/>
          <w:sz w:val="20"/>
          <w:szCs w:val="20"/>
        </w:rPr>
        <w:t xml:space="preserve">dois </w:t>
      </w:r>
      <w:r w:rsidR="00B90B99" w:rsidRPr="000359F3">
        <w:rPr>
          <w:rFonts w:ascii="Arial" w:hAnsi="Arial" w:cs="Arial"/>
          <w:sz w:val="20"/>
          <w:szCs w:val="20"/>
        </w:rPr>
        <w:t xml:space="preserve"> anos, com 1006 pacientes, e demonstrou que o escore pode servir como um preditor significativo de morte pós-transplante. E</w:t>
      </w:r>
      <w:r w:rsidR="00A476E3">
        <w:rPr>
          <w:rFonts w:ascii="Arial" w:hAnsi="Arial" w:cs="Arial"/>
          <w:sz w:val="20"/>
          <w:szCs w:val="20"/>
        </w:rPr>
        <w:t xml:space="preserve"> </w:t>
      </w:r>
      <w:r w:rsidR="00EB565A">
        <w:rPr>
          <w:rFonts w:ascii="Arial" w:hAnsi="Arial" w:cs="Arial"/>
          <w:sz w:val="20"/>
          <w:szCs w:val="20"/>
        </w:rPr>
        <w:t xml:space="preserve">ao </w:t>
      </w:r>
      <w:r w:rsidR="00B90B99" w:rsidRPr="000359F3">
        <w:rPr>
          <w:rFonts w:ascii="Arial" w:hAnsi="Arial" w:cs="Arial"/>
          <w:sz w:val="20"/>
          <w:szCs w:val="20"/>
        </w:rPr>
        <w:t xml:space="preserve">de </w:t>
      </w:r>
      <w:proofErr w:type="spellStart"/>
      <w:r w:rsidR="00210454">
        <w:rPr>
          <w:rFonts w:ascii="Arial" w:hAnsi="Arial" w:cs="Arial"/>
          <w:bCs/>
          <w:sz w:val="20"/>
          <w:szCs w:val="20"/>
        </w:rPr>
        <w:t>Xun</w:t>
      </w:r>
      <w:proofErr w:type="spellEnd"/>
      <w:r w:rsidR="00210454">
        <w:rPr>
          <w:rFonts w:ascii="Arial" w:hAnsi="Arial" w:cs="Arial"/>
          <w:bCs/>
          <w:sz w:val="20"/>
          <w:szCs w:val="20"/>
        </w:rPr>
        <w:t xml:space="preserve"> </w:t>
      </w:r>
      <w:proofErr w:type="spellStart"/>
      <w:r w:rsidR="00210454">
        <w:rPr>
          <w:rFonts w:ascii="Arial" w:hAnsi="Arial" w:cs="Arial"/>
          <w:bCs/>
          <w:sz w:val="20"/>
          <w:szCs w:val="20"/>
        </w:rPr>
        <w:t>Luo</w:t>
      </w:r>
      <w:proofErr w:type="spellEnd"/>
      <w:r w:rsidR="00B90B99" w:rsidRPr="00221347">
        <w:rPr>
          <w:rFonts w:ascii="Arial" w:hAnsi="Arial" w:cs="Arial"/>
          <w:bCs/>
          <w:sz w:val="20"/>
          <w:szCs w:val="20"/>
        </w:rPr>
        <w:t xml:space="preserve"> et al</w:t>
      </w:r>
      <w:r w:rsidR="00210454" w:rsidRPr="003E6211">
        <w:rPr>
          <w:rFonts w:ascii="Arial" w:hAnsi="Arial" w:cs="Arial"/>
          <w:sz w:val="20"/>
          <w:szCs w:val="20"/>
        </w:rPr>
        <w:t xml:space="preserve"> </w:t>
      </w:r>
      <w:r w:rsidR="00210454" w:rsidRPr="00B376AE">
        <w:rPr>
          <w:rFonts w:ascii="Arial" w:hAnsi="Arial" w:cs="Arial"/>
          <w:bCs/>
          <w:sz w:val="20"/>
          <w:szCs w:val="20"/>
        </w:rPr>
        <w:fldChar w:fldCharType="begin" w:fldLock="1"/>
      </w:r>
      <w:r w:rsidR="00B0638B" w:rsidRPr="003E6211">
        <w:rPr>
          <w:rFonts w:ascii="Arial" w:hAnsi="Arial" w:cs="Arial"/>
          <w:sz w:val="20"/>
          <w:szCs w:val="20"/>
        </w:rPr>
        <w:instrText>ADDIN CSL_CITATION {"citationItems":[{"id":"ITEM-1","itemData":{"DOI":"10.1111/ajt.14660","ISSN":"16006143","PMID":"29316310","abstract":"Currently, there is debate among the liver transplant community regarding the most appropriate mechanism for organ allocation: urgency-based (MELD) versus utility-based (survival benefit). We hypothesize that MELD and survival benefit are closely associated, and therefore, our current MELD-based allocation already reflects utility-based allocation. We used generalized gamma parametric models to quantify survival benefit of LT across MELD categories among 74 196 adult liver-only active candidates between 2006 and 2016 in the United States. We calculated time ratios (TR) of relative life expectancy with transplantation versus without and calculated expected life years gained after LT. LT extended life expectancy (TR &gt; 1) for patients with MELD &gt; 10. The highest MELD was associated with the longest relative life expectancy (TR = 1.05 1.20 1.37 for MELD 11-15, 2.29 2.49 2.70 for MELD 16-20, 5.30 5.72 6.16 for MELD 21-25, 15.12 16.35 17.67 for MELD 26-30; 39.26 43.21 47.55 for MELD 31-34; 120.04 128.25 137.02 for MELD 35-40). As a result, candidates with the highest MELD gained the most life years after LT: 0.2, 1.5, 3.5, 5.8, 6.9, 7.2 years for MELD 11-15, 16-20, 21-25, 26-30, 31-34, 35-40, respectively. Therefore, prioritizing candidates by MELD remains a simple, effective strategy for prioritizing candidates with a higher transplant survival benefit over those with lower survival benefit.","author":[{"dropping-particle":"","family":"Luo","given":"Xun","non-dropping-particle":"","parse-names":false,"suffix":""},{"dropping-particle":"","family":"Leanza","given":"Joseph","non-dropping-particle":"","parse-names":false,"suffix":""},{"dropping-particle":"","family":"Massie","given":"Allan B.","non-dropping-particle":"","parse-names":false,"suffix":""},{"dropping-particle":"","family":"Garonzik-Wang","given":"Jacqueline M.","non-dropping-particle":"","parse-names":false,"suffix":""},{"dropping-particle":"","family":"Haugen","given":"Christine E.","non-dropping-particle":"","parse-names":false,"suffix":""},{"dropping-particle":"","family":"Gentry","given":"Sommer E.","non-dropping-particle":"","parse-names":false,"suffix":""},{"dropping-particle":"","family":"Ottmann","given":"Shane E.","non-dropping-particle":"","parse-names":false,"suffix":""},{"dropping-particle":"","family":"Segev","given":"Dorry L.","non-dropping-particle":"","parse-names":false,"suffix":""}],"container-title":"American Journal of Transplantation","id":"ITEM-1","issue":"5","issued":{"date-parts":[["2018"]]},"page":"1231-1237","title":"MELD as a metric for survival benefit of liver transplantation","type":"article-journal","volume":"18"},"uris":["http://www.mendeley.com/documents/?uuid=31d716d8-988e-490a-b734-e935da7791c5"]}],"mendeley":{"formattedCitation":"(39)","plainTextFormattedCitation":"(39)","previouslyFormattedCitation":"(39)"},"properties":{"noteIndex":0},"schema":"https://github.com/citation-style-language/schema/raw/master/csl-citation.json"}</w:instrText>
      </w:r>
      <w:r w:rsidR="00210454" w:rsidRPr="00221347">
        <w:rPr>
          <w:rFonts w:ascii="Arial" w:hAnsi="Arial" w:cs="Arial"/>
          <w:bCs/>
          <w:sz w:val="20"/>
          <w:szCs w:val="20"/>
        </w:rPr>
        <w:fldChar w:fldCharType="separate"/>
      </w:r>
      <w:r w:rsidR="00210454" w:rsidRPr="003E6211">
        <w:rPr>
          <w:rFonts w:ascii="Arial" w:hAnsi="Arial" w:cs="Arial"/>
          <w:noProof/>
          <w:sz w:val="20"/>
          <w:szCs w:val="20"/>
        </w:rPr>
        <w:t>(39)</w:t>
      </w:r>
      <w:r w:rsidR="00210454" w:rsidRPr="00B376AE">
        <w:rPr>
          <w:rFonts w:ascii="Arial" w:hAnsi="Arial" w:cs="Arial"/>
          <w:bCs/>
          <w:sz w:val="20"/>
          <w:szCs w:val="20"/>
        </w:rPr>
        <w:fldChar w:fldCharType="end"/>
      </w:r>
      <w:r w:rsidR="00B90B99" w:rsidRPr="003E6211">
        <w:rPr>
          <w:rFonts w:ascii="Arial" w:hAnsi="Arial" w:cs="Arial"/>
          <w:sz w:val="20"/>
          <w:szCs w:val="20"/>
        </w:rPr>
        <w:t>, que</w:t>
      </w:r>
      <w:r w:rsidR="00B90B99" w:rsidRPr="000359F3">
        <w:rPr>
          <w:rFonts w:ascii="Arial" w:hAnsi="Arial" w:cs="Arial"/>
          <w:bCs/>
          <w:sz w:val="20"/>
          <w:szCs w:val="20"/>
        </w:rPr>
        <w:t xml:space="preserve"> demonstrou a funcionalidade do escore </w:t>
      </w:r>
      <w:proofErr w:type="spellStart"/>
      <w:r w:rsidR="00B90B99" w:rsidRPr="000359F3">
        <w:rPr>
          <w:rFonts w:ascii="Arial" w:hAnsi="Arial" w:cs="Arial"/>
          <w:bCs/>
          <w:sz w:val="20"/>
          <w:szCs w:val="20"/>
        </w:rPr>
        <w:t>MELD-Na</w:t>
      </w:r>
      <w:proofErr w:type="spellEnd"/>
      <w:r w:rsidR="00B90B99" w:rsidRPr="000359F3">
        <w:rPr>
          <w:rFonts w:ascii="Arial" w:hAnsi="Arial" w:cs="Arial"/>
          <w:bCs/>
          <w:sz w:val="20"/>
          <w:szCs w:val="20"/>
        </w:rPr>
        <w:t xml:space="preserve"> em melhor predizer tanto a mortalidade na fila e sobrevida </w:t>
      </w:r>
      <w:r w:rsidR="005A0C45" w:rsidRPr="000359F3">
        <w:rPr>
          <w:rFonts w:ascii="Arial" w:hAnsi="Arial" w:cs="Arial"/>
          <w:bCs/>
          <w:sz w:val="20"/>
          <w:szCs w:val="20"/>
        </w:rPr>
        <w:t>no pós</w:t>
      </w:r>
      <w:r w:rsidR="00B90B99" w:rsidRPr="000359F3">
        <w:rPr>
          <w:rFonts w:ascii="Arial" w:hAnsi="Arial" w:cs="Arial"/>
          <w:bCs/>
          <w:sz w:val="20"/>
          <w:szCs w:val="20"/>
        </w:rPr>
        <w:t xml:space="preserve"> transplante, </w:t>
      </w:r>
      <w:r w:rsidR="00981ABB">
        <w:rPr>
          <w:rFonts w:ascii="Arial" w:hAnsi="Arial" w:cs="Arial"/>
          <w:bCs/>
          <w:sz w:val="20"/>
          <w:szCs w:val="20"/>
        </w:rPr>
        <w:t>especificamente</w:t>
      </w:r>
      <w:r w:rsidR="00B90B99" w:rsidRPr="000359F3">
        <w:rPr>
          <w:rFonts w:ascii="Arial" w:hAnsi="Arial" w:cs="Arial"/>
          <w:bCs/>
          <w:sz w:val="20"/>
          <w:szCs w:val="20"/>
        </w:rPr>
        <w:t xml:space="preserve"> em pacientes com valores de MELD </w:t>
      </w:r>
      <w:r w:rsidR="00B90B99">
        <w:rPr>
          <w:rFonts w:ascii="Arial" w:hAnsi="Arial" w:cs="Arial"/>
          <w:bCs/>
          <w:sz w:val="20"/>
          <w:szCs w:val="20"/>
        </w:rPr>
        <w:t>a partir de</w:t>
      </w:r>
      <w:r w:rsidR="00981ABB">
        <w:rPr>
          <w:rFonts w:ascii="Arial" w:hAnsi="Arial" w:cs="Arial"/>
          <w:bCs/>
          <w:sz w:val="20"/>
          <w:szCs w:val="20"/>
        </w:rPr>
        <w:t xml:space="preserve"> 10 pontos. Mas, estes dados </w:t>
      </w:r>
      <w:r w:rsidR="005638C4">
        <w:rPr>
          <w:rFonts w:ascii="Arial" w:hAnsi="Arial" w:cs="Arial"/>
          <w:bCs/>
          <w:sz w:val="20"/>
          <w:szCs w:val="20"/>
        </w:rPr>
        <w:t>necessitam de estudos maiores</w:t>
      </w:r>
      <w:r w:rsidR="00981ABB">
        <w:rPr>
          <w:rFonts w:ascii="Arial" w:hAnsi="Arial" w:cs="Arial"/>
          <w:bCs/>
          <w:sz w:val="20"/>
          <w:szCs w:val="20"/>
        </w:rPr>
        <w:t>, pois há outros autores que demonstraram o contrário, como Jacob et. Al</w:t>
      </w:r>
      <w:r w:rsidR="00B0638B">
        <w:rPr>
          <w:rFonts w:ascii="Arial" w:hAnsi="Arial" w:cs="Arial"/>
          <w:bCs/>
          <w:sz w:val="20"/>
          <w:szCs w:val="20"/>
        </w:rPr>
        <w:t xml:space="preserve"> </w:t>
      </w:r>
      <w:r w:rsidR="00B0638B">
        <w:rPr>
          <w:rFonts w:ascii="Arial" w:hAnsi="Arial" w:cs="Arial"/>
          <w:bCs/>
          <w:sz w:val="20"/>
          <w:szCs w:val="20"/>
        </w:rPr>
        <w:fldChar w:fldCharType="begin" w:fldLock="1"/>
      </w:r>
      <w:r w:rsidR="0006794E">
        <w:rPr>
          <w:rFonts w:ascii="Arial" w:hAnsi="Arial" w:cs="Arial"/>
          <w:bCs/>
          <w:sz w:val="20"/>
          <w:szCs w:val="20"/>
        </w:rPr>
        <w:instrText>ADDIN CSL_CITATION {"citationItems":[{"id":"ITEM-1","itemData":{"DOI":"10.1002/lt.20169","ISSN":"15276465","PMID":"15237375","abstract":"It has been shown that the model for end-stage liver disease (MELD) score is an accurate predictor of survival in patients with liver disease without transplantation. Four recent studies carried out in the United States have demonstrated that the MELD score obtained immediately prior to transplantation is also associated with post-transplant patient survival. Our aim was to evaluate how accurately the MELD score predicts 90-day post-transplant survival in adult patients with chronic liver disease in the UK and Ireland. The UK and Ireland Liver Transplant Audit has data on all liver transplants since 1994. We studied survival of 3838 adult patients after first elective liver transplantation according to United Network for Organ Sharing categories of their MELD scores (≤ 10, 11-18, 19-24, 25-35, ≥36). The overall survival at 90-days was 90.2%. The 90-day survival varied according to the United Network for Organ Sharing MELD categories (92.6%, 91.9%, 89.7%, 89.7%, and 70.8%, respectively; P &lt; 0.01). Therefore, only those patients with a MELD score of 36 or higher (3% of the patients) had a survival that was markedly lower than the rest. As a consequence, the ability of the MELD score to discriminate between patients who were dead or alive was poor (c-statistic 0.58). Re-estimating the coefficients in the MELD regression model, even allowing for nonlinear relationships, did not improve its discriminatory ability. In conclusion, in the UK and Ireland the MELD score is significantly associated with post-transplant survival, but its predictive ability is poor. These results are in agreement with results found in the United States. Therefore, the most appropriate system to support patient selection for transplantation will be one that combines a pretransplant survival model (e.g., MELD score) with a properly developed post-transplant survival model. Copyright © 2004 by the American Association for the Study of Liver Diseases.","author":[{"dropping-particle":"","family":"Jacob","given":"Mathew","non-dropping-particle":"","parse-names":false,"suffix":""},{"dropping-particle":"","family":"Copley","given":"Lynn P.","non-dropping-particle":"","parse-names":false,"suffix":""},{"dropping-particle":"","family":"Lewsey","given":"James D.","non-dropping-particle":"","parse-names":false,"suffix":""},{"dropping-particle":"","family":"Gimson","given":"Alex","non-dropping-particle":"","parse-names":false,"suffix":""},{"dropping-particle":"","family":"Toogood","given":"Giles J.","non-dropping-particle":"","parse-names":false,"suffix":""},{"dropping-particle":"","family":"Rela","given":"Mohamed","non-dropping-particle":"","parse-names":false,"suffix":""},{"dropping-particle":"","family":"Meulen","given":"Jan H.P.","non-dropping-particle":"van der","parse-names":false,"suffix":""},{"dropping-particle":"","family":"Manas","given":"Derek","non-dropping-particle":"","parse-names":false,"suffix":""},{"dropping-particle":"","family":"Smith","given":"Liesl","non-dropping-particle":"","parse-names":false,"suffix":""},{"dropping-particle":"","family":"Pollard","given":"Steve","non-dropping-particle":"","parse-names":false,"suffix":""},{"dropping-particle":"","family":"Sutton","given":"Christine","non-dropping-particle":"","parse-names":false,"suffix":""},{"dropping-particle":"V.","family":"Jamieson","given":"N.","non-dropping-particle":"","parse-names":false,"suffix":""},{"dropping-particle":"","family":"Jenkins","given":"Claire","non-dropping-particle":"","parse-names":false,"suffix":""},{"dropping-particle":"","family":"Rolles","given":"Keith","non-dropping-particle":"","parse-names":false,"suffix":""},{"dropping-particle":"","family":"Rolando","given":"Nancy","non-dropping-particle":"","parse-names":false,"suffix":""},{"dropping-particle":"","family":"Heaton","given":"Nigel","non-dropping-particle":"","parse-names":false,"suffix":""},{"dropping-particle":"","family":"Landymore","given":"Susan","non-dropping-particle":"","parse-names":false,"suffix":""},{"dropping-particle":"","family":"Mayer","given":"A. D.","non-dropping-particle":"","parse-names":false,"suffix":""},{"dropping-particle":"","family":"Gunson","given":"Birdget","non-dropping-particle":"","parse-names":false,"suffix":""},{"dropping-particle":"","family":"Traynor","given":"O.","non-dropping-particle":"","parse-names":false,"suffix":""},{"dropping-particle":"","family":"Ahmed","given":"Mashood","non-dropping-particle":"","parse-names":false,"suffix":""},{"dropping-particle":"","family":"Forsythe","given":"John","non-dropping-particle":"","parse-names":false,"suffix":""},{"dropping-particle":"","family":"Cunningham","given":"Maureen","non-dropping-particle":"","parse-names":false,"suffix":""},{"dropping-particle":"","family":"Barber","given":"Kerri","non-dropping-particle":"","parse-names":false,"suffix":""}],"container-title":"Liver Transplantation","id":"ITEM-1","issue":"7","issued":{"date-parts":[["2004"]]},"page":"903-907","title":"Pretransplant MELD score and post liver transplantation survival in the UK and Ireland","type":"article-journal","volume":"10"},"uris":["http://www.mendeley.com/documents/?uuid=1985f67f-228a-495e-98f3-aa42a0c35bf4"]}],"mendeley":{"formattedCitation":"(40)","plainTextFormattedCitation":"(40)","previouslyFormattedCitation":"(40)"},"properties":{"noteIndex":0},"schema":"https://github.com/citation-style-language/schema/raw/master/csl-citation.json"}</w:instrText>
      </w:r>
      <w:r w:rsidR="00B0638B">
        <w:rPr>
          <w:rFonts w:ascii="Arial" w:hAnsi="Arial" w:cs="Arial"/>
          <w:bCs/>
          <w:sz w:val="20"/>
          <w:szCs w:val="20"/>
        </w:rPr>
        <w:fldChar w:fldCharType="separate"/>
      </w:r>
      <w:r w:rsidR="00B0638B" w:rsidRPr="00B0638B">
        <w:rPr>
          <w:rFonts w:ascii="Arial" w:hAnsi="Arial" w:cs="Arial"/>
          <w:bCs/>
          <w:noProof/>
          <w:sz w:val="20"/>
          <w:szCs w:val="20"/>
        </w:rPr>
        <w:t>(40)</w:t>
      </w:r>
      <w:r w:rsidR="00B0638B">
        <w:rPr>
          <w:rFonts w:ascii="Arial" w:hAnsi="Arial" w:cs="Arial"/>
          <w:bCs/>
          <w:sz w:val="20"/>
          <w:szCs w:val="20"/>
        </w:rPr>
        <w:fldChar w:fldCharType="end"/>
      </w:r>
      <w:r w:rsidR="00981ABB">
        <w:rPr>
          <w:rFonts w:ascii="Arial" w:hAnsi="Arial" w:cs="Arial"/>
          <w:bCs/>
          <w:sz w:val="20"/>
          <w:szCs w:val="20"/>
        </w:rPr>
        <w:t xml:space="preserve"> em 2004, que </w:t>
      </w:r>
      <w:r w:rsidR="00790194">
        <w:rPr>
          <w:rFonts w:ascii="Arial" w:hAnsi="Arial" w:cs="Arial"/>
          <w:bCs/>
          <w:sz w:val="20"/>
          <w:szCs w:val="20"/>
        </w:rPr>
        <w:t xml:space="preserve">indica </w:t>
      </w:r>
      <w:r w:rsidR="00C706D6">
        <w:rPr>
          <w:rFonts w:ascii="Arial" w:hAnsi="Arial" w:cs="Arial"/>
          <w:bCs/>
          <w:sz w:val="20"/>
          <w:szCs w:val="20"/>
        </w:rPr>
        <w:t xml:space="preserve">que a sobrevida pós-transplante dificilmente difere em até 95% dos pacientes, considerando </w:t>
      </w:r>
      <w:r w:rsidR="003C289D">
        <w:rPr>
          <w:rFonts w:ascii="Arial" w:hAnsi="Arial" w:cs="Arial"/>
          <w:bCs/>
          <w:sz w:val="20"/>
          <w:szCs w:val="20"/>
        </w:rPr>
        <w:t xml:space="preserve">categorias do MELD que vão desde valores baixos (menores que 10) </w:t>
      </w:r>
      <w:r w:rsidR="00853B24">
        <w:rPr>
          <w:rFonts w:ascii="Arial" w:hAnsi="Arial" w:cs="Arial"/>
          <w:bCs/>
          <w:sz w:val="20"/>
          <w:szCs w:val="20"/>
        </w:rPr>
        <w:t>até valores altos (maiores que 36), em uma base de dados de 3838 pacientes.</w:t>
      </w:r>
    </w:p>
    <w:p w14:paraId="0FF86891" w14:textId="5ADAE6C8" w:rsidR="006B1C85" w:rsidRDefault="006B1C85" w:rsidP="0059005F">
      <w:pPr>
        <w:spacing w:line="360" w:lineRule="auto"/>
        <w:ind w:firstLine="720"/>
        <w:jc w:val="both"/>
        <w:rPr>
          <w:rFonts w:ascii="Arial" w:hAnsi="Arial" w:cs="Arial"/>
          <w:bCs/>
          <w:sz w:val="20"/>
          <w:szCs w:val="20"/>
        </w:rPr>
      </w:pPr>
      <w:r>
        <w:rPr>
          <w:rFonts w:ascii="Arial" w:hAnsi="Arial" w:cs="Arial"/>
          <w:bCs/>
          <w:sz w:val="20"/>
          <w:szCs w:val="20"/>
        </w:rPr>
        <w:t>Apesar deste estudo ter encontrados dados semelhantes ao perfil nacional e a estudos maiores</w:t>
      </w:r>
      <w:r w:rsidR="008264A1">
        <w:rPr>
          <w:rFonts w:ascii="Arial" w:hAnsi="Arial" w:cs="Arial"/>
          <w:bCs/>
          <w:sz w:val="20"/>
          <w:szCs w:val="20"/>
        </w:rPr>
        <w:t xml:space="preserve"> </w:t>
      </w:r>
      <w:r w:rsidR="008264A1">
        <w:rPr>
          <w:rFonts w:ascii="Arial" w:hAnsi="Arial" w:cs="Arial"/>
          <w:bCs/>
          <w:sz w:val="20"/>
          <w:szCs w:val="20"/>
        </w:rPr>
        <w:fldChar w:fldCharType="begin" w:fldLock="1"/>
      </w:r>
      <w:r w:rsidR="00DB0085">
        <w:rPr>
          <w:rFonts w:ascii="Arial" w:hAnsi="Arial" w:cs="Arial"/>
          <w:bCs/>
          <w:sz w:val="20"/>
          <w:szCs w:val="20"/>
        </w:rPr>
        <w:instrText>ADDIN CSL_CITATION {"citationItems":[{"id":"ITEM-1","itemData":{"DOI":"10.1590/s1807-59322010001200010","ISSN":"1980-5322 (Electronic)","PMID":"21340216","abstract":"OBJECTIVES: We performed a national survey to update hepatocellular carcinoma (HCC)  epidemiology in Brazil and determined the clinical and epidemiological profiles of patients with HCC in different Brazilian regions. METHODS: Data from 29 centers included 1,405 patients diagnosed with HCC from 2004 to 2009. RESULTS: The median age was 59 (1-92 years old; 78% male). At diagnosis, females were older than males (median age: 62 vs. 59 years old respectively; p&lt;0.0001). Ninety-eight percent of the patients had cirrhosis (1279/1308). Hepatitis C virus was the main etiology (54%), followed by hepatitis B virus (16%) and alcohol (14%). In Southeastern and Southern Brazil, hepatitis C virus accounted for over 55% of cases. In the Northeast and North, hepatitis C virus accounted for less than 50%, and hepatitis B virus accounted for 22-25% of cases; hepatitis B was more prevalent in the Northern than in the Southern regions. Some 43%, 35%, and 22% of patients were in early, intermediate, and advanced stages respectively. Initial therapies for HCC included chemoembolization or embolization (36%), percutaneous ablation (13%), liver resection (7%), and sorafenib (1%). Liver transplantation was performed in 242 patients (19%), but it was the initial therapy for only 56 patients (4%). CONCLUSION: The epidemiology, classification, and therapy selection for HCC varied among Brazilian regions. Hepatitis C infection was the most common etiology of liver cirrhosis; chemoembolization was the most common therapy employed. Liver cirrhosis was the main risk factor for HCC development in Brazil.","author":[{"dropping-particle":"","family":"Carrilho","given":"Flair Jose","non-dropping-particle":"","parse-names":false,"suffix":""},{"dropping-particle":"","family":"Kikuchi","given":"Luciana","non-dropping-particle":"","parse-names":false,"suffix":""},{"dropping-particle":"","family":"Branco","given":"Fernanda","non-dropping-particle":"","parse-names":false,"suffix":""},{"dropping-particle":"","family":"Goncalves","given":"Carlos Sandoval","non-dropping-particle":"","parse-names":false,"suffix":""},{"dropping-particle":"de","family":"Mattos","given":"Angelo Aves","non-dropping-particle":"","parse-names":false,"suffix":""}],"container-title":"Clinics (Sao Paulo, Brazil)","id":"ITEM-1","issue":"12","issued":{"date-parts":[["2010"]]},"language":"eng","page":"1285-1290","title":"Clinical and epidemiological aspects of hepatocellular carcinoma in Brazil.","type":"article-journal","volume":"65"},"uris":["http://www.mendeley.com/documents/?uuid=a50e6976-09ee-405c-b87d-f4a9545d7c27"]},{"id":"ITEM-2","itemData":{"DOI":"10.1007/s00268-011-1161-0","ISSN":"1432-2323 (Electronic)","PMID":"21656309","abstract":"BACKGROUND: Major hepatic resection of more than three segments in patients with  hepatocellular carcinoma (HCC) is a high-risk operation, especially in patients with co-existing underlying liver diseases. The present study evaluated risk factors for postoperative morbidity and mortality after major hepatic resection in HCC patients with underlying liver diseases. METHODS: Perioperative data of 305 HCC patients with underlying liver diseases who underwent major hepatic resection were evaluated by univariate and multivariate analyses to identify risk factors for postoperative morbidity and mortality. RESULTS: The overall morbidity rate was 37.0% (n = 113), caused by pleural effusion (n = 56), ascites (n = 43), subphrenic effusion/infection (n = 23), hepatic dysfunction (n = 22), bile leakage (n = 10), respiratory infection (n = 7), incision infection (n = 7), intra-abdominal hemorrhage (n = 5), and others. The hospital mortality rate was 2.6% (n = 8), primarily caused by liver failure (4/8). Multivariate logistic regression analysis showed that preoperative platelet count &lt;100 × 10(9)/l (P = 0.006), and increased intraoperative blood loss (≥ 800 ml) (P = 0.008) were independent risk factors of postoperative morbidity, and that preoperative prothrombin time &gt;14 s (P = 0.015) and preoperative platelet count &lt;100 × 10(9)/l (P = 0.007) were independent risk factors for significant hospital mortality. CONCLUSIONS: Careful preoperative selection of patients in terms of the Child-Pugh classification and decrease of intraoperative blood loss are important measures to reduce postoperative morbidity after major hepatic resection in HCC patients with underlying liver diseases. Moreover, we should be aware that preoperative platelet count is independently associated with postoperative morbidity and mortality for those patients following major hepatic resection.","author":[{"dropping-particle":"","family":"Yang","given":"Tian","non-dropping-particle":"","parse-names":false,"suffix":""},{"dropping-particle":"","family":"Zhang","given":"Jin","non-dropping-particle":"","parse-names":false,"suffix":""},{"dropping-particle":"","family":"Lu","given":"Jun-Hua","non-dropping-particle":"","parse-names":false,"suffix":""},{"dropping-particle":"","family":"Yang","given":"Guang-Shun","non-dropping-particle":"","parse-names":false,"suffix":""},{"dropping-particle":"","family":"Wu","given":"Meng-Chao","non-dropping-particle":"","parse-names":false,"suffix":""},{"dropping-particle":"","family":"Yu","given":"Wei-Feng","non-dropping-particle":"","parse-names":false,"suffix":""}],"container-title":"World journal of surgery","id":"ITEM-2","issue":"9","issued":{"date-parts":[["2011","9"]]},"language":"eng","page":"2073-2082","publisher-place":"United States","title":"Risk factors influencing postoperative outcomes of major hepatic resection of  hepatocellular carcinoma for patients with underlying liver diseases.","type":"article-journal","volume":"35"},"uris":["http://www.mendeley.com/documents/?uuid=32f34259-a82f-4bda-b317-5bca8f4a32e2"]}],"mendeley":{"formattedCitation":"(30,35)","plainTextFormattedCitation":"(30,35)","previouslyFormattedCitation":"(30,35)"},"properties":{"noteIndex":0},"schema":"https://github.com/citation-style-language/schema/raw/master/csl-citation.json"}</w:instrText>
      </w:r>
      <w:r w:rsidR="008264A1">
        <w:rPr>
          <w:rFonts w:ascii="Arial" w:hAnsi="Arial" w:cs="Arial"/>
          <w:bCs/>
          <w:sz w:val="20"/>
          <w:szCs w:val="20"/>
        </w:rPr>
        <w:fldChar w:fldCharType="separate"/>
      </w:r>
      <w:r w:rsidR="0035699C" w:rsidRPr="0035699C">
        <w:rPr>
          <w:rFonts w:ascii="Arial" w:hAnsi="Arial" w:cs="Arial"/>
          <w:bCs/>
          <w:noProof/>
          <w:sz w:val="20"/>
          <w:szCs w:val="20"/>
        </w:rPr>
        <w:t>(30,35)</w:t>
      </w:r>
      <w:r w:rsidR="008264A1">
        <w:rPr>
          <w:rFonts w:ascii="Arial" w:hAnsi="Arial" w:cs="Arial"/>
          <w:bCs/>
          <w:sz w:val="20"/>
          <w:szCs w:val="20"/>
        </w:rPr>
        <w:fldChar w:fldCharType="end"/>
      </w:r>
      <w:r>
        <w:rPr>
          <w:rFonts w:ascii="Arial" w:hAnsi="Arial" w:cs="Arial"/>
          <w:bCs/>
          <w:sz w:val="20"/>
          <w:szCs w:val="20"/>
        </w:rPr>
        <w:t xml:space="preserve">, apresentou algumas limitações. Inicialmente, avaliamos </w:t>
      </w:r>
      <w:r w:rsidR="00772982">
        <w:rPr>
          <w:rFonts w:ascii="Arial" w:hAnsi="Arial" w:cs="Arial"/>
          <w:bCs/>
          <w:sz w:val="20"/>
          <w:szCs w:val="20"/>
        </w:rPr>
        <w:t xml:space="preserve">apenas um serviço de saúde e o tamanho </w:t>
      </w:r>
      <w:r w:rsidR="008C79F9">
        <w:rPr>
          <w:rFonts w:ascii="Arial" w:hAnsi="Arial" w:cs="Arial"/>
          <w:bCs/>
          <w:sz w:val="20"/>
          <w:szCs w:val="20"/>
        </w:rPr>
        <w:t>da amostra pode ter sido um fator l</w:t>
      </w:r>
      <w:r w:rsidR="00FE57CC">
        <w:rPr>
          <w:rFonts w:ascii="Arial" w:hAnsi="Arial" w:cs="Arial"/>
          <w:bCs/>
          <w:sz w:val="20"/>
          <w:szCs w:val="20"/>
        </w:rPr>
        <w:t xml:space="preserve">imitante, com isso são necessários </w:t>
      </w:r>
      <w:r w:rsidR="00372BB4">
        <w:rPr>
          <w:rFonts w:ascii="Arial" w:hAnsi="Arial" w:cs="Arial"/>
          <w:bCs/>
          <w:sz w:val="20"/>
          <w:szCs w:val="20"/>
        </w:rPr>
        <w:t xml:space="preserve">estudos maiores </w:t>
      </w:r>
      <w:r w:rsidR="00C11442">
        <w:rPr>
          <w:rFonts w:ascii="Arial" w:hAnsi="Arial" w:cs="Arial"/>
          <w:bCs/>
          <w:sz w:val="20"/>
          <w:szCs w:val="20"/>
        </w:rPr>
        <w:t xml:space="preserve">para confirmar os resultados que apresentamos aqui. Além disso, considerando as dimensões continentais do Brasil, </w:t>
      </w:r>
      <w:r w:rsidR="00D72C85">
        <w:rPr>
          <w:rFonts w:ascii="Arial" w:hAnsi="Arial" w:cs="Arial"/>
          <w:bCs/>
          <w:sz w:val="20"/>
          <w:szCs w:val="20"/>
        </w:rPr>
        <w:t xml:space="preserve">o estudo não </w:t>
      </w:r>
      <w:r w:rsidR="00623405">
        <w:rPr>
          <w:rFonts w:ascii="Arial" w:hAnsi="Arial" w:cs="Arial"/>
          <w:bCs/>
          <w:sz w:val="20"/>
          <w:szCs w:val="20"/>
        </w:rPr>
        <w:t>se concentrou</w:t>
      </w:r>
      <w:r w:rsidR="00D72C85">
        <w:rPr>
          <w:rFonts w:ascii="Arial" w:hAnsi="Arial" w:cs="Arial"/>
          <w:bCs/>
          <w:sz w:val="20"/>
          <w:szCs w:val="20"/>
        </w:rPr>
        <w:t xml:space="preserve"> nas demais regiões brasileiras</w:t>
      </w:r>
      <w:r w:rsidR="00FF310A">
        <w:rPr>
          <w:rFonts w:ascii="Arial" w:hAnsi="Arial" w:cs="Arial"/>
          <w:bCs/>
          <w:sz w:val="20"/>
          <w:szCs w:val="20"/>
        </w:rPr>
        <w:t>, apesar d</w:t>
      </w:r>
      <w:r w:rsidR="00E37A01">
        <w:rPr>
          <w:rFonts w:ascii="Arial" w:hAnsi="Arial" w:cs="Arial"/>
          <w:bCs/>
          <w:sz w:val="20"/>
          <w:szCs w:val="20"/>
        </w:rPr>
        <w:t xml:space="preserve">e o </w:t>
      </w:r>
      <w:r w:rsidR="00FF310A">
        <w:rPr>
          <w:rFonts w:ascii="Arial" w:hAnsi="Arial" w:cs="Arial"/>
          <w:bCs/>
          <w:sz w:val="20"/>
          <w:szCs w:val="20"/>
        </w:rPr>
        <w:t>estado de São Paulo receber pacientes de todo o país para tratamento</w:t>
      </w:r>
      <w:r w:rsidR="00AA3BA1">
        <w:rPr>
          <w:rFonts w:ascii="Arial" w:hAnsi="Arial" w:cs="Arial"/>
          <w:bCs/>
          <w:sz w:val="20"/>
          <w:szCs w:val="20"/>
        </w:rPr>
        <w:t xml:space="preserve">s médicos variados. </w:t>
      </w:r>
      <w:r w:rsidR="00826B68">
        <w:rPr>
          <w:rFonts w:ascii="Arial" w:hAnsi="Arial" w:cs="Arial"/>
          <w:bCs/>
          <w:sz w:val="20"/>
          <w:szCs w:val="20"/>
        </w:rPr>
        <w:t xml:space="preserve"> </w:t>
      </w:r>
    </w:p>
    <w:p w14:paraId="6B0B25B1" w14:textId="660D69B6" w:rsidR="007E614A" w:rsidRDefault="007E614A" w:rsidP="0059005F">
      <w:pPr>
        <w:spacing w:line="360" w:lineRule="auto"/>
        <w:ind w:firstLine="720"/>
        <w:jc w:val="both"/>
        <w:rPr>
          <w:rFonts w:ascii="Arial" w:hAnsi="Arial" w:cs="Arial"/>
          <w:bCs/>
          <w:sz w:val="20"/>
          <w:szCs w:val="20"/>
        </w:rPr>
      </w:pPr>
      <w:r>
        <w:rPr>
          <w:rFonts w:ascii="Arial" w:hAnsi="Arial" w:cs="Arial"/>
          <w:bCs/>
          <w:sz w:val="20"/>
          <w:szCs w:val="20"/>
        </w:rPr>
        <w:t xml:space="preserve">Além disso, não estava descrito no prontuário dos pacientes a quantidade </w:t>
      </w:r>
      <w:r w:rsidR="004665D3">
        <w:rPr>
          <w:rFonts w:ascii="Arial" w:hAnsi="Arial" w:cs="Arial"/>
          <w:bCs/>
          <w:sz w:val="20"/>
          <w:szCs w:val="20"/>
        </w:rPr>
        <w:t xml:space="preserve">de gramas </w:t>
      </w:r>
      <w:r w:rsidR="00D97C02">
        <w:rPr>
          <w:rFonts w:ascii="Arial" w:hAnsi="Arial" w:cs="Arial"/>
          <w:bCs/>
          <w:sz w:val="20"/>
          <w:szCs w:val="20"/>
        </w:rPr>
        <w:t xml:space="preserve">de álcool </w:t>
      </w:r>
      <w:r w:rsidR="00016D5F">
        <w:rPr>
          <w:rFonts w:ascii="Arial" w:hAnsi="Arial" w:cs="Arial"/>
          <w:bCs/>
          <w:sz w:val="20"/>
          <w:szCs w:val="20"/>
        </w:rPr>
        <w:t xml:space="preserve">ingerida e nem o tempo </w:t>
      </w:r>
      <w:r w:rsidR="00CB3C1E">
        <w:rPr>
          <w:rFonts w:ascii="Arial" w:hAnsi="Arial" w:cs="Arial"/>
          <w:bCs/>
          <w:sz w:val="20"/>
          <w:szCs w:val="20"/>
        </w:rPr>
        <w:t>de alcoolismo, tivemos apenas a informação do histórico em algum momento</w:t>
      </w:r>
      <w:r w:rsidR="004A63C6">
        <w:rPr>
          <w:rFonts w:ascii="Arial" w:hAnsi="Arial" w:cs="Arial"/>
          <w:bCs/>
          <w:sz w:val="20"/>
          <w:szCs w:val="20"/>
        </w:rPr>
        <w:t xml:space="preserve"> anterior ao transplante</w:t>
      </w:r>
      <w:r w:rsidR="002E0C79">
        <w:rPr>
          <w:rFonts w:ascii="Arial" w:hAnsi="Arial" w:cs="Arial"/>
          <w:bCs/>
          <w:sz w:val="20"/>
          <w:szCs w:val="20"/>
        </w:rPr>
        <w:t xml:space="preserve">. </w:t>
      </w:r>
      <w:r w:rsidR="00735C27">
        <w:rPr>
          <w:rFonts w:ascii="Arial" w:hAnsi="Arial" w:cs="Arial"/>
          <w:bCs/>
          <w:sz w:val="20"/>
          <w:szCs w:val="20"/>
        </w:rPr>
        <w:t xml:space="preserve">Para as comorbidades metabólicas, </w:t>
      </w:r>
      <w:r w:rsidR="00636D44">
        <w:rPr>
          <w:rFonts w:ascii="Arial" w:hAnsi="Arial" w:cs="Arial"/>
          <w:bCs/>
          <w:sz w:val="20"/>
          <w:szCs w:val="20"/>
        </w:rPr>
        <w:t xml:space="preserve">como DM e HAS, </w:t>
      </w:r>
      <w:r w:rsidR="00735C27">
        <w:rPr>
          <w:rFonts w:ascii="Arial" w:hAnsi="Arial" w:cs="Arial"/>
          <w:bCs/>
          <w:sz w:val="20"/>
          <w:szCs w:val="20"/>
        </w:rPr>
        <w:t>também n</w:t>
      </w:r>
      <w:r w:rsidR="00636D44">
        <w:rPr>
          <w:rFonts w:ascii="Arial" w:hAnsi="Arial" w:cs="Arial"/>
          <w:bCs/>
          <w:sz w:val="20"/>
          <w:szCs w:val="20"/>
        </w:rPr>
        <w:t xml:space="preserve">ão soubemos precisar o tempo de doença </w:t>
      </w:r>
      <w:r w:rsidR="00047664">
        <w:rPr>
          <w:rFonts w:ascii="Arial" w:hAnsi="Arial" w:cs="Arial"/>
          <w:bCs/>
          <w:sz w:val="20"/>
          <w:szCs w:val="20"/>
        </w:rPr>
        <w:t>e por quanto tempo o paciente esteve em descont</w:t>
      </w:r>
      <w:r w:rsidR="00B5036E">
        <w:rPr>
          <w:rFonts w:ascii="Arial" w:hAnsi="Arial" w:cs="Arial"/>
          <w:bCs/>
          <w:sz w:val="20"/>
          <w:szCs w:val="20"/>
        </w:rPr>
        <w:t xml:space="preserve">role. </w:t>
      </w:r>
      <w:r w:rsidR="00EA6C85">
        <w:rPr>
          <w:rFonts w:ascii="Arial" w:hAnsi="Arial" w:cs="Arial"/>
          <w:bCs/>
          <w:sz w:val="20"/>
          <w:szCs w:val="20"/>
        </w:rPr>
        <w:t>E, ainda, não foi possível verificar a recorrência do CHC nos pacientes transplantados.</w:t>
      </w:r>
    </w:p>
    <w:p w14:paraId="1AFC3B6D" w14:textId="5980930C" w:rsidR="007526C6" w:rsidRPr="00221347" w:rsidRDefault="007526C6" w:rsidP="0068402D">
      <w:pPr>
        <w:spacing w:line="360" w:lineRule="auto"/>
        <w:jc w:val="both"/>
        <w:rPr>
          <w:rFonts w:ascii="Arial" w:hAnsi="Arial" w:cs="Arial"/>
          <w:b/>
          <w:sz w:val="20"/>
          <w:szCs w:val="20"/>
        </w:rPr>
      </w:pPr>
    </w:p>
    <w:p w14:paraId="75D26169" w14:textId="4284D1C3" w:rsidR="008A675E" w:rsidRPr="00221347" w:rsidRDefault="00D86671" w:rsidP="00DE3A1B">
      <w:pPr>
        <w:spacing w:line="360" w:lineRule="auto"/>
        <w:rPr>
          <w:rFonts w:ascii="Arial" w:hAnsi="Arial" w:cs="Arial"/>
          <w:b/>
          <w:sz w:val="20"/>
          <w:szCs w:val="20"/>
        </w:rPr>
      </w:pPr>
      <w:r w:rsidRPr="00221347">
        <w:rPr>
          <w:rFonts w:ascii="Arial" w:hAnsi="Arial" w:cs="Arial"/>
          <w:b/>
          <w:sz w:val="20"/>
          <w:szCs w:val="20"/>
        </w:rPr>
        <w:t xml:space="preserve">REFERÊNCIAS </w:t>
      </w:r>
    </w:p>
    <w:p w14:paraId="71E6CE67" w14:textId="77777777" w:rsidR="00DE3A1B" w:rsidRPr="00221347" w:rsidRDefault="00DE3A1B" w:rsidP="00DE3A1B">
      <w:pPr>
        <w:spacing w:line="360" w:lineRule="auto"/>
        <w:rPr>
          <w:rFonts w:ascii="Arial" w:hAnsi="Arial" w:cs="Arial"/>
          <w:b/>
          <w:sz w:val="20"/>
          <w:szCs w:val="20"/>
        </w:rPr>
      </w:pPr>
    </w:p>
    <w:p w14:paraId="44ECCFF1" w14:textId="1A6FB064" w:rsidR="0006794E" w:rsidRPr="00DE41D7" w:rsidRDefault="00652ADC" w:rsidP="0006794E">
      <w:pPr>
        <w:widowControl w:val="0"/>
        <w:autoSpaceDE w:val="0"/>
        <w:autoSpaceDN w:val="0"/>
        <w:adjustRightInd w:val="0"/>
        <w:spacing w:line="360" w:lineRule="auto"/>
        <w:ind w:left="640" w:hanging="640"/>
        <w:rPr>
          <w:rFonts w:ascii="Arial" w:hAnsi="Arial" w:cs="Arial"/>
          <w:noProof/>
          <w:sz w:val="20"/>
          <w:lang w:val="en-US"/>
        </w:rPr>
      </w:pPr>
      <w:r w:rsidRPr="00221347">
        <w:rPr>
          <w:rFonts w:ascii="Arial" w:hAnsi="Arial" w:cs="Arial"/>
          <w:b/>
          <w:sz w:val="20"/>
          <w:szCs w:val="20"/>
        </w:rPr>
        <w:fldChar w:fldCharType="begin" w:fldLock="1"/>
      </w:r>
      <w:r w:rsidRPr="00221347">
        <w:rPr>
          <w:rFonts w:ascii="Arial" w:hAnsi="Arial" w:cs="Arial"/>
          <w:b/>
          <w:sz w:val="20"/>
          <w:szCs w:val="20"/>
        </w:rPr>
        <w:instrText xml:space="preserve">ADDIN Mendeley Bibliography CSL_BIBLIOGRAPHY </w:instrText>
      </w:r>
      <w:r w:rsidRPr="00221347">
        <w:rPr>
          <w:rFonts w:ascii="Arial" w:hAnsi="Arial" w:cs="Arial"/>
          <w:b/>
          <w:sz w:val="20"/>
          <w:szCs w:val="20"/>
        </w:rPr>
        <w:fldChar w:fldCharType="separate"/>
      </w:r>
      <w:r w:rsidR="0006794E" w:rsidRPr="0006794E">
        <w:rPr>
          <w:rFonts w:ascii="Arial" w:hAnsi="Arial" w:cs="Arial"/>
          <w:noProof/>
          <w:sz w:val="20"/>
        </w:rPr>
        <w:t xml:space="preserve">1. </w:t>
      </w:r>
      <w:r w:rsidR="0006794E" w:rsidRPr="0006794E">
        <w:rPr>
          <w:rFonts w:ascii="Arial" w:hAnsi="Arial" w:cs="Arial"/>
          <w:noProof/>
          <w:sz w:val="20"/>
        </w:rPr>
        <w:tab/>
        <w:t xml:space="preserve">Villanueva A. Hepatocellular Carcinoma. </w:t>
      </w:r>
      <w:r w:rsidR="0006794E" w:rsidRPr="00DE41D7">
        <w:rPr>
          <w:rFonts w:ascii="Arial" w:hAnsi="Arial" w:cs="Arial"/>
          <w:noProof/>
          <w:sz w:val="20"/>
          <w:lang w:val="en-US"/>
        </w:rPr>
        <w:t xml:space="preserve">N Engl J Med. 2019 Apr;380(15):1450–62. </w:t>
      </w:r>
    </w:p>
    <w:p w14:paraId="4BF222E6"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2. </w:t>
      </w:r>
      <w:r w:rsidRPr="00DE41D7">
        <w:rPr>
          <w:rFonts w:ascii="Arial" w:hAnsi="Arial" w:cs="Arial"/>
          <w:noProof/>
          <w:sz w:val="20"/>
          <w:lang w:val="en-US"/>
        </w:rPr>
        <w:tab/>
        <w:t xml:space="preserve">Njei B, Rotman Y, Ditah I, Lim JK. Emerging trends in hepatocellular carcinoma incidence and mortality. Hepatology. 2015;61(1):191–9. </w:t>
      </w:r>
    </w:p>
    <w:p w14:paraId="23319CEF"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 </w:t>
      </w:r>
      <w:r w:rsidRPr="00DE41D7">
        <w:rPr>
          <w:rFonts w:ascii="Arial" w:hAnsi="Arial" w:cs="Arial"/>
          <w:noProof/>
          <w:sz w:val="20"/>
          <w:lang w:val="en-US"/>
        </w:rPr>
        <w:tab/>
        <w:t xml:space="preserve">Severi T, Van Malenstein H, Verslype C, Van Pelt JF. Tumor initiation and progression in hepatocellular carcinoma: Risk factors, classification, and therapeutic targets. Acta Pharmacol Sin. 2010;31(11):1409–20. </w:t>
      </w:r>
    </w:p>
    <w:p w14:paraId="415E4C53"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4. </w:t>
      </w:r>
      <w:r w:rsidRPr="00DE41D7">
        <w:rPr>
          <w:rFonts w:ascii="Arial" w:hAnsi="Arial" w:cs="Arial"/>
          <w:noProof/>
          <w:sz w:val="20"/>
          <w:lang w:val="en-US"/>
        </w:rPr>
        <w:tab/>
        <w:t xml:space="preserve">Kulik L, El-Serag HB. Epidemiology and Management of Hepatocellular Carcinoma. </w:t>
      </w:r>
      <w:r w:rsidRPr="0006794E">
        <w:rPr>
          <w:rFonts w:ascii="Arial" w:hAnsi="Arial" w:cs="Arial"/>
          <w:noProof/>
          <w:sz w:val="20"/>
        </w:rPr>
        <w:t xml:space="preserve">Gastroenterology. 2019;156(2):477-491.e1. </w:t>
      </w:r>
    </w:p>
    <w:p w14:paraId="59A2DB46"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5. </w:t>
      </w:r>
      <w:r w:rsidRPr="0006794E">
        <w:rPr>
          <w:rFonts w:ascii="Arial" w:hAnsi="Arial" w:cs="Arial"/>
          <w:noProof/>
          <w:sz w:val="20"/>
        </w:rPr>
        <w:tab/>
        <w:t xml:space="preserve">El-Serag HB. Hepatocellular Carcinoma. N Engl J Med. 2011 Sep 22;365(12):1118–27. </w:t>
      </w:r>
    </w:p>
    <w:p w14:paraId="57C30570"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6. </w:t>
      </w:r>
      <w:r w:rsidRPr="00DE41D7">
        <w:rPr>
          <w:rFonts w:ascii="Arial" w:hAnsi="Arial" w:cs="Arial"/>
          <w:noProof/>
          <w:sz w:val="20"/>
          <w:lang w:val="en-US"/>
        </w:rPr>
        <w:tab/>
        <w:t xml:space="preserve">Finn RS, Qin S, Ikeda M, Galle PR, Ducreux M, Kim TY, et al. Atezolizumab plus bevacizumab in unresectable hepatocellular carcinoma. N Engl J Med. 2020;382(20):1894–905. </w:t>
      </w:r>
    </w:p>
    <w:p w14:paraId="6FB480F0"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7. </w:t>
      </w:r>
      <w:r w:rsidRPr="00DE41D7">
        <w:rPr>
          <w:rFonts w:ascii="Arial" w:hAnsi="Arial" w:cs="Arial"/>
          <w:noProof/>
          <w:sz w:val="20"/>
          <w:lang w:val="en-US"/>
        </w:rPr>
        <w:tab/>
        <w:t xml:space="preserve">Shiels MS, O’Brien TR. Recent Decline in Hepatocellular Carcinoma Rates in the United States. Gastroenterology. 2020;158(5):1503-1505.e2. </w:t>
      </w:r>
    </w:p>
    <w:p w14:paraId="7AC35C90"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8. </w:t>
      </w:r>
      <w:r w:rsidRPr="00DE41D7">
        <w:rPr>
          <w:rFonts w:ascii="Arial" w:hAnsi="Arial" w:cs="Arial"/>
          <w:noProof/>
          <w:sz w:val="20"/>
          <w:lang w:val="en-US"/>
        </w:rPr>
        <w:tab/>
        <w:t xml:space="preserve">Article R. Use of Liver Imaging and Biopsy in Clinical Practice. 2017; </w:t>
      </w:r>
    </w:p>
    <w:p w14:paraId="33C2F760"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9. </w:t>
      </w:r>
      <w:r w:rsidRPr="00DE41D7">
        <w:rPr>
          <w:rFonts w:ascii="Arial" w:hAnsi="Arial" w:cs="Arial"/>
          <w:noProof/>
          <w:sz w:val="20"/>
          <w:lang w:val="en-US"/>
        </w:rPr>
        <w:tab/>
        <w:t xml:space="preserve">Chalasani N, Younossi Z, Lavine JE, Diehl AM, Brunt EM, Cusi K, et al. The diagnosis and management of non-alcoholic fatty liver disease: Practice Guideline by the American </w:t>
      </w:r>
      <w:r w:rsidRPr="00DE41D7">
        <w:rPr>
          <w:rFonts w:ascii="Arial" w:hAnsi="Arial" w:cs="Arial"/>
          <w:noProof/>
          <w:sz w:val="20"/>
          <w:lang w:val="en-US"/>
        </w:rPr>
        <w:lastRenderedPageBreak/>
        <w:t xml:space="preserve">Association for the Study of Liver Diseases, American College of Gastroenterology, and the American Gastroenterological Association. Hepatology. 2012;55(6):2005–23. </w:t>
      </w:r>
    </w:p>
    <w:p w14:paraId="5998E97A"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10. </w:t>
      </w:r>
      <w:r w:rsidRPr="00DE41D7">
        <w:rPr>
          <w:rFonts w:ascii="Arial" w:hAnsi="Arial" w:cs="Arial"/>
          <w:noProof/>
          <w:sz w:val="20"/>
          <w:lang w:val="en-US"/>
        </w:rPr>
        <w:tab/>
        <w:t xml:space="preserve">Tapper EB, Lok ASF. Use of liver imaging and biopsy in clinical practice. N Engl J Med. 2017;377(8):756–68. </w:t>
      </w:r>
    </w:p>
    <w:p w14:paraId="5A41D1B9"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11. </w:t>
      </w:r>
      <w:r w:rsidRPr="00DE41D7">
        <w:rPr>
          <w:rFonts w:ascii="Arial" w:hAnsi="Arial" w:cs="Arial"/>
          <w:noProof/>
          <w:sz w:val="20"/>
          <w:lang w:val="en-US"/>
        </w:rPr>
        <w:tab/>
        <w:t xml:space="preserve">Isabela Andronescu C, Roxana Purcarea M, Aurel Babes P. The role of noninvasive tests and liver biopsy in the diagnosis of nonalcoholic fatty liver disease. J Med Life. 2018;11(3):243–6. </w:t>
      </w:r>
    </w:p>
    <w:p w14:paraId="2A178F55"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12. </w:t>
      </w:r>
      <w:r w:rsidRPr="00DE41D7">
        <w:rPr>
          <w:rFonts w:ascii="Arial" w:hAnsi="Arial" w:cs="Arial"/>
          <w:noProof/>
          <w:sz w:val="20"/>
          <w:lang w:val="en-US"/>
        </w:rPr>
        <w:tab/>
        <w:t xml:space="preserve">Loomba R, Sanyal AJ. The global NAFLD epidemic. Nat Rev Gastroenterol Hepatol. 2013;10(11):686–90. </w:t>
      </w:r>
    </w:p>
    <w:p w14:paraId="64E283A6"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13. </w:t>
      </w:r>
      <w:r w:rsidRPr="00DE41D7">
        <w:rPr>
          <w:rFonts w:ascii="Arial" w:hAnsi="Arial" w:cs="Arial"/>
          <w:noProof/>
          <w:sz w:val="20"/>
          <w:lang w:val="en-US"/>
        </w:rPr>
        <w:tab/>
        <w:t xml:space="preserve">Lazo M, Clark JM. The epidemiology of nonalcoholic fatty liver disease: A global perspective. Semin Liver Dis. 2008;28(4):339–50. </w:t>
      </w:r>
    </w:p>
    <w:p w14:paraId="60E153FD"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14. </w:t>
      </w:r>
      <w:r w:rsidRPr="00DE41D7">
        <w:rPr>
          <w:rFonts w:ascii="Arial" w:hAnsi="Arial" w:cs="Arial"/>
          <w:noProof/>
          <w:sz w:val="20"/>
          <w:lang w:val="en-US"/>
        </w:rPr>
        <w:tab/>
        <w:t xml:space="preserve">Hossain N, Afendy A, Stepanova M, Nader F, Srishord M, Rafiq N, et al. Independent Predictors of Fibrosis in Patients With Nonalcoholic Fatty Liver Disease. Clin Gastroenterol Hepatol. 2009;7(11):1224-1229.e2. </w:t>
      </w:r>
    </w:p>
    <w:p w14:paraId="3F600533"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15. </w:t>
      </w:r>
      <w:r w:rsidRPr="00DE41D7">
        <w:rPr>
          <w:rFonts w:ascii="Arial" w:hAnsi="Arial" w:cs="Arial"/>
          <w:noProof/>
          <w:sz w:val="20"/>
          <w:lang w:val="en-US"/>
        </w:rPr>
        <w:tab/>
        <w:t xml:space="preserve">Younossi ZM, Otgonsuren M, Venkatesan C, Mishra A. In patients with non-alcoholic fatty liver disease, metabolically abnormal individuals are at a higher risk for mortality while metabolically normal individuals are not. Metabolism. 2013;62(3):352–60. </w:t>
      </w:r>
    </w:p>
    <w:p w14:paraId="61B44BC5"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16. </w:t>
      </w:r>
      <w:r w:rsidRPr="00DE41D7">
        <w:rPr>
          <w:rFonts w:ascii="Arial" w:hAnsi="Arial" w:cs="Arial"/>
          <w:noProof/>
          <w:sz w:val="20"/>
          <w:lang w:val="en-US"/>
        </w:rPr>
        <w:tab/>
        <w:t xml:space="preserve">Davila JA, Morgan RO, Shaib Y, McGlynn KA, El-Serag HB. Diabetes increases the risk of hepatocellular carcinoma in the United States: A population based case control study. </w:t>
      </w:r>
      <w:r w:rsidRPr="0006794E">
        <w:rPr>
          <w:rFonts w:ascii="Arial" w:hAnsi="Arial" w:cs="Arial"/>
          <w:noProof/>
          <w:sz w:val="20"/>
        </w:rPr>
        <w:t xml:space="preserve">Gut. 2005;54(4):533–9. </w:t>
      </w:r>
    </w:p>
    <w:p w14:paraId="5CCBA107"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06794E">
        <w:rPr>
          <w:rFonts w:ascii="Arial" w:hAnsi="Arial" w:cs="Arial"/>
          <w:noProof/>
          <w:sz w:val="20"/>
        </w:rPr>
        <w:t xml:space="preserve">17. </w:t>
      </w:r>
      <w:r w:rsidRPr="0006794E">
        <w:rPr>
          <w:rFonts w:ascii="Arial" w:hAnsi="Arial" w:cs="Arial"/>
          <w:noProof/>
          <w:sz w:val="20"/>
        </w:rPr>
        <w:tab/>
        <w:t xml:space="preserve">Pais R, Fartoux L, Goumard C, Scatton O, Wendum D, Rosmorduc O, et al. </w:t>
      </w:r>
      <w:r w:rsidRPr="00DE41D7">
        <w:rPr>
          <w:rFonts w:ascii="Arial" w:hAnsi="Arial" w:cs="Arial"/>
          <w:noProof/>
          <w:sz w:val="20"/>
          <w:lang w:val="en-US"/>
        </w:rPr>
        <w:t xml:space="preserve">Temporal trends, clinical patterns and outcomes of NAFLD-related HCC in patients undergoing liver resection over a 20-year period. Aliment Pharmacol Ther. 2017;46(9):856–63. </w:t>
      </w:r>
    </w:p>
    <w:p w14:paraId="0AED68EE"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18. </w:t>
      </w:r>
      <w:r w:rsidRPr="00DE41D7">
        <w:rPr>
          <w:rFonts w:ascii="Arial" w:hAnsi="Arial" w:cs="Arial"/>
          <w:noProof/>
          <w:sz w:val="20"/>
          <w:lang w:val="en-US"/>
        </w:rPr>
        <w:tab/>
        <w:t xml:space="preserve">Terrault NA, Zeuzem S, Di Bisceglie AM, Lim JK, Pockros PJ, Frazier LM, et al. Effectiveness of Ledipasvir-Sofosbuvir Combination in Patients With Hepatitis C  Virus Infection and Factors Associated With Sustained Virologic Response. Gastroenterology. 2016 Dec;151(6):1131-1140.e5. </w:t>
      </w:r>
    </w:p>
    <w:p w14:paraId="50DF2EB4"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19. </w:t>
      </w:r>
      <w:r w:rsidRPr="00DE41D7">
        <w:rPr>
          <w:rFonts w:ascii="Arial" w:hAnsi="Arial" w:cs="Arial"/>
          <w:noProof/>
          <w:sz w:val="20"/>
          <w:lang w:val="en-US"/>
        </w:rPr>
        <w:tab/>
        <w:t>TURRI JAO, DECIMONI TC, FERREIRA LA, DINIZ MA, HADDAD LB de P, CAMPOLINA AG. Higher MELD score increases the overall cost on the waiting list for liver transplantation: a micro-costing analysis based study. Arq Gastroenterol [Internet]. 2017 Jul 13;54(3):238–45. Available from: http://www.scielo.br/scielo.php?script=sci_arttext&amp;pid=S0004-28032017000300238&amp;lng=en&amp;tlng=en</w:t>
      </w:r>
    </w:p>
    <w:p w14:paraId="1D0F8ABB"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06794E">
        <w:rPr>
          <w:rFonts w:ascii="Arial" w:hAnsi="Arial" w:cs="Arial"/>
          <w:noProof/>
          <w:sz w:val="20"/>
        </w:rPr>
        <w:t xml:space="preserve">20. </w:t>
      </w:r>
      <w:r w:rsidRPr="0006794E">
        <w:rPr>
          <w:rFonts w:ascii="Arial" w:hAnsi="Arial" w:cs="Arial"/>
          <w:noProof/>
          <w:sz w:val="20"/>
        </w:rPr>
        <w:tab/>
        <w:t xml:space="preserve">de FREITAS ACT, Rampim AT, Nunes CP, Coelho JCU. </w:t>
      </w:r>
      <w:r w:rsidRPr="00DE41D7">
        <w:rPr>
          <w:rFonts w:ascii="Arial" w:hAnsi="Arial" w:cs="Arial"/>
          <w:noProof/>
          <w:sz w:val="20"/>
          <w:lang w:val="en-US"/>
        </w:rPr>
        <w:t xml:space="preserve">Impact of meld sodium on liver transplantation waiting list. Arq Bras Cir Dig. 2019;32(3):e1460. </w:t>
      </w:r>
    </w:p>
    <w:p w14:paraId="7849EB84"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21. </w:t>
      </w:r>
      <w:r w:rsidRPr="00DE41D7">
        <w:rPr>
          <w:rFonts w:ascii="Arial" w:hAnsi="Arial" w:cs="Arial"/>
          <w:noProof/>
          <w:sz w:val="20"/>
          <w:lang w:val="en-US"/>
        </w:rPr>
        <w:tab/>
        <w:t xml:space="preserve">Heuman DM, Abou-assi SG, Habib A, Williams LM, Stravitz RT, Sanyal AJ, et al. Persistent ascites and low serum sodium identify patients with cirrhosis and low MELD scores who are at high risk for early death. </w:t>
      </w:r>
      <w:r w:rsidRPr="0006794E">
        <w:rPr>
          <w:rFonts w:ascii="Arial" w:hAnsi="Arial" w:cs="Arial"/>
          <w:noProof/>
          <w:sz w:val="20"/>
        </w:rPr>
        <w:t xml:space="preserve">Hepatology. 2004 Oct;40(4):802–10. </w:t>
      </w:r>
    </w:p>
    <w:p w14:paraId="46DD2103"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06794E">
        <w:rPr>
          <w:rFonts w:ascii="Arial" w:hAnsi="Arial" w:cs="Arial"/>
          <w:noProof/>
          <w:sz w:val="20"/>
        </w:rPr>
        <w:t xml:space="preserve">22. </w:t>
      </w:r>
      <w:r w:rsidRPr="0006794E">
        <w:rPr>
          <w:rFonts w:ascii="Arial" w:hAnsi="Arial" w:cs="Arial"/>
          <w:noProof/>
          <w:sz w:val="20"/>
        </w:rPr>
        <w:tab/>
        <w:t xml:space="preserve">de Camargo Aranzana EM, Coppini AZ, Ribeiro MA, Massarollo PCB, Szutan LA, Ferreira FG. </w:t>
      </w:r>
      <w:r w:rsidRPr="00DE41D7">
        <w:rPr>
          <w:rFonts w:ascii="Arial" w:hAnsi="Arial" w:cs="Arial"/>
          <w:noProof/>
          <w:sz w:val="20"/>
          <w:lang w:val="en-US"/>
        </w:rPr>
        <w:t xml:space="preserve">Model for end-stage liver disease, model for liver transplantation survival and donor risk index as predictive models of survival after liver transplantation in 1,006 patients. Clinics. 2015;70(6):413–8. </w:t>
      </w:r>
    </w:p>
    <w:p w14:paraId="2C4845E2"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lastRenderedPageBreak/>
        <w:t xml:space="preserve">23. </w:t>
      </w:r>
      <w:r w:rsidRPr="00DE41D7">
        <w:rPr>
          <w:rFonts w:ascii="Arial" w:hAnsi="Arial" w:cs="Arial"/>
          <w:noProof/>
          <w:sz w:val="20"/>
          <w:lang w:val="en-US"/>
        </w:rPr>
        <w:tab/>
        <w:t xml:space="preserve">Kaibori M, Ishizaki M, Matsui K, Kwon A-H. Predictors of microvascular invasion before hepatectomy for hepatocellular  carcinoma. J Surg Oncol. 2010 Oct;102(5):462–8. </w:t>
      </w:r>
    </w:p>
    <w:p w14:paraId="6BADC81D"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24. </w:t>
      </w:r>
      <w:r w:rsidRPr="00DE41D7">
        <w:rPr>
          <w:rFonts w:ascii="Arial" w:hAnsi="Arial" w:cs="Arial"/>
          <w:noProof/>
          <w:sz w:val="20"/>
          <w:lang w:val="en-US"/>
        </w:rPr>
        <w:tab/>
        <w:t xml:space="preserve">Sumie S, Kuromatsu R, Okuda K, Ando E, Takata A, Fukushima N, et al. Microvascular Invasion in Patients with Hepatocellular Carcinoma and Its Predictable Clinicopathological Factors. 2008;15(5):1375–82. </w:t>
      </w:r>
    </w:p>
    <w:p w14:paraId="04E2F8A6"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25. </w:t>
      </w:r>
      <w:r w:rsidRPr="00DE41D7">
        <w:rPr>
          <w:rFonts w:ascii="Arial" w:hAnsi="Arial" w:cs="Arial"/>
          <w:noProof/>
          <w:sz w:val="20"/>
          <w:lang w:val="en-US"/>
        </w:rPr>
        <w:tab/>
        <w:t xml:space="preserve">Zhao WC, Fan LF, Yang N, Zhang HB, Chen BD, Yang GS. Preoperative predictors of microvascular invasion in multinodular hepatocellular carcinoma. Eur J Surg Oncol. 2013 Aug;39(8):858–64. </w:t>
      </w:r>
    </w:p>
    <w:p w14:paraId="1269B261"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26. </w:t>
      </w:r>
      <w:r w:rsidRPr="00DE41D7">
        <w:rPr>
          <w:rFonts w:ascii="Arial" w:hAnsi="Arial" w:cs="Arial"/>
          <w:noProof/>
          <w:sz w:val="20"/>
          <w:lang w:val="en-US"/>
        </w:rPr>
        <w:tab/>
        <w:t xml:space="preserve">Choi KK, Kim SH, Choi SB, Lim JH, Choi GH, Choi JS, et al. Portal venous invasion: The single most independent risk factor for immediate postoperative recurrence of hepatocellular carcinoma. </w:t>
      </w:r>
      <w:r w:rsidRPr="0006794E">
        <w:rPr>
          <w:rFonts w:ascii="Arial" w:hAnsi="Arial" w:cs="Arial"/>
          <w:noProof/>
          <w:sz w:val="20"/>
        </w:rPr>
        <w:t xml:space="preserve">J Gastroenterol Hepatol. 2011 Nov;26(11):1646–51. </w:t>
      </w:r>
    </w:p>
    <w:p w14:paraId="7BECDDF2"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06794E">
        <w:rPr>
          <w:rFonts w:ascii="Arial" w:hAnsi="Arial" w:cs="Arial"/>
          <w:noProof/>
          <w:sz w:val="20"/>
        </w:rPr>
        <w:t xml:space="preserve">27. </w:t>
      </w:r>
      <w:r w:rsidRPr="0006794E">
        <w:rPr>
          <w:rFonts w:ascii="Arial" w:hAnsi="Arial" w:cs="Arial"/>
          <w:noProof/>
          <w:sz w:val="20"/>
        </w:rPr>
        <w:tab/>
        <w:t xml:space="preserve">Sumie S, Kuromatsu R, Okuda K, Ando E, Takata A, Fukushima N, et al. </w:t>
      </w:r>
      <w:r w:rsidRPr="00DE41D7">
        <w:rPr>
          <w:rFonts w:ascii="Arial" w:hAnsi="Arial" w:cs="Arial"/>
          <w:noProof/>
          <w:sz w:val="20"/>
          <w:lang w:val="en-US"/>
        </w:rPr>
        <w:t xml:space="preserve">Microvascular invasion in patients with hepatocellular carcinoma and its predictable  clinicopathological factors. Ann Surg Oncol. 2008 May;15(5):1375–82. </w:t>
      </w:r>
    </w:p>
    <w:p w14:paraId="490B7B49"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28. </w:t>
      </w:r>
      <w:r w:rsidRPr="00DE41D7">
        <w:rPr>
          <w:rFonts w:ascii="Arial" w:hAnsi="Arial" w:cs="Arial"/>
          <w:noProof/>
          <w:sz w:val="20"/>
          <w:lang w:val="en-US"/>
        </w:rPr>
        <w:tab/>
        <w:t xml:space="preserve">Zhang X, Li J, Shen F, Lau WY. Significance of presence of microvascular invasion in specimens obtained after  surgical treatment of hepatocellular carcinoma. </w:t>
      </w:r>
      <w:r w:rsidRPr="0006794E">
        <w:rPr>
          <w:rFonts w:ascii="Arial" w:hAnsi="Arial" w:cs="Arial"/>
          <w:noProof/>
          <w:sz w:val="20"/>
        </w:rPr>
        <w:t xml:space="preserve">J Gastroenterol Hepatol. 2018 Feb;33(2):347–54. </w:t>
      </w:r>
    </w:p>
    <w:p w14:paraId="5885686C"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29. </w:t>
      </w:r>
      <w:r w:rsidRPr="0006794E">
        <w:rPr>
          <w:rFonts w:ascii="Arial" w:hAnsi="Arial" w:cs="Arial"/>
          <w:noProof/>
          <w:sz w:val="20"/>
        </w:rPr>
        <w:tab/>
        <w:t xml:space="preserve">Lahan-Martins D, Perales SR, Gallani SK, Costa LBE da, Lago EAD, Boin I de FSF, et al. </w:t>
      </w:r>
      <w:r w:rsidRPr="00DE41D7">
        <w:rPr>
          <w:rFonts w:ascii="Arial" w:hAnsi="Arial" w:cs="Arial"/>
          <w:noProof/>
          <w:sz w:val="20"/>
          <w:lang w:val="en-US"/>
        </w:rPr>
        <w:t xml:space="preserve">Microvascular invasion in hepatocellular carcinoma: Is it predictable with quantitative computed tomography parameters? </w:t>
      </w:r>
      <w:r w:rsidRPr="0006794E">
        <w:rPr>
          <w:rFonts w:ascii="Arial" w:hAnsi="Arial" w:cs="Arial"/>
          <w:noProof/>
          <w:sz w:val="20"/>
        </w:rPr>
        <w:t xml:space="preserve">Radiol Bras. 2019;52(5):287–92. </w:t>
      </w:r>
    </w:p>
    <w:p w14:paraId="1103ED53"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30. </w:t>
      </w:r>
      <w:r w:rsidRPr="0006794E">
        <w:rPr>
          <w:rFonts w:ascii="Arial" w:hAnsi="Arial" w:cs="Arial"/>
          <w:noProof/>
          <w:sz w:val="20"/>
        </w:rPr>
        <w:tab/>
        <w:t xml:space="preserve">Carrilho FJ, Kikuchi L, Branco F, Goncalves CS, Mattos AA de. Clinical and epidemiological aspects of hepatocellular carcinoma in Brazil. Clinics (Sao Paulo). 2010;65(12):1285–90. </w:t>
      </w:r>
    </w:p>
    <w:p w14:paraId="5EB446D1"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31. </w:t>
      </w:r>
      <w:r w:rsidRPr="0006794E">
        <w:rPr>
          <w:rFonts w:ascii="Arial" w:hAnsi="Arial" w:cs="Arial"/>
          <w:noProof/>
          <w:sz w:val="20"/>
        </w:rPr>
        <w:tab/>
        <w:t xml:space="preserve">Davila JA, Morgan RO, Shaib Y, Mcglynn KA. </w:t>
      </w:r>
      <w:r w:rsidRPr="00DE41D7">
        <w:rPr>
          <w:rFonts w:ascii="Arial" w:hAnsi="Arial" w:cs="Arial"/>
          <w:noProof/>
          <w:sz w:val="20"/>
          <w:lang w:val="en-US"/>
        </w:rPr>
        <w:t xml:space="preserve">Diabetes increases the risk of hepatocellular carcinoma in the United States: a population based case control study. </w:t>
      </w:r>
      <w:r w:rsidRPr="0006794E">
        <w:rPr>
          <w:rFonts w:ascii="Arial" w:hAnsi="Arial" w:cs="Arial"/>
          <w:noProof/>
          <w:sz w:val="20"/>
        </w:rPr>
        <w:t xml:space="preserve">2005;533–40. </w:t>
      </w:r>
    </w:p>
    <w:p w14:paraId="450DAC92"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32. </w:t>
      </w:r>
      <w:r w:rsidRPr="0006794E">
        <w:rPr>
          <w:rFonts w:ascii="Arial" w:hAnsi="Arial" w:cs="Arial"/>
          <w:noProof/>
          <w:sz w:val="20"/>
        </w:rPr>
        <w:tab/>
        <w:t>Pesquisa Nacional por Amostra de Domicílios (PNAD) [Internet]. 2016. [cited 2020 Oct 4]. Available from: http://www.ibge.gov.br</w:t>
      </w:r>
    </w:p>
    <w:p w14:paraId="38A2456A"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06794E">
        <w:rPr>
          <w:rFonts w:ascii="Arial" w:hAnsi="Arial" w:cs="Arial"/>
          <w:noProof/>
          <w:sz w:val="20"/>
        </w:rPr>
        <w:t xml:space="preserve">33. </w:t>
      </w:r>
      <w:r w:rsidRPr="0006794E">
        <w:rPr>
          <w:rFonts w:ascii="Arial" w:hAnsi="Arial" w:cs="Arial"/>
          <w:noProof/>
          <w:sz w:val="20"/>
        </w:rPr>
        <w:tab/>
        <w:t>Gomes MA, Priolli DG, TralhÃ\poundso JG, Botelho MF. Carcinoma hepatocelular: epidemiologia, biologia, diagnÃ\textthreesuperiorstico e terapias. Rev da Assoc MÃ\copyrightdica Bras [Internet]. 2013;59:514–24. Available from: http://www.scielo.br/scielo.php?script=sci_arttext&amp;pid=S0104-42302013000500017&amp;nrm=iso</w:t>
      </w:r>
    </w:p>
    <w:p w14:paraId="444DCE52"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34. </w:t>
      </w:r>
      <w:r w:rsidRPr="00DE41D7">
        <w:rPr>
          <w:rFonts w:ascii="Arial" w:hAnsi="Arial" w:cs="Arial"/>
          <w:noProof/>
          <w:sz w:val="20"/>
          <w:lang w:val="en-US"/>
        </w:rPr>
        <w:tab/>
        <w:t xml:space="preserve">Bertacco A, Barbieri S, Guastalla G, Boetto R, Vitale A, Zanus G, et al. Risk Factors for Early Mortality in Liver Transplant Patients. Transplant Proc. 2019;51(1):179–83. </w:t>
      </w:r>
    </w:p>
    <w:p w14:paraId="77F0FF52"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35. </w:t>
      </w:r>
      <w:r w:rsidRPr="00DE41D7">
        <w:rPr>
          <w:rFonts w:ascii="Arial" w:hAnsi="Arial" w:cs="Arial"/>
          <w:noProof/>
          <w:sz w:val="20"/>
          <w:lang w:val="en-US"/>
        </w:rPr>
        <w:tab/>
        <w:t xml:space="preserve">Yang T, Zhang J, Lu J-H, Yang G-S, Wu M-C, Yu W-F. Risk factors influencing postoperative outcomes of major hepatic resection of  hepatocellular carcinoma for patients with underlying liver diseases. World J Surg. 2011 Sep;35(9):2073–82. </w:t>
      </w:r>
    </w:p>
    <w:p w14:paraId="737FDD54"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36. </w:t>
      </w:r>
      <w:r w:rsidRPr="00DE41D7">
        <w:rPr>
          <w:rFonts w:ascii="Arial" w:hAnsi="Arial" w:cs="Arial"/>
          <w:noProof/>
          <w:sz w:val="20"/>
          <w:lang w:val="en-US"/>
        </w:rPr>
        <w:tab/>
        <w:t xml:space="preserve">Bruix J, Reig M, Sherman M. Evidence-Based Diagnosis, Staging, and Treatment of Patients With Hepatocellular  Carcinoma. Gastroenterology. 2016 Apr;150(4):835–53. </w:t>
      </w:r>
    </w:p>
    <w:p w14:paraId="0B5AD921"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37. </w:t>
      </w:r>
      <w:r w:rsidRPr="00DE41D7">
        <w:rPr>
          <w:rFonts w:ascii="Arial" w:hAnsi="Arial" w:cs="Arial"/>
          <w:noProof/>
          <w:sz w:val="20"/>
          <w:lang w:val="en-US"/>
        </w:rPr>
        <w:tab/>
        <w:t xml:space="preserve">Hsu HC, Sheu JC, Lin YH, Chen DS, Lee CS, Hwang LY, et al. Prognostic histologic features of resected small hepatocellular carcinoma (HCC) in  Taiwan. A comparison with resected large HCC. Cancer. 1985 Aug;56(3):672–80. </w:t>
      </w:r>
    </w:p>
    <w:p w14:paraId="374872F9"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lastRenderedPageBreak/>
        <w:t xml:space="preserve">38. </w:t>
      </w:r>
      <w:r w:rsidRPr="00DE41D7">
        <w:rPr>
          <w:rFonts w:ascii="Arial" w:hAnsi="Arial" w:cs="Arial"/>
          <w:noProof/>
          <w:sz w:val="20"/>
          <w:lang w:val="en-US"/>
        </w:rPr>
        <w:tab/>
        <w:t xml:space="preserve">Kim WR, Biggins SW, Kremers WK, Wiesner RH, Kamath PS, Benson JT, et al. Hyponatremia and mortality among patients on the liver-transplant waiting list. N Engl J Med. 2008;359(10):1018–26. </w:t>
      </w:r>
    </w:p>
    <w:p w14:paraId="716F85D5" w14:textId="77777777" w:rsidR="0006794E" w:rsidRPr="00DE41D7" w:rsidRDefault="0006794E" w:rsidP="0006794E">
      <w:pPr>
        <w:widowControl w:val="0"/>
        <w:autoSpaceDE w:val="0"/>
        <w:autoSpaceDN w:val="0"/>
        <w:adjustRightInd w:val="0"/>
        <w:spacing w:line="360" w:lineRule="auto"/>
        <w:ind w:left="640" w:hanging="640"/>
        <w:rPr>
          <w:rFonts w:ascii="Arial" w:hAnsi="Arial" w:cs="Arial"/>
          <w:noProof/>
          <w:sz w:val="20"/>
          <w:lang w:val="en-US"/>
        </w:rPr>
      </w:pPr>
      <w:r w:rsidRPr="00DE41D7">
        <w:rPr>
          <w:rFonts w:ascii="Arial" w:hAnsi="Arial" w:cs="Arial"/>
          <w:noProof/>
          <w:sz w:val="20"/>
          <w:lang w:val="en-US"/>
        </w:rPr>
        <w:t xml:space="preserve">39. </w:t>
      </w:r>
      <w:r w:rsidRPr="00DE41D7">
        <w:rPr>
          <w:rFonts w:ascii="Arial" w:hAnsi="Arial" w:cs="Arial"/>
          <w:noProof/>
          <w:sz w:val="20"/>
          <w:lang w:val="en-US"/>
        </w:rPr>
        <w:tab/>
        <w:t xml:space="preserve">Luo X, Leanza J, Massie AB, Garonzik-Wang JM, Haugen CE, Gentry SE, et al. MELD as a metric for survival benefit of liver transplantation. Am J Transplant. 2018;18(5):1231–7. </w:t>
      </w:r>
    </w:p>
    <w:p w14:paraId="5E6E323D" w14:textId="77777777" w:rsidR="0006794E" w:rsidRPr="0006794E" w:rsidRDefault="0006794E" w:rsidP="0006794E">
      <w:pPr>
        <w:widowControl w:val="0"/>
        <w:autoSpaceDE w:val="0"/>
        <w:autoSpaceDN w:val="0"/>
        <w:adjustRightInd w:val="0"/>
        <w:spacing w:line="360" w:lineRule="auto"/>
        <w:ind w:left="640" w:hanging="640"/>
        <w:rPr>
          <w:rFonts w:ascii="Arial" w:hAnsi="Arial" w:cs="Arial"/>
          <w:noProof/>
          <w:sz w:val="20"/>
        </w:rPr>
      </w:pPr>
      <w:r w:rsidRPr="00DE41D7">
        <w:rPr>
          <w:rFonts w:ascii="Arial" w:hAnsi="Arial" w:cs="Arial"/>
          <w:noProof/>
          <w:sz w:val="20"/>
          <w:lang w:val="en-US"/>
        </w:rPr>
        <w:t xml:space="preserve">40. </w:t>
      </w:r>
      <w:r w:rsidRPr="00DE41D7">
        <w:rPr>
          <w:rFonts w:ascii="Arial" w:hAnsi="Arial" w:cs="Arial"/>
          <w:noProof/>
          <w:sz w:val="20"/>
          <w:lang w:val="en-US"/>
        </w:rPr>
        <w:tab/>
        <w:t xml:space="preserve">Jacob M, Copley LP, Lewsey JD, Gimson A, Toogood GJ, Rela M, et al. Pretransplant MELD score and post liver transplantation survival in the UK and Ireland. </w:t>
      </w:r>
      <w:r w:rsidRPr="0006794E">
        <w:rPr>
          <w:rFonts w:ascii="Arial" w:hAnsi="Arial" w:cs="Arial"/>
          <w:noProof/>
          <w:sz w:val="20"/>
        </w:rPr>
        <w:t xml:space="preserve">Liver Transplant. 2004;10(7):903–7. </w:t>
      </w:r>
    </w:p>
    <w:p w14:paraId="72CBC1AF" w14:textId="5C773FBB" w:rsidR="008A675E" w:rsidRPr="00221347" w:rsidRDefault="00652ADC" w:rsidP="00221347">
      <w:pPr>
        <w:widowControl w:val="0"/>
        <w:autoSpaceDE w:val="0"/>
        <w:autoSpaceDN w:val="0"/>
        <w:adjustRightInd w:val="0"/>
        <w:spacing w:line="360" w:lineRule="auto"/>
        <w:ind w:left="640" w:hanging="640"/>
        <w:jc w:val="both"/>
        <w:rPr>
          <w:rFonts w:ascii="Arial" w:hAnsi="Arial" w:cs="Arial"/>
          <w:b/>
          <w:sz w:val="20"/>
          <w:szCs w:val="20"/>
          <w:lang w:val="en-US"/>
        </w:rPr>
      </w:pPr>
      <w:r w:rsidRPr="00221347">
        <w:rPr>
          <w:rFonts w:ascii="Arial" w:hAnsi="Arial" w:cs="Arial"/>
          <w:b/>
          <w:sz w:val="20"/>
          <w:szCs w:val="20"/>
        </w:rPr>
        <w:fldChar w:fldCharType="end"/>
      </w:r>
    </w:p>
    <w:p w14:paraId="55FC68A2" w14:textId="77777777" w:rsidR="008A675E" w:rsidRPr="00221347" w:rsidRDefault="008A675E" w:rsidP="0068402D">
      <w:pPr>
        <w:spacing w:line="360" w:lineRule="auto"/>
        <w:jc w:val="both"/>
        <w:rPr>
          <w:rFonts w:ascii="Arial" w:hAnsi="Arial" w:cs="Arial"/>
          <w:b/>
          <w:sz w:val="20"/>
          <w:szCs w:val="20"/>
          <w:lang w:val="en-US"/>
        </w:rPr>
      </w:pPr>
    </w:p>
    <w:p w14:paraId="0DD221B4" w14:textId="77777777" w:rsidR="007000D7" w:rsidRPr="00221347" w:rsidRDefault="007000D7" w:rsidP="0068402D">
      <w:pPr>
        <w:spacing w:line="360" w:lineRule="auto"/>
        <w:jc w:val="both"/>
        <w:rPr>
          <w:rFonts w:ascii="Arial" w:hAnsi="Arial" w:cs="Arial"/>
          <w:b/>
          <w:sz w:val="20"/>
          <w:szCs w:val="20"/>
        </w:rPr>
      </w:pPr>
    </w:p>
    <w:p w14:paraId="13A24A36" w14:textId="77777777" w:rsidR="008A675E" w:rsidRPr="00221347" w:rsidRDefault="008A675E" w:rsidP="0068402D">
      <w:pPr>
        <w:spacing w:line="360" w:lineRule="auto"/>
        <w:jc w:val="both"/>
        <w:rPr>
          <w:rFonts w:ascii="Arial" w:hAnsi="Arial" w:cs="Arial"/>
          <w:b/>
          <w:sz w:val="20"/>
          <w:szCs w:val="20"/>
        </w:rPr>
      </w:pPr>
    </w:p>
    <w:p w14:paraId="7C29BCB8" w14:textId="77777777" w:rsidR="008A675E" w:rsidRPr="00221347" w:rsidRDefault="008A675E" w:rsidP="0068402D">
      <w:pPr>
        <w:spacing w:line="360" w:lineRule="auto"/>
        <w:jc w:val="both"/>
        <w:rPr>
          <w:rFonts w:ascii="Arial" w:hAnsi="Arial" w:cs="Arial"/>
          <w:b/>
          <w:sz w:val="20"/>
          <w:szCs w:val="20"/>
        </w:rPr>
      </w:pPr>
    </w:p>
    <w:p w14:paraId="0E6E09B3" w14:textId="77777777" w:rsidR="008A675E" w:rsidRPr="00221347" w:rsidRDefault="008A675E" w:rsidP="0068402D">
      <w:pPr>
        <w:spacing w:line="360" w:lineRule="auto"/>
        <w:jc w:val="both"/>
        <w:rPr>
          <w:rFonts w:ascii="Arial" w:hAnsi="Arial" w:cs="Arial"/>
          <w:b/>
          <w:sz w:val="20"/>
          <w:szCs w:val="20"/>
        </w:rPr>
      </w:pPr>
    </w:p>
    <w:p w14:paraId="1F7AF940" w14:textId="77777777" w:rsidR="008A675E" w:rsidRPr="00221347" w:rsidRDefault="008A675E" w:rsidP="0068402D">
      <w:pPr>
        <w:spacing w:line="360" w:lineRule="auto"/>
        <w:jc w:val="both"/>
        <w:rPr>
          <w:rFonts w:ascii="Arial" w:hAnsi="Arial" w:cs="Arial"/>
          <w:b/>
          <w:sz w:val="20"/>
          <w:szCs w:val="20"/>
        </w:rPr>
      </w:pPr>
    </w:p>
    <w:p w14:paraId="0E20C063" w14:textId="77777777" w:rsidR="008A675E" w:rsidRPr="00221347" w:rsidRDefault="008A675E" w:rsidP="0068402D">
      <w:pPr>
        <w:spacing w:line="360" w:lineRule="auto"/>
        <w:jc w:val="both"/>
        <w:rPr>
          <w:rFonts w:ascii="Arial" w:hAnsi="Arial" w:cs="Arial"/>
          <w:b/>
          <w:sz w:val="20"/>
          <w:szCs w:val="20"/>
        </w:rPr>
      </w:pPr>
    </w:p>
    <w:p w14:paraId="0F69EB8C" w14:textId="77777777" w:rsidR="008A675E" w:rsidRPr="00221347" w:rsidRDefault="008A675E" w:rsidP="0068402D">
      <w:pPr>
        <w:spacing w:line="360" w:lineRule="auto"/>
        <w:jc w:val="both"/>
        <w:rPr>
          <w:rFonts w:ascii="Arial" w:hAnsi="Arial" w:cs="Arial"/>
          <w:b/>
          <w:sz w:val="20"/>
          <w:szCs w:val="20"/>
        </w:rPr>
      </w:pPr>
    </w:p>
    <w:p w14:paraId="16CCD9AF" w14:textId="77777777" w:rsidR="008A675E" w:rsidRPr="00221347" w:rsidRDefault="008A675E" w:rsidP="0068402D">
      <w:pPr>
        <w:spacing w:line="360" w:lineRule="auto"/>
        <w:jc w:val="both"/>
        <w:rPr>
          <w:rFonts w:ascii="Arial" w:hAnsi="Arial" w:cs="Arial"/>
          <w:b/>
          <w:sz w:val="20"/>
          <w:szCs w:val="20"/>
        </w:rPr>
      </w:pPr>
    </w:p>
    <w:p w14:paraId="7A3FFD56" w14:textId="77777777" w:rsidR="008A675E" w:rsidRPr="00221347" w:rsidRDefault="008A675E" w:rsidP="0068402D">
      <w:pPr>
        <w:spacing w:line="360" w:lineRule="auto"/>
        <w:jc w:val="both"/>
        <w:rPr>
          <w:rFonts w:ascii="Arial" w:hAnsi="Arial" w:cs="Arial"/>
          <w:b/>
          <w:sz w:val="20"/>
          <w:szCs w:val="20"/>
        </w:rPr>
      </w:pPr>
    </w:p>
    <w:p w14:paraId="72D139DC" w14:textId="77777777" w:rsidR="008A675E" w:rsidRPr="00221347" w:rsidRDefault="008A675E" w:rsidP="0068402D">
      <w:pPr>
        <w:spacing w:line="360" w:lineRule="auto"/>
        <w:jc w:val="both"/>
        <w:rPr>
          <w:rFonts w:ascii="Arial" w:hAnsi="Arial" w:cs="Arial"/>
          <w:b/>
          <w:sz w:val="20"/>
          <w:szCs w:val="20"/>
        </w:rPr>
      </w:pPr>
    </w:p>
    <w:p w14:paraId="7145DDED" w14:textId="77777777" w:rsidR="008A675E" w:rsidRPr="00221347" w:rsidRDefault="008A675E" w:rsidP="0068402D">
      <w:pPr>
        <w:spacing w:line="360" w:lineRule="auto"/>
        <w:jc w:val="both"/>
        <w:rPr>
          <w:rFonts w:ascii="Arial" w:hAnsi="Arial" w:cs="Arial"/>
          <w:b/>
          <w:sz w:val="20"/>
          <w:szCs w:val="20"/>
        </w:rPr>
      </w:pPr>
    </w:p>
    <w:p w14:paraId="1274216A" w14:textId="77777777" w:rsidR="008A675E" w:rsidRPr="00221347" w:rsidRDefault="008A675E" w:rsidP="0068402D">
      <w:pPr>
        <w:spacing w:line="360" w:lineRule="auto"/>
        <w:jc w:val="both"/>
        <w:rPr>
          <w:rFonts w:ascii="Arial" w:hAnsi="Arial" w:cs="Arial"/>
          <w:b/>
          <w:sz w:val="20"/>
          <w:szCs w:val="20"/>
        </w:rPr>
      </w:pPr>
    </w:p>
    <w:sectPr w:rsidR="008A675E" w:rsidRPr="00221347" w:rsidSect="0071608A">
      <w:headerReference w:type="default" r:id="rId13"/>
      <w:headerReference w:type="first" r:id="rId14"/>
      <w:pgSz w:w="11900" w:h="16840"/>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65EB8" w14:textId="77777777" w:rsidR="00CB2210" w:rsidRDefault="00CB2210" w:rsidP="002B0A2A">
      <w:r>
        <w:separator/>
      </w:r>
    </w:p>
  </w:endnote>
  <w:endnote w:type="continuationSeparator" w:id="0">
    <w:p w14:paraId="53288535" w14:textId="77777777" w:rsidR="00CB2210" w:rsidRDefault="00CB2210" w:rsidP="002B0A2A">
      <w:r>
        <w:continuationSeparator/>
      </w:r>
    </w:p>
  </w:endnote>
  <w:endnote w:type="continuationNotice" w:id="1">
    <w:p w14:paraId="7B98AA28" w14:textId="77777777" w:rsidR="00CB2210" w:rsidRDefault="00CB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rebuchet MS"/>
    <w:panose1 w:val="020B0003030101060003"/>
    <w:charset w:val="00"/>
    <w:family w:val="swiss"/>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83C9D" w14:textId="77777777" w:rsidR="00CB2210" w:rsidRDefault="00CB2210" w:rsidP="002B0A2A">
      <w:r>
        <w:separator/>
      </w:r>
    </w:p>
  </w:footnote>
  <w:footnote w:type="continuationSeparator" w:id="0">
    <w:p w14:paraId="2A51A4CD" w14:textId="77777777" w:rsidR="00CB2210" w:rsidRDefault="00CB2210" w:rsidP="002B0A2A">
      <w:r>
        <w:continuationSeparator/>
      </w:r>
    </w:p>
  </w:footnote>
  <w:footnote w:type="continuationNotice" w:id="1">
    <w:p w14:paraId="498AED7D" w14:textId="77777777" w:rsidR="00CB2210" w:rsidRDefault="00CB2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336712"/>
      <w:docPartObj>
        <w:docPartGallery w:val="Page Numbers (Top of Page)"/>
        <w:docPartUnique/>
      </w:docPartObj>
    </w:sdtPr>
    <w:sdtContent>
      <w:p w14:paraId="5E8E96B1" w14:textId="3DE19649" w:rsidR="00B9185C" w:rsidRDefault="00B9185C">
        <w:pPr>
          <w:pStyle w:val="Cabealho"/>
        </w:pPr>
        <w:r>
          <w:fldChar w:fldCharType="begin"/>
        </w:r>
        <w:r>
          <w:instrText>PAGE   \* MERGEFORMAT</w:instrText>
        </w:r>
        <w:r>
          <w:fldChar w:fldCharType="separate"/>
        </w:r>
        <w:r>
          <w:rPr>
            <w:noProof/>
          </w:rPr>
          <w:t>18</w:t>
        </w:r>
        <w:r>
          <w:fldChar w:fldCharType="end"/>
        </w:r>
      </w:p>
    </w:sdtContent>
  </w:sdt>
  <w:p w14:paraId="16466255" w14:textId="77777777" w:rsidR="00B9185C" w:rsidRDefault="00B918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54015"/>
      <w:docPartObj>
        <w:docPartGallery w:val="Page Numbers (Top of Page)"/>
        <w:docPartUnique/>
      </w:docPartObj>
    </w:sdtPr>
    <w:sdtContent>
      <w:p w14:paraId="61C4459D" w14:textId="0514B481" w:rsidR="00B9185C" w:rsidRDefault="00B9185C">
        <w:pPr>
          <w:pStyle w:val="Cabealho"/>
        </w:pPr>
        <w:r>
          <w:fldChar w:fldCharType="begin"/>
        </w:r>
        <w:r>
          <w:instrText>PAGE   \* MERGEFORMAT</w:instrText>
        </w:r>
        <w:r>
          <w:fldChar w:fldCharType="separate"/>
        </w:r>
        <w:r>
          <w:rPr>
            <w:noProof/>
          </w:rPr>
          <w:t>1</w:t>
        </w:r>
        <w:r>
          <w:fldChar w:fldCharType="end"/>
        </w:r>
      </w:p>
    </w:sdtContent>
  </w:sdt>
  <w:p w14:paraId="636826A5" w14:textId="77777777" w:rsidR="00B9185C" w:rsidRDefault="00B918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1313"/>
    <w:multiLevelType w:val="hybridMultilevel"/>
    <w:tmpl w:val="F7DC52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552FF"/>
    <w:multiLevelType w:val="hybridMultilevel"/>
    <w:tmpl w:val="5D169712"/>
    <w:lvl w:ilvl="0" w:tplc="9E70C2DE">
      <w:start w:val="1"/>
      <w:numFmt w:val="decimal"/>
      <w:lvlText w:val="%1"/>
      <w:lvlJc w:val="left"/>
      <w:pPr>
        <w:ind w:left="405" w:hanging="405"/>
      </w:pPr>
      <w:rPr>
        <w:rFonts w:hint="default"/>
      </w:rPr>
    </w:lvl>
    <w:lvl w:ilvl="1" w:tplc="698CA67E">
      <w:start w:val="1"/>
      <w:numFmt w:val="decimal"/>
      <w:lvlText w:val="%1.%2"/>
      <w:lvlJc w:val="left"/>
      <w:pPr>
        <w:ind w:left="405" w:hanging="405"/>
      </w:pPr>
      <w:rPr>
        <w:rFonts w:hint="default"/>
      </w:rPr>
    </w:lvl>
    <w:lvl w:ilvl="2" w:tplc="C95089F4">
      <w:start w:val="1"/>
      <w:numFmt w:val="decimal"/>
      <w:lvlText w:val="%1.%2.%3"/>
      <w:lvlJc w:val="left"/>
      <w:pPr>
        <w:ind w:left="720" w:hanging="720"/>
      </w:pPr>
      <w:rPr>
        <w:rFonts w:hint="default"/>
      </w:rPr>
    </w:lvl>
    <w:lvl w:ilvl="3" w:tplc="E63ACC0A">
      <w:start w:val="1"/>
      <w:numFmt w:val="decimal"/>
      <w:lvlText w:val="%1.%2.%3.%4"/>
      <w:lvlJc w:val="left"/>
      <w:pPr>
        <w:ind w:left="1080" w:hanging="1080"/>
      </w:pPr>
      <w:rPr>
        <w:rFonts w:hint="default"/>
      </w:rPr>
    </w:lvl>
    <w:lvl w:ilvl="4" w:tplc="0F906DC4">
      <w:start w:val="1"/>
      <w:numFmt w:val="decimal"/>
      <w:lvlText w:val="%1.%2.%3.%4.%5"/>
      <w:lvlJc w:val="left"/>
      <w:pPr>
        <w:ind w:left="1080" w:hanging="1080"/>
      </w:pPr>
      <w:rPr>
        <w:rFonts w:hint="default"/>
      </w:rPr>
    </w:lvl>
    <w:lvl w:ilvl="5" w:tplc="8E0E3D52">
      <w:start w:val="1"/>
      <w:numFmt w:val="decimal"/>
      <w:lvlText w:val="%1.%2.%3.%4.%5.%6"/>
      <w:lvlJc w:val="left"/>
      <w:pPr>
        <w:ind w:left="1440" w:hanging="1440"/>
      </w:pPr>
      <w:rPr>
        <w:rFonts w:hint="default"/>
      </w:rPr>
    </w:lvl>
    <w:lvl w:ilvl="6" w:tplc="E8AE1F36">
      <w:start w:val="1"/>
      <w:numFmt w:val="decimal"/>
      <w:lvlText w:val="%1.%2.%3.%4.%5.%6.%7"/>
      <w:lvlJc w:val="left"/>
      <w:pPr>
        <w:ind w:left="1440" w:hanging="1440"/>
      </w:pPr>
      <w:rPr>
        <w:rFonts w:hint="default"/>
      </w:rPr>
    </w:lvl>
    <w:lvl w:ilvl="7" w:tplc="B0DC6BA6">
      <w:start w:val="1"/>
      <w:numFmt w:val="decimal"/>
      <w:lvlText w:val="%1.%2.%3.%4.%5.%6.%7.%8"/>
      <w:lvlJc w:val="left"/>
      <w:pPr>
        <w:ind w:left="1800" w:hanging="1800"/>
      </w:pPr>
      <w:rPr>
        <w:rFonts w:hint="default"/>
      </w:rPr>
    </w:lvl>
    <w:lvl w:ilvl="8" w:tplc="251E336E">
      <w:start w:val="1"/>
      <w:numFmt w:val="decimal"/>
      <w:lvlText w:val="%1.%2.%3.%4.%5.%6.%7.%8.%9"/>
      <w:lvlJc w:val="left"/>
      <w:pPr>
        <w:ind w:left="1800" w:hanging="1800"/>
      </w:pPr>
      <w:rPr>
        <w:rFonts w:hint="default"/>
      </w:rPr>
    </w:lvl>
  </w:abstractNum>
  <w:abstractNum w:abstractNumId="2" w15:restartNumberingAfterBreak="0">
    <w:nsid w:val="0F4633FC"/>
    <w:multiLevelType w:val="hybridMultilevel"/>
    <w:tmpl w:val="2C504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A63984"/>
    <w:multiLevelType w:val="hybridMultilevel"/>
    <w:tmpl w:val="5532AF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124AF7"/>
    <w:multiLevelType w:val="hybridMultilevel"/>
    <w:tmpl w:val="EFD66790"/>
    <w:lvl w:ilvl="0" w:tplc="B610F858">
      <w:numFmt w:val="bullet"/>
      <w:lvlText w:val=""/>
      <w:lvlJc w:val="left"/>
      <w:pPr>
        <w:ind w:left="1069" w:hanging="360"/>
      </w:pPr>
      <w:rPr>
        <w:rFonts w:ascii="Wingdings" w:eastAsiaTheme="minorEastAsia" w:hAnsi="Wingdings"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33237892"/>
    <w:multiLevelType w:val="hybridMultilevel"/>
    <w:tmpl w:val="888C0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5F0D39"/>
    <w:multiLevelType w:val="hybridMultilevel"/>
    <w:tmpl w:val="11DA3E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4FE14186"/>
    <w:multiLevelType w:val="hybridMultilevel"/>
    <w:tmpl w:val="DD0CCBBA"/>
    <w:lvl w:ilvl="0" w:tplc="35DED1A6">
      <w:start w:val="1"/>
      <w:numFmt w:val="bullet"/>
      <w:lvlText w:val="*"/>
      <w:lvlJc w:val="left"/>
      <w:pPr>
        <w:ind w:left="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9C0412">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708F0D0">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D60346">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18F1E8">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866622">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A827CC">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F4D2A0">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EAEF9E">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4C4A43"/>
    <w:multiLevelType w:val="hybridMultilevel"/>
    <w:tmpl w:val="3C6A252A"/>
    <w:lvl w:ilvl="0" w:tplc="5C7A0AAE">
      <w:start w:val="1"/>
      <w:numFmt w:val="decimal"/>
      <w:lvlText w:val="%1."/>
      <w:lvlJc w:val="left"/>
      <w:pPr>
        <w:tabs>
          <w:tab w:val="num" w:pos="480"/>
        </w:tabs>
        <w:ind w:left="480" w:hanging="480"/>
      </w:pPr>
      <w:rPr>
        <w:rFonts w:hint="default"/>
      </w:rPr>
    </w:lvl>
    <w:lvl w:ilvl="1" w:tplc="26363110">
      <w:start w:val="1"/>
      <w:numFmt w:val="decimal"/>
      <w:lvlText w:val="%1.%2."/>
      <w:lvlJc w:val="left"/>
      <w:pPr>
        <w:tabs>
          <w:tab w:val="num" w:pos="1155"/>
        </w:tabs>
        <w:ind w:left="1155" w:hanging="720"/>
      </w:pPr>
      <w:rPr>
        <w:rFonts w:hint="default"/>
      </w:rPr>
    </w:lvl>
    <w:lvl w:ilvl="2" w:tplc="973ED0B8">
      <w:start w:val="1"/>
      <w:numFmt w:val="decimal"/>
      <w:lvlText w:val="%1.%2.%3."/>
      <w:lvlJc w:val="left"/>
      <w:pPr>
        <w:tabs>
          <w:tab w:val="num" w:pos="1590"/>
        </w:tabs>
        <w:ind w:left="1590" w:hanging="720"/>
      </w:pPr>
      <w:rPr>
        <w:rFonts w:hint="default"/>
      </w:rPr>
    </w:lvl>
    <w:lvl w:ilvl="3" w:tplc="BEB493EC">
      <w:start w:val="1"/>
      <w:numFmt w:val="decimal"/>
      <w:lvlText w:val="%1.%2.%3.%4."/>
      <w:lvlJc w:val="left"/>
      <w:pPr>
        <w:tabs>
          <w:tab w:val="num" w:pos="2385"/>
        </w:tabs>
        <w:ind w:left="2385" w:hanging="1080"/>
      </w:pPr>
      <w:rPr>
        <w:rFonts w:hint="default"/>
      </w:rPr>
    </w:lvl>
    <w:lvl w:ilvl="4" w:tplc="2CAC0CA2">
      <w:start w:val="1"/>
      <w:numFmt w:val="decimal"/>
      <w:lvlText w:val="%1.%2.%3.%4.%5."/>
      <w:lvlJc w:val="left"/>
      <w:pPr>
        <w:tabs>
          <w:tab w:val="num" w:pos="2820"/>
        </w:tabs>
        <w:ind w:left="2820" w:hanging="1080"/>
      </w:pPr>
      <w:rPr>
        <w:rFonts w:hint="default"/>
      </w:rPr>
    </w:lvl>
    <w:lvl w:ilvl="5" w:tplc="28907C12">
      <w:start w:val="1"/>
      <w:numFmt w:val="decimal"/>
      <w:lvlText w:val="%1.%2.%3.%4.%5.%6."/>
      <w:lvlJc w:val="left"/>
      <w:pPr>
        <w:tabs>
          <w:tab w:val="num" w:pos="3615"/>
        </w:tabs>
        <w:ind w:left="3615" w:hanging="1440"/>
      </w:pPr>
      <w:rPr>
        <w:rFonts w:hint="default"/>
      </w:rPr>
    </w:lvl>
    <w:lvl w:ilvl="6" w:tplc="1D90A4BE">
      <w:start w:val="1"/>
      <w:numFmt w:val="decimal"/>
      <w:lvlText w:val="%1.%2.%3.%4.%5.%6.%7."/>
      <w:lvlJc w:val="left"/>
      <w:pPr>
        <w:tabs>
          <w:tab w:val="num" w:pos="4410"/>
        </w:tabs>
        <w:ind w:left="4410" w:hanging="1800"/>
      </w:pPr>
      <w:rPr>
        <w:rFonts w:hint="default"/>
      </w:rPr>
    </w:lvl>
    <w:lvl w:ilvl="7" w:tplc="B7B66A96">
      <w:start w:val="1"/>
      <w:numFmt w:val="decimal"/>
      <w:lvlText w:val="%1.%2.%3.%4.%5.%6.%7.%8."/>
      <w:lvlJc w:val="left"/>
      <w:pPr>
        <w:tabs>
          <w:tab w:val="num" w:pos="4845"/>
        </w:tabs>
        <w:ind w:left="4845" w:hanging="1800"/>
      </w:pPr>
      <w:rPr>
        <w:rFonts w:hint="default"/>
      </w:rPr>
    </w:lvl>
    <w:lvl w:ilvl="8" w:tplc="91AE2280">
      <w:start w:val="1"/>
      <w:numFmt w:val="decimal"/>
      <w:lvlText w:val="%1.%2.%3.%4.%5.%6.%7.%8.%9."/>
      <w:lvlJc w:val="left"/>
      <w:pPr>
        <w:tabs>
          <w:tab w:val="num" w:pos="5640"/>
        </w:tabs>
        <w:ind w:left="5640" w:hanging="2160"/>
      </w:pPr>
      <w:rPr>
        <w:rFonts w:hint="default"/>
      </w:rPr>
    </w:lvl>
  </w:abstractNum>
  <w:abstractNum w:abstractNumId="9" w15:restartNumberingAfterBreak="0">
    <w:nsid w:val="54A20985"/>
    <w:multiLevelType w:val="hybridMultilevel"/>
    <w:tmpl w:val="CA6AF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1FE111B"/>
    <w:multiLevelType w:val="hybridMultilevel"/>
    <w:tmpl w:val="7428AA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EC1BFC"/>
    <w:multiLevelType w:val="hybridMultilevel"/>
    <w:tmpl w:val="6E76202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2"/>
  </w:num>
  <w:num w:numId="6">
    <w:abstractNumId w:val="0"/>
  </w:num>
  <w:num w:numId="7">
    <w:abstractNumId w:val="7"/>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00"/>
    <w:rsid w:val="000014CB"/>
    <w:rsid w:val="00002A09"/>
    <w:rsid w:val="00002D14"/>
    <w:rsid w:val="00003005"/>
    <w:rsid w:val="0000346A"/>
    <w:rsid w:val="00003A33"/>
    <w:rsid w:val="00004F2D"/>
    <w:rsid w:val="00005D47"/>
    <w:rsid w:val="000061B4"/>
    <w:rsid w:val="0000688D"/>
    <w:rsid w:val="00007E3A"/>
    <w:rsid w:val="0001312A"/>
    <w:rsid w:val="00015194"/>
    <w:rsid w:val="0001527A"/>
    <w:rsid w:val="00015514"/>
    <w:rsid w:val="00016D5F"/>
    <w:rsid w:val="00016FC0"/>
    <w:rsid w:val="000176B3"/>
    <w:rsid w:val="000200DF"/>
    <w:rsid w:val="000202DA"/>
    <w:rsid w:val="00020B42"/>
    <w:rsid w:val="0002246B"/>
    <w:rsid w:val="00022605"/>
    <w:rsid w:val="00022F55"/>
    <w:rsid w:val="000230D4"/>
    <w:rsid w:val="000238D4"/>
    <w:rsid w:val="000238F0"/>
    <w:rsid w:val="000240F4"/>
    <w:rsid w:val="00025527"/>
    <w:rsid w:val="00026FA8"/>
    <w:rsid w:val="000301D9"/>
    <w:rsid w:val="00031D4B"/>
    <w:rsid w:val="000324D1"/>
    <w:rsid w:val="00033660"/>
    <w:rsid w:val="000338EC"/>
    <w:rsid w:val="00033C51"/>
    <w:rsid w:val="00033EE2"/>
    <w:rsid w:val="000342D9"/>
    <w:rsid w:val="00034C2C"/>
    <w:rsid w:val="00035A96"/>
    <w:rsid w:val="000368F7"/>
    <w:rsid w:val="00037EC7"/>
    <w:rsid w:val="00040AFE"/>
    <w:rsid w:val="00040EC1"/>
    <w:rsid w:val="00041093"/>
    <w:rsid w:val="00042A22"/>
    <w:rsid w:val="000438A0"/>
    <w:rsid w:val="00044530"/>
    <w:rsid w:val="00046A8B"/>
    <w:rsid w:val="00047664"/>
    <w:rsid w:val="00047A86"/>
    <w:rsid w:val="00047B3C"/>
    <w:rsid w:val="000535CF"/>
    <w:rsid w:val="000547E2"/>
    <w:rsid w:val="0005556B"/>
    <w:rsid w:val="0005581A"/>
    <w:rsid w:val="000561EA"/>
    <w:rsid w:val="00061777"/>
    <w:rsid w:val="00061848"/>
    <w:rsid w:val="00062B78"/>
    <w:rsid w:val="00062F6D"/>
    <w:rsid w:val="00063F2E"/>
    <w:rsid w:val="00064271"/>
    <w:rsid w:val="00064A6C"/>
    <w:rsid w:val="000663E7"/>
    <w:rsid w:val="0006794E"/>
    <w:rsid w:val="000701EC"/>
    <w:rsid w:val="000709F8"/>
    <w:rsid w:val="00070B51"/>
    <w:rsid w:val="00071B93"/>
    <w:rsid w:val="00072E97"/>
    <w:rsid w:val="0007307B"/>
    <w:rsid w:val="000738F4"/>
    <w:rsid w:val="00074614"/>
    <w:rsid w:val="0007468C"/>
    <w:rsid w:val="00076D8F"/>
    <w:rsid w:val="00077ABC"/>
    <w:rsid w:val="00080630"/>
    <w:rsid w:val="0008156F"/>
    <w:rsid w:val="0008192A"/>
    <w:rsid w:val="00082069"/>
    <w:rsid w:val="000831F7"/>
    <w:rsid w:val="00083316"/>
    <w:rsid w:val="00083393"/>
    <w:rsid w:val="00083599"/>
    <w:rsid w:val="000843F4"/>
    <w:rsid w:val="0008645F"/>
    <w:rsid w:val="00087EAC"/>
    <w:rsid w:val="00092553"/>
    <w:rsid w:val="00092F4F"/>
    <w:rsid w:val="00093F9B"/>
    <w:rsid w:val="00094DD8"/>
    <w:rsid w:val="00095990"/>
    <w:rsid w:val="00097CB9"/>
    <w:rsid w:val="000A0731"/>
    <w:rsid w:val="000A0842"/>
    <w:rsid w:val="000A1642"/>
    <w:rsid w:val="000A2163"/>
    <w:rsid w:val="000A23BF"/>
    <w:rsid w:val="000A2DBC"/>
    <w:rsid w:val="000A384E"/>
    <w:rsid w:val="000A3BE3"/>
    <w:rsid w:val="000A3EA8"/>
    <w:rsid w:val="000A3F11"/>
    <w:rsid w:val="000A40EB"/>
    <w:rsid w:val="000A4905"/>
    <w:rsid w:val="000A4DFC"/>
    <w:rsid w:val="000A5F54"/>
    <w:rsid w:val="000A60E5"/>
    <w:rsid w:val="000A64AA"/>
    <w:rsid w:val="000B09FC"/>
    <w:rsid w:val="000B11C4"/>
    <w:rsid w:val="000B1DE5"/>
    <w:rsid w:val="000B1DEB"/>
    <w:rsid w:val="000B3A06"/>
    <w:rsid w:val="000B3B32"/>
    <w:rsid w:val="000B4016"/>
    <w:rsid w:val="000B5BF3"/>
    <w:rsid w:val="000C1B15"/>
    <w:rsid w:val="000C2ED0"/>
    <w:rsid w:val="000C31B3"/>
    <w:rsid w:val="000C39F9"/>
    <w:rsid w:val="000C3E07"/>
    <w:rsid w:val="000C5CD1"/>
    <w:rsid w:val="000C6066"/>
    <w:rsid w:val="000C63A5"/>
    <w:rsid w:val="000C6C06"/>
    <w:rsid w:val="000C72B3"/>
    <w:rsid w:val="000C7387"/>
    <w:rsid w:val="000C79A7"/>
    <w:rsid w:val="000D0555"/>
    <w:rsid w:val="000D1194"/>
    <w:rsid w:val="000D14C5"/>
    <w:rsid w:val="000D1733"/>
    <w:rsid w:val="000D2692"/>
    <w:rsid w:val="000D2960"/>
    <w:rsid w:val="000D4860"/>
    <w:rsid w:val="000D6E50"/>
    <w:rsid w:val="000D6F1C"/>
    <w:rsid w:val="000E0056"/>
    <w:rsid w:val="000E05C9"/>
    <w:rsid w:val="000E1035"/>
    <w:rsid w:val="000E1BD7"/>
    <w:rsid w:val="000E1C48"/>
    <w:rsid w:val="000E2089"/>
    <w:rsid w:val="000E3198"/>
    <w:rsid w:val="000E52A7"/>
    <w:rsid w:val="000E585D"/>
    <w:rsid w:val="000E623B"/>
    <w:rsid w:val="000E631D"/>
    <w:rsid w:val="000E6465"/>
    <w:rsid w:val="000E6641"/>
    <w:rsid w:val="000F0A86"/>
    <w:rsid w:val="000F0DF1"/>
    <w:rsid w:val="000F1343"/>
    <w:rsid w:val="000F191F"/>
    <w:rsid w:val="000F2288"/>
    <w:rsid w:val="000F22B8"/>
    <w:rsid w:val="000F27F0"/>
    <w:rsid w:val="000F29F5"/>
    <w:rsid w:val="000F2AC1"/>
    <w:rsid w:val="000F411C"/>
    <w:rsid w:val="000F4637"/>
    <w:rsid w:val="000F5B1B"/>
    <w:rsid w:val="000F5D85"/>
    <w:rsid w:val="000F6A38"/>
    <w:rsid w:val="000F6AE3"/>
    <w:rsid w:val="0010096E"/>
    <w:rsid w:val="001013E8"/>
    <w:rsid w:val="00101FAE"/>
    <w:rsid w:val="001033A2"/>
    <w:rsid w:val="001034F4"/>
    <w:rsid w:val="00103EC8"/>
    <w:rsid w:val="00103FF9"/>
    <w:rsid w:val="00104728"/>
    <w:rsid w:val="001050C4"/>
    <w:rsid w:val="001050E3"/>
    <w:rsid w:val="00107CDC"/>
    <w:rsid w:val="00110512"/>
    <w:rsid w:val="00112777"/>
    <w:rsid w:val="001128B0"/>
    <w:rsid w:val="00112AA6"/>
    <w:rsid w:val="00112B42"/>
    <w:rsid w:val="001132B5"/>
    <w:rsid w:val="001135B9"/>
    <w:rsid w:val="001142B1"/>
    <w:rsid w:val="001155B3"/>
    <w:rsid w:val="001164C8"/>
    <w:rsid w:val="00117353"/>
    <w:rsid w:val="001202B4"/>
    <w:rsid w:val="00120765"/>
    <w:rsid w:val="00123273"/>
    <w:rsid w:val="00123D8E"/>
    <w:rsid w:val="0012405A"/>
    <w:rsid w:val="00124673"/>
    <w:rsid w:val="001317A4"/>
    <w:rsid w:val="00131F54"/>
    <w:rsid w:val="001323BD"/>
    <w:rsid w:val="0013284D"/>
    <w:rsid w:val="001328FA"/>
    <w:rsid w:val="00133042"/>
    <w:rsid w:val="0013317D"/>
    <w:rsid w:val="00134748"/>
    <w:rsid w:val="00134E2C"/>
    <w:rsid w:val="00135B8E"/>
    <w:rsid w:val="00136266"/>
    <w:rsid w:val="001365F9"/>
    <w:rsid w:val="00137467"/>
    <w:rsid w:val="00137DDB"/>
    <w:rsid w:val="00140C7F"/>
    <w:rsid w:val="001412A7"/>
    <w:rsid w:val="00141921"/>
    <w:rsid w:val="00143B5F"/>
    <w:rsid w:val="00143C11"/>
    <w:rsid w:val="00144888"/>
    <w:rsid w:val="00144CAE"/>
    <w:rsid w:val="00144D79"/>
    <w:rsid w:val="00144DD7"/>
    <w:rsid w:val="0014666E"/>
    <w:rsid w:val="00146EFF"/>
    <w:rsid w:val="0015032D"/>
    <w:rsid w:val="001503DE"/>
    <w:rsid w:val="00150E1C"/>
    <w:rsid w:val="001520A7"/>
    <w:rsid w:val="00154C68"/>
    <w:rsid w:val="00155ADD"/>
    <w:rsid w:val="00155E6C"/>
    <w:rsid w:val="001619F1"/>
    <w:rsid w:val="00164C51"/>
    <w:rsid w:val="0016624D"/>
    <w:rsid w:val="00166D04"/>
    <w:rsid w:val="0016748B"/>
    <w:rsid w:val="001705E2"/>
    <w:rsid w:val="0017234A"/>
    <w:rsid w:val="00172BD2"/>
    <w:rsid w:val="0017383D"/>
    <w:rsid w:val="00173BE7"/>
    <w:rsid w:val="001753B0"/>
    <w:rsid w:val="001760C6"/>
    <w:rsid w:val="00176EE5"/>
    <w:rsid w:val="00177343"/>
    <w:rsid w:val="00177869"/>
    <w:rsid w:val="00181124"/>
    <w:rsid w:val="00181E52"/>
    <w:rsid w:val="00181E7A"/>
    <w:rsid w:val="0018287E"/>
    <w:rsid w:val="00183141"/>
    <w:rsid w:val="00183D04"/>
    <w:rsid w:val="00184252"/>
    <w:rsid w:val="00185578"/>
    <w:rsid w:val="00186E15"/>
    <w:rsid w:val="00186F28"/>
    <w:rsid w:val="00187429"/>
    <w:rsid w:val="00187956"/>
    <w:rsid w:val="0019008B"/>
    <w:rsid w:val="00191763"/>
    <w:rsid w:val="00191A20"/>
    <w:rsid w:val="00192B9E"/>
    <w:rsid w:val="00192FE8"/>
    <w:rsid w:val="00193B67"/>
    <w:rsid w:val="001942A0"/>
    <w:rsid w:val="00194BEC"/>
    <w:rsid w:val="001972C8"/>
    <w:rsid w:val="00197F0F"/>
    <w:rsid w:val="00197FCF"/>
    <w:rsid w:val="001A01EE"/>
    <w:rsid w:val="001A1CB1"/>
    <w:rsid w:val="001A1D07"/>
    <w:rsid w:val="001A1F1E"/>
    <w:rsid w:val="001A2777"/>
    <w:rsid w:val="001A3B70"/>
    <w:rsid w:val="001A40B1"/>
    <w:rsid w:val="001A421A"/>
    <w:rsid w:val="001A425F"/>
    <w:rsid w:val="001A4C26"/>
    <w:rsid w:val="001A56F5"/>
    <w:rsid w:val="001A5B8F"/>
    <w:rsid w:val="001A61EF"/>
    <w:rsid w:val="001A6A4B"/>
    <w:rsid w:val="001A719C"/>
    <w:rsid w:val="001A7CD9"/>
    <w:rsid w:val="001B0836"/>
    <w:rsid w:val="001B138A"/>
    <w:rsid w:val="001B1C18"/>
    <w:rsid w:val="001B2631"/>
    <w:rsid w:val="001B27ED"/>
    <w:rsid w:val="001B2B44"/>
    <w:rsid w:val="001B38AF"/>
    <w:rsid w:val="001B3E74"/>
    <w:rsid w:val="001B3E76"/>
    <w:rsid w:val="001B43FF"/>
    <w:rsid w:val="001B4D9C"/>
    <w:rsid w:val="001B5997"/>
    <w:rsid w:val="001B6BC6"/>
    <w:rsid w:val="001B718D"/>
    <w:rsid w:val="001C13B5"/>
    <w:rsid w:val="001C1B42"/>
    <w:rsid w:val="001C3E34"/>
    <w:rsid w:val="001C4A1E"/>
    <w:rsid w:val="001C4B11"/>
    <w:rsid w:val="001C5621"/>
    <w:rsid w:val="001C5A3B"/>
    <w:rsid w:val="001C5DC2"/>
    <w:rsid w:val="001C5F9E"/>
    <w:rsid w:val="001C6EF0"/>
    <w:rsid w:val="001C7117"/>
    <w:rsid w:val="001D00F8"/>
    <w:rsid w:val="001D0961"/>
    <w:rsid w:val="001D0CFE"/>
    <w:rsid w:val="001D1E08"/>
    <w:rsid w:val="001D2920"/>
    <w:rsid w:val="001D303E"/>
    <w:rsid w:val="001D439E"/>
    <w:rsid w:val="001D4D0E"/>
    <w:rsid w:val="001D54F9"/>
    <w:rsid w:val="001D560C"/>
    <w:rsid w:val="001D566E"/>
    <w:rsid w:val="001D78EB"/>
    <w:rsid w:val="001E0122"/>
    <w:rsid w:val="001E0657"/>
    <w:rsid w:val="001E09D0"/>
    <w:rsid w:val="001E119A"/>
    <w:rsid w:val="001E42C1"/>
    <w:rsid w:val="001E451C"/>
    <w:rsid w:val="001E48D8"/>
    <w:rsid w:val="001E4F53"/>
    <w:rsid w:val="001E5146"/>
    <w:rsid w:val="001E56C6"/>
    <w:rsid w:val="001E666C"/>
    <w:rsid w:val="001E6CEC"/>
    <w:rsid w:val="001E7F5D"/>
    <w:rsid w:val="001F0D98"/>
    <w:rsid w:val="001F1D22"/>
    <w:rsid w:val="001F33D9"/>
    <w:rsid w:val="001F360A"/>
    <w:rsid w:val="001F4A9C"/>
    <w:rsid w:val="001F4C47"/>
    <w:rsid w:val="001F6E95"/>
    <w:rsid w:val="001F7E3A"/>
    <w:rsid w:val="0020012F"/>
    <w:rsid w:val="00200178"/>
    <w:rsid w:val="002001A6"/>
    <w:rsid w:val="0020361C"/>
    <w:rsid w:val="00203994"/>
    <w:rsid w:val="00204029"/>
    <w:rsid w:val="00205F80"/>
    <w:rsid w:val="00206444"/>
    <w:rsid w:val="0020676E"/>
    <w:rsid w:val="00206898"/>
    <w:rsid w:val="00210454"/>
    <w:rsid w:val="0021070D"/>
    <w:rsid w:val="00211302"/>
    <w:rsid w:val="00211808"/>
    <w:rsid w:val="00212326"/>
    <w:rsid w:val="002128B3"/>
    <w:rsid w:val="00214060"/>
    <w:rsid w:val="0021492C"/>
    <w:rsid w:val="00215037"/>
    <w:rsid w:val="00215163"/>
    <w:rsid w:val="0021656E"/>
    <w:rsid w:val="00216973"/>
    <w:rsid w:val="00216F53"/>
    <w:rsid w:val="00217824"/>
    <w:rsid w:val="002208B4"/>
    <w:rsid w:val="00220A5C"/>
    <w:rsid w:val="00221347"/>
    <w:rsid w:val="00221735"/>
    <w:rsid w:val="00221C82"/>
    <w:rsid w:val="002239CD"/>
    <w:rsid w:val="00223FCF"/>
    <w:rsid w:val="0022483E"/>
    <w:rsid w:val="002253F6"/>
    <w:rsid w:val="00225783"/>
    <w:rsid w:val="002266DB"/>
    <w:rsid w:val="00226BF3"/>
    <w:rsid w:val="0022722A"/>
    <w:rsid w:val="002274DC"/>
    <w:rsid w:val="002278E3"/>
    <w:rsid w:val="00227F2B"/>
    <w:rsid w:val="00230B66"/>
    <w:rsid w:val="00231ECA"/>
    <w:rsid w:val="0023475C"/>
    <w:rsid w:val="0023476A"/>
    <w:rsid w:val="00235024"/>
    <w:rsid w:val="002356A7"/>
    <w:rsid w:val="00235701"/>
    <w:rsid w:val="00235DB6"/>
    <w:rsid w:val="002368BD"/>
    <w:rsid w:val="0024033B"/>
    <w:rsid w:val="00240ACA"/>
    <w:rsid w:val="002417B4"/>
    <w:rsid w:val="00241A14"/>
    <w:rsid w:val="00242F62"/>
    <w:rsid w:val="00244CD8"/>
    <w:rsid w:val="00245126"/>
    <w:rsid w:val="00245E2D"/>
    <w:rsid w:val="00247C4F"/>
    <w:rsid w:val="00247DBF"/>
    <w:rsid w:val="00250B92"/>
    <w:rsid w:val="00250DB0"/>
    <w:rsid w:val="00250E98"/>
    <w:rsid w:val="00251F5D"/>
    <w:rsid w:val="0025235E"/>
    <w:rsid w:val="00252891"/>
    <w:rsid w:val="002528A2"/>
    <w:rsid w:val="00252938"/>
    <w:rsid w:val="00252B82"/>
    <w:rsid w:val="002533CF"/>
    <w:rsid w:val="002536F5"/>
    <w:rsid w:val="00253BEC"/>
    <w:rsid w:val="002552D5"/>
    <w:rsid w:val="00255E4B"/>
    <w:rsid w:val="002565A4"/>
    <w:rsid w:val="00260A81"/>
    <w:rsid w:val="00260FD6"/>
    <w:rsid w:val="0026158D"/>
    <w:rsid w:val="002625DF"/>
    <w:rsid w:val="00262814"/>
    <w:rsid w:val="002629D9"/>
    <w:rsid w:val="00263FA1"/>
    <w:rsid w:val="00263FA6"/>
    <w:rsid w:val="00264829"/>
    <w:rsid w:val="00264BF0"/>
    <w:rsid w:val="00264F8E"/>
    <w:rsid w:val="002661A4"/>
    <w:rsid w:val="0026785E"/>
    <w:rsid w:val="002679F7"/>
    <w:rsid w:val="002709B4"/>
    <w:rsid w:val="00271633"/>
    <w:rsid w:val="00271D97"/>
    <w:rsid w:val="00272362"/>
    <w:rsid w:val="0027273F"/>
    <w:rsid w:val="00272F7E"/>
    <w:rsid w:val="002731E6"/>
    <w:rsid w:val="002742EE"/>
    <w:rsid w:val="00274882"/>
    <w:rsid w:val="002759FA"/>
    <w:rsid w:val="0027603D"/>
    <w:rsid w:val="00276A9A"/>
    <w:rsid w:val="00281D21"/>
    <w:rsid w:val="00282957"/>
    <w:rsid w:val="0028304C"/>
    <w:rsid w:val="002830ED"/>
    <w:rsid w:val="002849D0"/>
    <w:rsid w:val="0028554D"/>
    <w:rsid w:val="00285571"/>
    <w:rsid w:val="0028616A"/>
    <w:rsid w:val="0028646C"/>
    <w:rsid w:val="00287078"/>
    <w:rsid w:val="00287FA3"/>
    <w:rsid w:val="00290126"/>
    <w:rsid w:val="0029063F"/>
    <w:rsid w:val="00290792"/>
    <w:rsid w:val="002915FB"/>
    <w:rsid w:val="00291649"/>
    <w:rsid w:val="002919B0"/>
    <w:rsid w:val="0029202D"/>
    <w:rsid w:val="00292081"/>
    <w:rsid w:val="002936AB"/>
    <w:rsid w:val="002938AE"/>
    <w:rsid w:val="0029534D"/>
    <w:rsid w:val="00295383"/>
    <w:rsid w:val="00295BA5"/>
    <w:rsid w:val="00297090"/>
    <w:rsid w:val="002972B5"/>
    <w:rsid w:val="0029732D"/>
    <w:rsid w:val="0029742E"/>
    <w:rsid w:val="002978C4"/>
    <w:rsid w:val="002A0A26"/>
    <w:rsid w:val="002A3297"/>
    <w:rsid w:val="002A38D9"/>
    <w:rsid w:val="002A3CB9"/>
    <w:rsid w:val="002A477C"/>
    <w:rsid w:val="002A5E39"/>
    <w:rsid w:val="002A6A41"/>
    <w:rsid w:val="002A6C30"/>
    <w:rsid w:val="002A6EE4"/>
    <w:rsid w:val="002B05E9"/>
    <w:rsid w:val="002B0A2A"/>
    <w:rsid w:val="002B0BDE"/>
    <w:rsid w:val="002B1133"/>
    <w:rsid w:val="002B3C87"/>
    <w:rsid w:val="002B4C7D"/>
    <w:rsid w:val="002B5C79"/>
    <w:rsid w:val="002B61F1"/>
    <w:rsid w:val="002B70C1"/>
    <w:rsid w:val="002B7B13"/>
    <w:rsid w:val="002B7BCB"/>
    <w:rsid w:val="002B7CBE"/>
    <w:rsid w:val="002C16A1"/>
    <w:rsid w:val="002C1C87"/>
    <w:rsid w:val="002C1DDC"/>
    <w:rsid w:val="002C2413"/>
    <w:rsid w:val="002C244D"/>
    <w:rsid w:val="002C2C6D"/>
    <w:rsid w:val="002C46E4"/>
    <w:rsid w:val="002C47D1"/>
    <w:rsid w:val="002C4910"/>
    <w:rsid w:val="002C4AAF"/>
    <w:rsid w:val="002C4B47"/>
    <w:rsid w:val="002C5334"/>
    <w:rsid w:val="002C7AC4"/>
    <w:rsid w:val="002D0BF9"/>
    <w:rsid w:val="002D0F4A"/>
    <w:rsid w:val="002D1566"/>
    <w:rsid w:val="002D1F3E"/>
    <w:rsid w:val="002D1FF2"/>
    <w:rsid w:val="002D260D"/>
    <w:rsid w:val="002D3052"/>
    <w:rsid w:val="002D42AD"/>
    <w:rsid w:val="002D4620"/>
    <w:rsid w:val="002D4BAA"/>
    <w:rsid w:val="002D5155"/>
    <w:rsid w:val="002D6DA0"/>
    <w:rsid w:val="002E0C79"/>
    <w:rsid w:val="002E159B"/>
    <w:rsid w:val="002E1803"/>
    <w:rsid w:val="002E1A7F"/>
    <w:rsid w:val="002E28BA"/>
    <w:rsid w:val="002E31EF"/>
    <w:rsid w:val="002E46F4"/>
    <w:rsid w:val="002E4733"/>
    <w:rsid w:val="002E4BDF"/>
    <w:rsid w:val="002E4C7A"/>
    <w:rsid w:val="002E5B43"/>
    <w:rsid w:val="002E66D9"/>
    <w:rsid w:val="002E6C5E"/>
    <w:rsid w:val="002E7A05"/>
    <w:rsid w:val="002F0A67"/>
    <w:rsid w:val="002F1282"/>
    <w:rsid w:val="002F2635"/>
    <w:rsid w:val="002F2E20"/>
    <w:rsid w:val="002F38F3"/>
    <w:rsid w:val="002F42F2"/>
    <w:rsid w:val="002F43E9"/>
    <w:rsid w:val="002F4879"/>
    <w:rsid w:val="002F4D32"/>
    <w:rsid w:val="002F5E33"/>
    <w:rsid w:val="002F63B1"/>
    <w:rsid w:val="002F6C7D"/>
    <w:rsid w:val="003017B4"/>
    <w:rsid w:val="00302322"/>
    <w:rsid w:val="00303044"/>
    <w:rsid w:val="00304F33"/>
    <w:rsid w:val="00305A0D"/>
    <w:rsid w:val="003069AA"/>
    <w:rsid w:val="003075C0"/>
    <w:rsid w:val="00310F56"/>
    <w:rsid w:val="00311891"/>
    <w:rsid w:val="00311AD2"/>
    <w:rsid w:val="00312120"/>
    <w:rsid w:val="00312640"/>
    <w:rsid w:val="003128B3"/>
    <w:rsid w:val="00313022"/>
    <w:rsid w:val="0031376F"/>
    <w:rsid w:val="00314739"/>
    <w:rsid w:val="0031477F"/>
    <w:rsid w:val="00314EE5"/>
    <w:rsid w:val="00315D4A"/>
    <w:rsid w:val="00315EB0"/>
    <w:rsid w:val="0031795F"/>
    <w:rsid w:val="003206D3"/>
    <w:rsid w:val="00322181"/>
    <w:rsid w:val="00324F75"/>
    <w:rsid w:val="00326AEE"/>
    <w:rsid w:val="00326B15"/>
    <w:rsid w:val="00330D72"/>
    <w:rsid w:val="00330EB0"/>
    <w:rsid w:val="00331A9E"/>
    <w:rsid w:val="0033229A"/>
    <w:rsid w:val="0033254E"/>
    <w:rsid w:val="00332E0D"/>
    <w:rsid w:val="00333404"/>
    <w:rsid w:val="00334D93"/>
    <w:rsid w:val="003358B5"/>
    <w:rsid w:val="00335ECE"/>
    <w:rsid w:val="003363D1"/>
    <w:rsid w:val="00336B67"/>
    <w:rsid w:val="00337E88"/>
    <w:rsid w:val="00340333"/>
    <w:rsid w:val="00341BF0"/>
    <w:rsid w:val="00342D6F"/>
    <w:rsid w:val="00343629"/>
    <w:rsid w:val="003436DE"/>
    <w:rsid w:val="003438EB"/>
    <w:rsid w:val="003442B9"/>
    <w:rsid w:val="00344DD7"/>
    <w:rsid w:val="003451C2"/>
    <w:rsid w:val="00347070"/>
    <w:rsid w:val="00347814"/>
    <w:rsid w:val="003510B6"/>
    <w:rsid w:val="00351D22"/>
    <w:rsid w:val="00351DE6"/>
    <w:rsid w:val="00351EF1"/>
    <w:rsid w:val="00351FB2"/>
    <w:rsid w:val="00352877"/>
    <w:rsid w:val="00352923"/>
    <w:rsid w:val="00355C26"/>
    <w:rsid w:val="00356557"/>
    <w:rsid w:val="0035699C"/>
    <w:rsid w:val="003572D8"/>
    <w:rsid w:val="003606D5"/>
    <w:rsid w:val="00360740"/>
    <w:rsid w:val="003619B9"/>
    <w:rsid w:val="00361F1A"/>
    <w:rsid w:val="0036203E"/>
    <w:rsid w:val="003629B1"/>
    <w:rsid w:val="00363E42"/>
    <w:rsid w:val="00363E53"/>
    <w:rsid w:val="003642CB"/>
    <w:rsid w:val="00365325"/>
    <w:rsid w:val="0036664C"/>
    <w:rsid w:val="0036695B"/>
    <w:rsid w:val="00366E0F"/>
    <w:rsid w:val="00367347"/>
    <w:rsid w:val="003674BA"/>
    <w:rsid w:val="00371414"/>
    <w:rsid w:val="0037256F"/>
    <w:rsid w:val="00372BB4"/>
    <w:rsid w:val="00373158"/>
    <w:rsid w:val="00373271"/>
    <w:rsid w:val="00373276"/>
    <w:rsid w:val="00373709"/>
    <w:rsid w:val="00373C09"/>
    <w:rsid w:val="00374510"/>
    <w:rsid w:val="0037567B"/>
    <w:rsid w:val="00375EDD"/>
    <w:rsid w:val="00376006"/>
    <w:rsid w:val="003768A9"/>
    <w:rsid w:val="0037706A"/>
    <w:rsid w:val="00381236"/>
    <w:rsid w:val="00381575"/>
    <w:rsid w:val="0038357F"/>
    <w:rsid w:val="0038429B"/>
    <w:rsid w:val="00384301"/>
    <w:rsid w:val="00385A38"/>
    <w:rsid w:val="00386AD9"/>
    <w:rsid w:val="00386CFD"/>
    <w:rsid w:val="0038710B"/>
    <w:rsid w:val="003872AF"/>
    <w:rsid w:val="00390CCF"/>
    <w:rsid w:val="00390E02"/>
    <w:rsid w:val="00390EA2"/>
    <w:rsid w:val="00391577"/>
    <w:rsid w:val="00392FA1"/>
    <w:rsid w:val="00394353"/>
    <w:rsid w:val="00394E95"/>
    <w:rsid w:val="00395D38"/>
    <w:rsid w:val="0039640B"/>
    <w:rsid w:val="003A11A1"/>
    <w:rsid w:val="003A13B4"/>
    <w:rsid w:val="003A1C10"/>
    <w:rsid w:val="003A1E67"/>
    <w:rsid w:val="003A2073"/>
    <w:rsid w:val="003A285D"/>
    <w:rsid w:val="003A2C4F"/>
    <w:rsid w:val="003A3F89"/>
    <w:rsid w:val="003A55DE"/>
    <w:rsid w:val="003A7494"/>
    <w:rsid w:val="003B0191"/>
    <w:rsid w:val="003B0804"/>
    <w:rsid w:val="003B0870"/>
    <w:rsid w:val="003B1E79"/>
    <w:rsid w:val="003B28D1"/>
    <w:rsid w:val="003B3684"/>
    <w:rsid w:val="003B40C1"/>
    <w:rsid w:val="003B40D9"/>
    <w:rsid w:val="003B4785"/>
    <w:rsid w:val="003B501B"/>
    <w:rsid w:val="003B548F"/>
    <w:rsid w:val="003B5EC6"/>
    <w:rsid w:val="003B636A"/>
    <w:rsid w:val="003B6C8A"/>
    <w:rsid w:val="003B72C0"/>
    <w:rsid w:val="003C096D"/>
    <w:rsid w:val="003C0DE0"/>
    <w:rsid w:val="003C0EC4"/>
    <w:rsid w:val="003C1189"/>
    <w:rsid w:val="003C289D"/>
    <w:rsid w:val="003C3EA4"/>
    <w:rsid w:val="003C4FCB"/>
    <w:rsid w:val="003C53DA"/>
    <w:rsid w:val="003C5427"/>
    <w:rsid w:val="003C655D"/>
    <w:rsid w:val="003C6ADB"/>
    <w:rsid w:val="003C6D27"/>
    <w:rsid w:val="003C7062"/>
    <w:rsid w:val="003C70E4"/>
    <w:rsid w:val="003D0D6E"/>
    <w:rsid w:val="003D4D31"/>
    <w:rsid w:val="003D57A4"/>
    <w:rsid w:val="003D7F59"/>
    <w:rsid w:val="003E0650"/>
    <w:rsid w:val="003E2836"/>
    <w:rsid w:val="003E3B88"/>
    <w:rsid w:val="003E3F04"/>
    <w:rsid w:val="003E4B80"/>
    <w:rsid w:val="003E6211"/>
    <w:rsid w:val="003E6406"/>
    <w:rsid w:val="003E6D67"/>
    <w:rsid w:val="003E7280"/>
    <w:rsid w:val="003F173D"/>
    <w:rsid w:val="003F21B6"/>
    <w:rsid w:val="003F21EE"/>
    <w:rsid w:val="003F2715"/>
    <w:rsid w:val="003F3CF8"/>
    <w:rsid w:val="003F4170"/>
    <w:rsid w:val="003F4EED"/>
    <w:rsid w:val="003F51C7"/>
    <w:rsid w:val="003F6928"/>
    <w:rsid w:val="00400271"/>
    <w:rsid w:val="004002DD"/>
    <w:rsid w:val="0040109F"/>
    <w:rsid w:val="004021E8"/>
    <w:rsid w:val="004025DA"/>
    <w:rsid w:val="00402847"/>
    <w:rsid w:val="0040315F"/>
    <w:rsid w:val="0040347E"/>
    <w:rsid w:val="00404AE3"/>
    <w:rsid w:val="00404AF9"/>
    <w:rsid w:val="00405776"/>
    <w:rsid w:val="00406359"/>
    <w:rsid w:val="00406853"/>
    <w:rsid w:val="00407663"/>
    <w:rsid w:val="004079B7"/>
    <w:rsid w:val="00410213"/>
    <w:rsid w:val="0041080D"/>
    <w:rsid w:val="004118E9"/>
    <w:rsid w:val="00412F4F"/>
    <w:rsid w:val="00413CE5"/>
    <w:rsid w:val="0041684B"/>
    <w:rsid w:val="004177EF"/>
    <w:rsid w:val="00417D82"/>
    <w:rsid w:val="00422A3B"/>
    <w:rsid w:val="00424297"/>
    <w:rsid w:val="00424856"/>
    <w:rsid w:val="0042577E"/>
    <w:rsid w:val="00425C06"/>
    <w:rsid w:val="00426936"/>
    <w:rsid w:val="00427667"/>
    <w:rsid w:val="004337F7"/>
    <w:rsid w:val="00433843"/>
    <w:rsid w:val="00434360"/>
    <w:rsid w:val="004343DC"/>
    <w:rsid w:val="0043483C"/>
    <w:rsid w:val="00434EFC"/>
    <w:rsid w:val="00435179"/>
    <w:rsid w:val="0043715D"/>
    <w:rsid w:val="00437A85"/>
    <w:rsid w:val="00440C48"/>
    <w:rsid w:val="00440FC9"/>
    <w:rsid w:val="004418F1"/>
    <w:rsid w:val="004425D1"/>
    <w:rsid w:val="00442E89"/>
    <w:rsid w:val="00443C2B"/>
    <w:rsid w:val="00443EA6"/>
    <w:rsid w:val="00443F9D"/>
    <w:rsid w:val="00444211"/>
    <w:rsid w:val="00444415"/>
    <w:rsid w:val="00445D41"/>
    <w:rsid w:val="0044687D"/>
    <w:rsid w:val="00451C12"/>
    <w:rsid w:val="00451DCE"/>
    <w:rsid w:val="00453008"/>
    <w:rsid w:val="004536C2"/>
    <w:rsid w:val="0045476E"/>
    <w:rsid w:val="00456331"/>
    <w:rsid w:val="0045693E"/>
    <w:rsid w:val="00456AEA"/>
    <w:rsid w:val="00456E66"/>
    <w:rsid w:val="00457C01"/>
    <w:rsid w:val="004606FC"/>
    <w:rsid w:val="004609A3"/>
    <w:rsid w:val="0046176D"/>
    <w:rsid w:val="004620BB"/>
    <w:rsid w:val="00463E49"/>
    <w:rsid w:val="004647D8"/>
    <w:rsid w:val="004647E3"/>
    <w:rsid w:val="00464EB6"/>
    <w:rsid w:val="00465B90"/>
    <w:rsid w:val="004665AD"/>
    <w:rsid w:val="004665D3"/>
    <w:rsid w:val="00466D29"/>
    <w:rsid w:val="0046765A"/>
    <w:rsid w:val="00470ECF"/>
    <w:rsid w:val="00471634"/>
    <w:rsid w:val="00471AC0"/>
    <w:rsid w:val="0047220C"/>
    <w:rsid w:val="004734E2"/>
    <w:rsid w:val="004735D6"/>
    <w:rsid w:val="004736ED"/>
    <w:rsid w:val="00473CCF"/>
    <w:rsid w:val="00474870"/>
    <w:rsid w:val="00474A8B"/>
    <w:rsid w:val="00474BEB"/>
    <w:rsid w:val="00475485"/>
    <w:rsid w:val="0047731D"/>
    <w:rsid w:val="004778A5"/>
    <w:rsid w:val="00480678"/>
    <w:rsid w:val="004816F1"/>
    <w:rsid w:val="00481F89"/>
    <w:rsid w:val="004835D5"/>
    <w:rsid w:val="00483642"/>
    <w:rsid w:val="00483C9B"/>
    <w:rsid w:val="00484C16"/>
    <w:rsid w:val="00484CD9"/>
    <w:rsid w:val="00485603"/>
    <w:rsid w:val="00486590"/>
    <w:rsid w:val="004866F9"/>
    <w:rsid w:val="00486E47"/>
    <w:rsid w:val="00487160"/>
    <w:rsid w:val="00487932"/>
    <w:rsid w:val="00487EA1"/>
    <w:rsid w:val="00487ED6"/>
    <w:rsid w:val="004917C3"/>
    <w:rsid w:val="004920E7"/>
    <w:rsid w:val="00493126"/>
    <w:rsid w:val="004940BE"/>
    <w:rsid w:val="004954A7"/>
    <w:rsid w:val="00496309"/>
    <w:rsid w:val="0049638F"/>
    <w:rsid w:val="00496E05"/>
    <w:rsid w:val="004977CF"/>
    <w:rsid w:val="00497E51"/>
    <w:rsid w:val="004A07D6"/>
    <w:rsid w:val="004A1B5C"/>
    <w:rsid w:val="004A20F8"/>
    <w:rsid w:val="004A23E3"/>
    <w:rsid w:val="004A3FDE"/>
    <w:rsid w:val="004A56BC"/>
    <w:rsid w:val="004A5F64"/>
    <w:rsid w:val="004A63C6"/>
    <w:rsid w:val="004A68A7"/>
    <w:rsid w:val="004A6FCA"/>
    <w:rsid w:val="004A7B4E"/>
    <w:rsid w:val="004B0391"/>
    <w:rsid w:val="004B03DB"/>
    <w:rsid w:val="004B1BFE"/>
    <w:rsid w:val="004B3028"/>
    <w:rsid w:val="004B30BC"/>
    <w:rsid w:val="004B494D"/>
    <w:rsid w:val="004B52A6"/>
    <w:rsid w:val="004B5514"/>
    <w:rsid w:val="004B57C7"/>
    <w:rsid w:val="004B61C9"/>
    <w:rsid w:val="004B66CE"/>
    <w:rsid w:val="004B6B58"/>
    <w:rsid w:val="004B78F1"/>
    <w:rsid w:val="004B79F5"/>
    <w:rsid w:val="004B79FB"/>
    <w:rsid w:val="004C1A3A"/>
    <w:rsid w:val="004C2BC6"/>
    <w:rsid w:val="004C3D32"/>
    <w:rsid w:val="004C73AD"/>
    <w:rsid w:val="004D1225"/>
    <w:rsid w:val="004D133C"/>
    <w:rsid w:val="004D368E"/>
    <w:rsid w:val="004D379A"/>
    <w:rsid w:val="004D3AEC"/>
    <w:rsid w:val="004D3E9B"/>
    <w:rsid w:val="004D4897"/>
    <w:rsid w:val="004D4979"/>
    <w:rsid w:val="004D4DBA"/>
    <w:rsid w:val="004D4EE4"/>
    <w:rsid w:val="004D607B"/>
    <w:rsid w:val="004D799D"/>
    <w:rsid w:val="004E0461"/>
    <w:rsid w:val="004E0A24"/>
    <w:rsid w:val="004E27E9"/>
    <w:rsid w:val="004E3086"/>
    <w:rsid w:val="004E431C"/>
    <w:rsid w:val="004E7E9A"/>
    <w:rsid w:val="004F0975"/>
    <w:rsid w:val="004F11B8"/>
    <w:rsid w:val="004F1895"/>
    <w:rsid w:val="004F1ACE"/>
    <w:rsid w:val="004F251A"/>
    <w:rsid w:val="004F262E"/>
    <w:rsid w:val="004F2C85"/>
    <w:rsid w:val="004F2FD2"/>
    <w:rsid w:val="004F2FFD"/>
    <w:rsid w:val="004F3201"/>
    <w:rsid w:val="004F47B2"/>
    <w:rsid w:val="004F60C9"/>
    <w:rsid w:val="004F7550"/>
    <w:rsid w:val="004F7CD3"/>
    <w:rsid w:val="0050017B"/>
    <w:rsid w:val="005005ED"/>
    <w:rsid w:val="00501A2E"/>
    <w:rsid w:val="00501D39"/>
    <w:rsid w:val="005029FC"/>
    <w:rsid w:val="00502C86"/>
    <w:rsid w:val="00502DAC"/>
    <w:rsid w:val="005031BD"/>
    <w:rsid w:val="005039C4"/>
    <w:rsid w:val="00503CB1"/>
    <w:rsid w:val="00504E9A"/>
    <w:rsid w:val="00510DF1"/>
    <w:rsid w:val="005113FC"/>
    <w:rsid w:val="00512024"/>
    <w:rsid w:val="0051442A"/>
    <w:rsid w:val="00515AC4"/>
    <w:rsid w:val="00515BBA"/>
    <w:rsid w:val="00516039"/>
    <w:rsid w:val="00517E19"/>
    <w:rsid w:val="0052078F"/>
    <w:rsid w:val="0052188C"/>
    <w:rsid w:val="00522830"/>
    <w:rsid w:val="00522E05"/>
    <w:rsid w:val="00522E32"/>
    <w:rsid w:val="005232CB"/>
    <w:rsid w:val="005232F8"/>
    <w:rsid w:val="00524468"/>
    <w:rsid w:val="0052478D"/>
    <w:rsid w:val="00524973"/>
    <w:rsid w:val="0052700C"/>
    <w:rsid w:val="005270C0"/>
    <w:rsid w:val="00527A1B"/>
    <w:rsid w:val="0053003E"/>
    <w:rsid w:val="005304FA"/>
    <w:rsid w:val="00530579"/>
    <w:rsid w:val="00531399"/>
    <w:rsid w:val="00532106"/>
    <w:rsid w:val="00532E3B"/>
    <w:rsid w:val="005338FF"/>
    <w:rsid w:val="00533B69"/>
    <w:rsid w:val="00535D7A"/>
    <w:rsid w:val="005377D7"/>
    <w:rsid w:val="00540F7F"/>
    <w:rsid w:val="005425FD"/>
    <w:rsid w:val="005434CC"/>
    <w:rsid w:val="00543715"/>
    <w:rsid w:val="00545555"/>
    <w:rsid w:val="00545AE0"/>
    <w:rsid w:val="00545C44"/>
    <w:rsid w:val="005461C8"/>
    <w:rsid w:val="00546372"/>
    <w:rsid w:val="00547084"/>
    <w:rsid w:val="00550760"/>
    <w:rsid w:val="0055097D"/>
    <w:rsid w:val="005509F7"/>
    <w:rsid w:val="00551065"/>
    <w:rsid w:val="00551FAD"/>
    <w:rsid w:val="00553682"/>
    <w:rsid w:val="00553BBF"/>
    <w:rsid w:val="00554AA9"/>
    <w:rsid w:val="005557E4"/>
    <w:rsid w:val="00555CAA"/>
    <w:rsid w:val="0056045A"/>
    <w:rsid w:val="00561333"/>
    <w:rsid w:val="005614E1"/>
    <w:rsid w:val="00561DC3"/>
    <w:rsid w:val="00562368"/>
    <w:rsid w:val="005626DC"/>
    <w:rsid w:val="005638C4"/>
    <w:rsid w:val="00566FB7"/>
    <w:rsid w:val="005670A3"/>
    <w:rsid w:val="00570B8F"/>
    <w:rsid w:val="00572C10"/>
    <w:rsid w:val="00574318"/>
    <w:rsid w:val="005743AC"/>
    <w:rsid w:val="005747B7"/>
    <w:rsid w:val="005752D4"/>
    <w:rsid w:val="005759C7"/>
    <w:rsid w:val="00575B29"/>
    <w:rsid w:val="005771EC"/>
    <w:rsid w:val="00580339"/>
    <w:rsid w:val="00580F22"/>
    <w:rsid w:val="0058229C"/>
    <w:rsid w:val="00582663"/>
    <w:rsid w:val="00583E25"/>
    <w:rsid w:val="00583ED5"/>
    <w:rsid w:val="00586F9F"/>
    <w:rsid w:val="00587809"/>
    <w:rsid w:val="00587C51"/>
    <w:rsid w:val="00587D96"/>
    <w:rsid w:val="0059005F"/>
    <w:rsid w:val="005910C0"/>
    <w:rsid w:val="00592CDE"/>
    <w:rsid w:val="0059302D"/>
    <w:rsid w:val="005938E8"/>
    <w:rsid w:val="005955EB"/>
    <w:rsid w:val="005963C4"/>
    <w:rsid w:val="00596C8E"/>
    <w:rsid w:val="005A0C45"/>
    <w:rsid w:val="005A146C"/>
    <w:rsid w:val="005A148C"/>
    <w:rsid w:val="005A1DB2"/>
    <w:rsid w:val="005A29C6"/>
    <w:rsid w:val="005A3419"/>
    <w:rsid w:val="005A3F02"/>
    <w:rsid w:val="005A4A12"/>
    <w:rsid w:val="005A7896"/>
    <w:rsid w:val="005B1944"/>
    <w:rsid w:val="005B1B1C"/>
    <w:rsid w:val="005B1FCE"/>
    <w:rsid w:val="005B2067"/>
    <w:rsid w:val="005B24BB"/>
    <w:rsid w:val="005B3F05"/>
    <w:rsid w:val="005B4221"/>
    <w:rsid w:val="005B4C68"/>
    <w:rsid w:val="005B514F"/>
    <w:rsid w:val="005B5C85"/>
    <w:rsid w:val="005B67C8"/>
    <w:rsid w:val="005B7372"/>
    <w:rsid w:val="005B7478"/>
    <w:rsid w:val="005C3100"/>
    <w:rsid w:val="005C3366"/>
    <w:rsid w:val="005C358F"/>
    <w:rsid w:val="005C44DA"/>
    <w:rsid w:val="005C6F20"/>
    <w:rsid w:val="005C7693"/>
    <w:rsid w:val="005D197D"/>
    <w:rsid w:val="005D25FA"/>
    <w:rsid w:val="005D27E9"/>
    <w:rsid w:val="005D4029"/>
    <w:rsid w:val="005D4278"/>
    <w:rsid w:val="005D474C"/>
    <w:rsid w:val="005D4E3E"/>
    <w:rsid w:val="005D5EBC"/>
    <w:rsid w:val="005D614C"/>
    <w:rsid w:val="005D64AE"/>
    <w:rsid w:val="005D6D4B"/>
    <w:rsid w:val="005D75F2"/>
    <w:rsid w:val="005E025A"/>
    <w:rsid w:val="005E147C"/>
    <w:rsid w:val="005E1AAD"/>
    <w:rsid w:val="005E27A9"/>
    <w:rsid w:val="005E4B93"/>
    <w:rsid w:val="005E503C"/>
    <w:rsid w:val="005E5B2D"/>
    <w:rsid w:val="005E6C41"/>
    <w:rsid w:val="005E7CAB"/>
    <w:rsid w:val="005F031D"/>
    <w:rsid w:val="005F0669"/>
    <w:rsid w:val="005F0782"/>
    <w:rsid w:val="005F1607"/>
    <w:rsid w:val="005F181E"/>
    <w:rsid w:val="005F1A29"/>
    <w:rsid w:val="005F2651"/>
    <w:rsid w:val="005F2A96"/>
    <w:rsid w:val="005F31D8"/>
    <w:rsid w:val="005F43F6"/>
    <w:rsid w:val="005F58F9"/>
    <w:rsid w:val="005F5CDA"/>
    <w:rsid w:val="005F65A5"/>
    <w:rsid w:val="005F65E6"/>
    <w:rsid w:val="005F6779"/>
    <w:rsid w:val="005F698C"/>
    <w:rsid w:val="005F7771"/>
    <w:rsid w:val="0060068C"/>
    <w:rsid w:val="006006BC"/>
    <w:rsid w:val="0060195F"/>
    <w:rsid w:val="006023E1"/>
    <w:rsid w:val="00602757"/>
    <w:rsid w:val="00602F3B"/>
    <w:rsid w:val="00603214"/>
    <w:rsid w:val="0060641F"/>
    <w:rsid w:val="006064E7"/>
    <w:rsid w:val="00606A0C"/>
    <w:rsid w:val="00606C8B"/>
    <w:rsid w:val="00607684"/>
    <w:rsid w:val="00610822"/>
    <w:rsid w:val="00610C80"/>
    <w:rsid w:val="0061100E"/>
    <w:rsid w:val="00611737"/>
    <w:rsid w:val="00611B7B"/>
    <w:rsid w:val="00611C9D"/>
    <w:rsid w:val="006135A9"/>
    <w:rsid w:val="00615B1E"/>
    <w:rsid w:val="00621E6A"/>
    <w:rsid w:val="00623405"/>
    <w:rsid w:val="00623F11"/>
    <w:rsid w:val="00624314"/>
    <w:rsid w:val="00624EB7"/>
    <w:rsid w:val="0062591A"/>
    <w:rsid w:val="00626140"/>
    <w:rsid w:val="0062620C"/>
    <w:rsid w:val="0062636D"/>
    <w:rsid w:val="00632A05"/>
    <w:rsid w:val="00634A39"/>
    <w:rsid w:val="006350B2"/>
    <w:rsid w:val="006358D2"/>
    <w:rsid w:val="00635A04"/>
    <w:rsid w:val="00635C08"/>
    <w:rsid w:val="00636D44"/>
    <w:rsid w:val="00640208"/>
    <w:rsid w:val="0064024F"/>
    <w:rsid w:val="00640D32"/>
    <w:rsid w:val="0064134F"/>
    <w:rsid w:val="0064171F"/>
    <w:rsid w:val="00642018"/>
    <w:rsid w:val="006439D0"/>
    <w:rsid w:val="00643CEF"/>
    <w:rsid w:val="00645723"/>
    <w:rsid w:val="00646910"/>
    <w:rsid w:val="00647857"/>
    <w:rsid w:val="00647ED1"/>
    <w:rsid w:val="006502A8"/>
    <w:rsid w:val="00650517"/>
    <w:rsid w:val="006507D4"/>
    <w:rsid w:val="00650EDB"/>
    <w:rsid w:val="00651C35"/>
    <w:rsid w:val="00652299"/>
    <w:rsid w:val="00652ADC"/>
    <w:rsid w:val="00652F0E"/>
    <w:rsid w:val="00654D8F"/>
    <w:rsid w:val="00656029"/>
    <w:rsid w:val="00656B41"/>
    <w:rsid w:val="0065750B"/>
    <w:rsid w:val="00657A90"/>
    <w:rsid w:val="00657BA2"/>
    <w:rsid w:val="00657D01"/>
    <w:rsid w:val="00662720"/>
    <w:rsid w:val="006644B4"/>
    <w:rsid w:val="00664542"/>
    <w:rsid w:val="00665365"/>
    <w:rsid w:val="006661D7"/>
    <w:rsid w:val="00666ECD"/>
    <w:rsid w:val="00670134"/>
    <w:rsid w:val="00670314"/>
    <w:rsid w:val="00670F27"/>
    <w:rsid w:val="00671504"/>
    <w:rsid w:val="006718F6"/>
    <w:rsid w:val="00672ABB"/>
    <w:rsid w:val="00673974"/>
    <w:rsid w:val="006747F7"/>
    <w:rsid w:val="00676B12"/>
    <w:rsid w:val="00680808"/>
    <w:rsid w:val="006817C7"/>
    <w:rsid w:val="00681FCE"/>
    <w:rsid w:val="0068244C"/>
    <w:rsid w:val="0068269B"/>
    <w:rsid w:val="006826F3"/>
    <w:rsid w:val="0068329B"/>
    <w:rsid w:val="0068347C"/>
    <w:rsid w:val="0068402D"/>
    <w:rsid w:val="00684E2A"/>
    <w:rsid w:val="0068509C"/>
    <w:rsid w:val="006857C0"/>
    <w:rsid w:val="00685C41"/>
    <w:rsid w:val="00686075"/>
    <w:rsid w:val="00687D47"/>
    <w:rsid w:val="00690E28"/>
    <w:rsid w:val="00691A79"/>
    <w:rsid w:val="00692841"/>
    <w:rsid w:val="00692DB9"/>
    <w:rsid w:val="00693A3C"/>
    <w:rsid w:val="0069407C"/>
    <w:rsid w:val="006945FC"/>
    <w:rsid w:val="00694659"/>
    <w:rsid w:val="00694C7B"/>
    <w:rsid w:val="00696B7B"/>
    <w:rsid w:val="00696C23"/>
    <w:rsid w:val="006979A4"/>
    <w:rsid w:val="006A1D87"/>
    <w:rsid w:val="006A204A"/>
    <w:rsid w:val="006A45B1"/>
    <w:rsid w:val="006A55A1"/>
    <w:rsid w:val="006A576B"/>
    <w:rsid w:val="006A6025"/>
    <w:rsid w:val="006A6CD4"/>
    <w:rsid w:val="006A7D41"/>
    <w:rsid w:val="006B08E4"/>
    <w:rsid w:val="006B0C44"/>
    <w:rsid w:val="006B0FBC"/>
    <w:rsid w:val="006B16B9"/>
    <w:rsid w:val="006B1C85"/>
    <w:rsid w:val="006B206B"/>
    <w:rsid w:val="006B2109"/>
    <w:rsid w:val="006B2E96"/>
    <w:rsid w:val="006B3C94"/>
    <w:rsid w:val="006B3D06"/>
    <w:rsid w:val="006B5416"/>
    <w:rsid w:val="006C025C"/>
    <w:rsid w:val="006C0A85"/>
    <w:rsid w:val="006C29CD"/>
    <w:rsid w:val="006C2FB6"/>
    <w:rsid w:val="006C45A7"/>
    <w:rsid w:val="006C4617"/>
    <w:rsid w:val="006C4E50"/>
    <w:rsid w:val="006C5399"/>
    <w:rsid w:val="006C6F79"/>
    <w:rsid w:val="006C743F"/>
    <w:rsid w:val="006C7758"/>
    <w:rsid w:val="006C7F45"/>
    <w:rsid w:val="006D0D9D"/>
    <w:rsid w:val="006D2CD1"/>
    <w:rsid w:val="006D31D4"/>
    <w:rsid w:val="006D3505"/>
    <w:rsid w:val="006D405A"/>
    <w:rsid w:val="006D4559"/>
    <w:rsid w:val="006D4EA4"/>
    <w:rsid w:val="006D4F8B"/>
    <w:rsid w:val="006D6E79"/>
    <w:rsid w:val="006D704E"/>
    <w:rsid w:val="006D7665"/>
    <w:rsid w:val="006D7AE7"/>
    <w:rsid w:val="006E071D"/>
    <w:rsid w:val="006E0C7A"/>
    <w:rsid w:val="006E11AD"/>
    <w:rsid w:val="006E215C"/>
    <w:rsid w:val="006E2DDB"/>
    <w:rsid w:val="006E3771"/>
    <w:rsid w:val="006E586F"/>
    <w:rsid w:val="006E6253"/>
    <w:rsid w:val="006E7280"/>
    <w:rsid w:val="006E7CA1"/>
    <w:rsid w:val="006F02BE"/>
    <w:rsid w:val="006F1B7F"/>
    <w:rsid w:val="006F34CA"/>
    <w:rsid w:val="006F4F7E"/>
    <w:rsid w:val="006F54F2"/>
    <w:rsid w:val="006F5656"/>
    <w:rsid w:val="006F69EB"/>
    <w:rsid w:val="006F6C44"/>
    <w:rsid w:val="006F6C53"/>
    <w:rsid w:val="007000D7"/>
    <w:rsid w:val="007005FD"/>
    <w:rsid w:val="00700706"/>
    <w:rsid w:val="007016A6"/>
    <w:rsid w:val="00702321"/>
    <w:rsid w:val="00702E35"/>
    <w:rsid w:val="00703594"/>
    <w:rsid w:val="0070398E"/>
    <w:rsid w:val="00703FE0"/>
    <w:rsid w:val="00704A11"/>
    <w:rsid w:val="007062E2"/>
    <w:rsid w:val="007063C3"/>
    <w:rsid w:val="0070652B"/>
    <w:rsid w:val="00706F09"/>
    <w:rsid w:val="0071009C"/>
    <w:rsid w:val="007109F4"/>
    <w:rsid w:val="00710B05"/>
    <w:rsid w:val="007138D0"/>
    <w:rsid w:val="00713BEF"/>
    <w:rsid w:val="00715538"/>
    <w:rsid w:val="0071608A"/>
    <w:rsid w:val="00716607"/>
    <w:rsid w:val="00717080"/>
    <w:rsid w:val="007210EA"/>
    <w:rsid w:val="00721B68"/>
    <w:rsid w:val="00721C98"/>
    <w:rsid w:val="007242C4"/>
    <w:rsid w:val="007252B2"/>
    <w:rsid w:val="007262A9"/>
    <w:rsid w:val="00727253"/>
    <w:rsid w:val="007276BD"/>
    <w:rsid w:val="00727F67"/>
    <w:rsid w:val="00730826"/>
    <w:rsid w:val="00730861"/>
    <w:rsid w:val="007322A1"/>
    <w:rsid w:val="00732392"/>
    <w:rsid w:val="00732A17"/>
    <w:rsid w:val="00733275"/>
    <w:rsid w:val="007347AE"/>
    <w:rsid w:val="007349B4"/>
    <w:rsid w:val="00735C27"/>
    <w:rsid w:val="0073709B"/>
    <w:rsid w:val="00737246"/>
    <w:rsid w:val="00740E2C"/>
    <w:rsid w:val="00743793"/>
    <w:rsid w:val="007437DB"/>
    <w:rsid w:val="007452DD"/>
    <w:rsid w:val="00745307"/>
    <w:rsid w:val="00746314"/>
    <w:rsid w:val="0074722A"/>
    <w:rsid w:val="007515F4"/>
    <w:rsid w:val="00751663"/>
    <w:rsid w:val="007526C6"/>
    <w:rsid w:val="00753283"/>
    <w:rsid w:val="00753A74"/>
    <w:rsid w:val="007551BE"/>
    <w:rsid w:val="007552E8"/>
    <w:rsid w:val="00755CD3"/>
    <w:rsid w:val="00755D1D"/>
    <w:rsid w:val="0076005B"/>
    <w:rsid w:val="00760DB5"/>
    <w:rsid w:val="00761565"/>
    <w:rsid w:val="00761A27"/>
    <w:rsid w:val="007623D4"/>
    <w:rsid w:val="0076360B"/>
    <w:rsid w:val="00763613"/>
    <w:rsid w:val="00765046"/>
    <w:rsid w:val="00765E53"/>
    <w:rsid w:val="00766412"/>
    <w:rsid w:val="0076646E"/>
    <w:rsid w:val="00766D95"/>
    <w:rsid w:val="00766F2F"/>
    <w:rsid w:val="00771276"/>
    <w:rsid w:val="007723AF"/>
    <w:rsid w:val="00772414"/>
    <w:rsid w:val="00772982"/>
    <w:rsid w:val="00772EF5"/>
    <w:rsid w:val="00773AF4"/>
    <w:rsid w:val="0077590A"/>
    <w:rsid w:val="00775A7E"/>
    <w:rsid w:val="00775F7E"/>
    <w:rsid w:val="007762DB"/>
    <w:rsid w:val="007766CD"/>
    <w:rsid w:val="00776807"/>
    <w:rsid w:val="00777055"/>
    <w:rsid w:val="007803E2"/>
    <w:rsid w:val="0078060F"/>
    <w:rsid w:val="00782463"/>
    <w:rsid w:val="007842D3"/>
    <w:rsid w:val="00784746"/>
    <w:rsid w:val="007866A2"/>
    <w:rsid w:val="00786E26"/>
    <w:rsid w:val="00786EB0"/>
    <w:rsid w:val="00786F37"/>
    <w:rsid w:val="00790194"/>
    <w:rsid w:val="00790760"/>
    <w:rsid w:val="007911FC"/>
    <w:rsid w:val="007938D8"/>
    <w:rsid w:val="00793D9B"/>
    <w:rsid w:val="00795272"/>
    <w:rsid w:val="00796652"/>
    <w:rsid w:val="00796C49"/>
    <w:rsid w:val="00797DC2"/>
    <w:rsid w:val="00797EE3"/>
    <w:rsid w:val="007A05C2"/>
    <w:rsid w:val="007A1103"/>
    <w:rsid w:val="007A1762"/>
    <w:rsid w:val="007A1EA7"/>
    <w:rsid w:val="007A2A1B"/>
    <w:rsid w:val="007A31B2"/>
    <w:rsid w:val="007A410D"/>
    <w:rsid w:val="007A508A"/>
    <w:rsid w:val="007A54DD"/>
    <w:rsid w:val="007A7123"/>
    <w:rsid w:val="007A7EBB"/>
    <w:rsid w:val="007B0499"/>
    <w:rsid w:val="007B129D"/>
    <w:rsid w:val="007B1515"/>
    <w:rsid w:val="007B1944"/>
    <w:rsid w:val="007B2880"/>
    <w:rsid w:val="007B295A"/>
    <w:rsid w:val="007B5581"/>
    <w:rsid w:val="007B66FE"/>
    <w:rsid w:val="007B7AF1"/>
    <w:rsid w:val="007C005D"/>
    <w:rsid w:val="007C0575"/>
    <w:rsid w:val="007C0E26"/>
    <w:rsid w:val="007C1E64"/>
    <w:rsid w:val="007C270A"/>
    <w:rsid w:val="007C3198"/>
    <w:rsid w:val="007C4491"/>
    <w:rsid w:val="007C6082"/>
    <w:rsid w:val="007C68BB"/>
    <w:rsid w:val="007C768D"/>
    <w:rsid w:val="007D02EA"/>
    <w:rsid w:val="007D190D"/>
    <w:rsid w:val="007D35A1"/>
    <w:rsid w:val="007D3925"/>
    <w:rsid w:val="007D3C29"/>
    <w:rsid w:val="007D4354"/>
    <w:rsid w:val="007D440D"/>
    <w:rsid w:val="007D49CC"/>
    <w:rsid w:val="007D50DB"/>
    <w:rsid w:val="007D5B98"/>
    <w:rsid w:val="007D5DB6"/>
    <w:rsid w:val="007D75FB"/>
    <w:rsid w:val="007D76C5"/>
    <w:rsid w:val="007D774F"/>
    <w:rsid w:val="007D77E2"/>
    <w:rsid w:val="007D7DBF"/>
    <w:rsid w:val="007E02BB"/>
    <w:rsid w:val="007E02FA"/>
    <w:rsid w:val="007E10C9"/>
    <w:rsid w:val="007E13DB"/>
    <w:rsid w:val="007E1433"/>
    <w:rsid w:val="007E17CD"/>
    <w:rsid w:val="007E1C8E"/>
    <w:rsid w:val="007E21BA"/>
    <w:rsid w:val="007E5524"/>
    <w:rsid w:val="007E5BE4"/>
    <w:rsid w:val="007E614A"/>
    <w:rsid w:val="007E687A"/>
    <w:rsid w:val="007E6D55"/>
    <w:rsid w:val="007E7761"/>
    <w:rsid w:val="007E7F0C"/>
    <w:rsid w:val="007F0299"/>
    <w:rsid w:val="007F0ED7"/>
    <w:rsid w:val="007F1B8E"/>
    <w:rsid w:val="007F348C"/>
    <w:rsid w:val="007F3720"/>
    <w:rsid w:val="007F4175"/>
    <w:rsid w:val="007F45D7"/>
    <w:rsid w:val="007F46AF"/>
    <w:rsid w:val="007F4AB5"/>
    <w:rsid w:val="007F5C83"/>
    <w:rsid w:val="007F62A8"/>
    <w:rsid w:val="007F64B9"/>
    <w:rsid w:val="00801E48"/>
    <w:rsid w:val="00802B2D"/>
    <w:rsid w:val="00802E67"/>
    <w:rsid w:val="00802FCF"/>
    <w:rsid w:val="00803443"/>
    <w:rsid w:val="00803F98"/>
    <w:rsid w:val="00805106"/>
    <w:rsid w:val="00806979"/>
    <w:rsid w:val="00807DD8"/>
    <w:rsid w:val="00810296"/>
    <w:rsid w:val="00811CB7"/>
    <w:rsid w:val="008123E0"/>
    <w:rsid w:val="008125F2"/>
    <w:rsid w:val="00814857"/>
    <w:rsid w:val="0081494D"/>
    <w:rsid w:val="00816523"/>
    <w:rsid w:val="00817A2E"/>
    <w:rsid w:val="00821D86"/>
    <w:rsid w:val="00821DF5"/>
    <w:rsid w:val="00821F7C"/>
    <w:rsid w:val="0082211C"/>
    <w:rsid w:val="00824E78"/>
    <w:rsid w:val="008264A1"/>
    <w:rsid w:val="00826B68"/>
    <w:rsid w:val="00830416"/>
    <w:rsid w:val="0083075A"/>
    <w:rsid w:val="00830ED1"/>
    <w:rsid w:val="008310BE"/>
    <w:rsid w:val="008310F6"/>
    <w:rsid w:val="00831C07"/>
    <w:rsid w:val="00832C10"/>
    <w:rsid w:val="008330E8"/>
    <w:rsid w:val="00833A06"/>
    <w:rsid w:val="00833F33"/>
    <w:rsid w:val="008342EC"/>
    <w:rsid w:val="008348C5"/>
    <w:rsid w:val="00835443"/>
    <w:rsid w:val="008363B7"/>
    <w:rsid w:val="00836AC9"/>
    <w:rsid w:val="008413B6"/>
    <w:rsid w:val="00841493"/>
    <w:rsid w:val="008415BF"/>
    <w:rsid w:val="00841611"/>
    <w:rsid w:val="00841C54"/>
    <w:rsid w:val="0084252C"/>
    <w:rsid w:val="00844F0F"/>
    <w:rsid w:val="00845304"/>
    <w:rsid w:val="00845588"/>
    <w:rsid w:val="00845B47"/>
    <w:rsid w:val="008502E3"/>
    <w:rsid w:val="0085047D"/>
    <w:rsid w:val="0085088A"/>
    <w:rsid w:val="00850C0D"/>
    <w:rsid w:val="008513E6"/>
    <w:rsid w:val="008514C1"/>
    <w:rsid w:val="00851AD7"/>
    <w:rsid w:val="0085228B"/>
    <w:rsid w:val="008528B2"/>
    <w:rsid w:val="00852F59"/>
    <w:rsid w:val="008535E6"/>
    <w:rsid w:val="00853A7D"/>
    <w:rsid w:val="00853B24"/>
    <w:rsid w:val="008550D8"/>
    <w:rsid w:val="008559D1"/>
    <w:rsid w:val="0086001F"/>
    <w:rsid w:val="008603B7"/>
    <w:rsid w:val="00860A76"/>
    <w:rsid w:val="00861234"/>
    <w:rsid w:val="00861303"/>
    <w:rsid w:val="00861C51"/>
    <w:rsid w:val="00862869"/>
    <w:rsid w:val="0086329B"/>
    <w:rsid w:val="0086385C"/>
    <w:rsid w:val="00864C75"/>
    <w:rsid w:val="00865A26"/>
    <w:rsid w:val="00866B65"/>
    <w:rsid w:val="008700B5"/>
    <w:rsid w:val="008700FF"/>
    <w:rsid w:val="0087076B"/>
    <w:rsid w:val="00871A8A"/>
    <w:rsid w:val="00872136"/>
    <w:rsid w:val="00872F97"/>
    <w:rsid w:val="008734F2"/>
    <w:rsid w:val="00873894"/>
    <w:rsid w:val="008744D5"/>
    <w:rsid w:val="00875244"/>
    <w:rsid w:val="00875891"/>
    <w:rsid w:val="00875FD3"/>
    <w:rsid w:val="00876343"/>
    <w:rsid w:val="0087667E"/>
    <w:rsid w:val="00876A2D"/>
    <w:rsid w:val="00876BDF"/>
    <w:rsid w:val="0088253A"/>
    <w:rsid w:val="008828BD"/>
    <w:rsid w:val="00882D32"/>
    <w:rsid w:val="00883926"/>
    <w:rsid w:val="008846B6"/>
    <w:rsid w:val="008857B6"/>
    <w:rsid w:val="00885ED2"/>
    <w:rsid w:val="00885F5D"/>
    <w:rsid w:val="00886203"/>
    <w:rsid w:val="00887173"/>
    <w:rsid w:val="00890107"/>
    <w:rsid w:val="00891209"/>
    <w:rsid w:val="008912B6"/>
    <w:rsid w:val="00891F20"/>
    <w:rsid w:val="008920AD"/>
    <w:rsid w:val="00892F1E"/>
    <w:rsid w:val="008938AB"/>
    <w:rsid w:val="00894668"/>
    <w:rsid w:val="00894A3D"/>
    <w:rsid w:val="008952E7"/>
    <w:rsid w:val="00895758"/>
    <w:rsid w:val="008960E6"/>
    <w:rsid w:val="008A00AD"/>
    <w:rsid w:val="008A191D"/>
    <w:rsid w:val="008A4357"/>
    <w:rsid w:val="008A4EB5"/>
    <w:rsid w:val="008A675E"/>
    <w:rsid w:val="008A74E4"/>
    <w:rsid w:val="008A76D9"/>
    <w:rsid w:val="008B0F5C"/>
    <w:rsid w:val="008B1325"/>
    <w:rsid w:val="008B157C"/>
    <w:rsid w:val="008B2D70"/>
    <w:rsid w:val="008B363C"/>
    <w:rsid w:val="008B397D"/>
    <w:rsid w:val="008B44AF"/>
    <w:rsid w:val="008B51CE"/>
    <w:rsid w:val="008B52BB"/>
    <w:rsid w:val="008B58A4"/>
    <w:rsid w:val="008B6DD4"/>
    <w:rsid w:val="008C0614"/>
    <w:rsid w:val="008C080A"/>
    <w:rsid w:val="008C1AAE"/>
    <w:rsid w:val="008C1DF0"/>
    <w:rsid w:val="008C2B72"/>
    <w:rsid w:val="008C3483"/>
    <w:rsid w:val="008C38B6"/>
    <w:rsid w:val="008C544C"/>
    <w:rsid w:val="008C63FF"/>
    <w:rsid w:val="008C6C8F"/>
    <w:rsid w:val="008C79F9"/>
    <w:rsid w:val="008D03B4"/>
    <w:rsid w:val="008D03F1"/>
    <w:rsid w:val="008D086D"/>
    <w:rsid w:val="008D2481"/>
    <w:rsid w:val="008D46B4"/>
    <w:rsid w:val="008D5054"/>
    <w:rsid w:val="008D567D"/>
    <w:rsid w:val="008D613E"/>
    <w:rsid w:val="008D64B4"/>
    <w:rsid w:val="008E055B"/>
    <w:rsid w:val="008E25AC"/>
    <w:rsid w:val="008E2CA3"/>
    <w:rsid w:val="008E378C"/>
    <w:rsid w:val="008E3B9E"/>
    <w:rsid w:val="008E746B"/>
    <w:rsid w:val="008F0569"/>
    <w:rsid w:val="008F0742"/>
    <w:rsid w:val="008F07AE"/>
    <w:rsid w:val="008F0B35"/>
    <w:rsid w:val="008F134D"/>
    <w:rsid w:val="008F27F2"/>
    <w:rsid w:val="008F2869"/>
    <w:rsid w:val="008F3297"/>
    <w:rsid w:val="008F32E7"/>
    <w:rsid w:val="008F5335"/>
    <w:rsid w:val="008F64A2"/>
    <w:rsid w:val="008F662C"/>
    <w:rsid w:val="008F6BFD"/>
    <w:rsid w:val="008F6F68"/>
    <w:rsid w:val="00900337"/>
    <w:rsid w:val="00900741"/>
    <w:rsid w:val="00901225"/>
    <w:rsid w:val="00901529"/>
    <w:rsid w:val="00902C3D"/>
    <w:rsid w:val="00902D1A"/>
    <w:rsid w:val="00903765"/>
    <w:rsid w:val="00904BCA"/>
    <w:rsid w:val="00905B30"/>
    <w:rsid w:val="00906981"/>
    <w:rsid w:val="00911ABD"/>
    <w:rsid w:val="009122C5"/>
    <w:rsid w:val="009127C1"/>
    <w:rsid w:val="00912FE8"/>
    <w:rsid w:val="009143DD"/>
    <w:rsid w:val="0091442F"/>
    <w:rsid w:val="00917725"/>
    <w:rsid w:val="00921358"/>
    <w:rsid w:val="00921A03"/>
    <w:rsid w:val="009220B2"/>
    <w:rsid w:val="009232D4"/>
    <w:rsid w:val="0092334C"/>
    <w:rsid w:val="0092399A"/>
    <w:rsid w:val="00924A8D"/>
    <w:rsid w:val="00924C0D"/>
    <w:rsid w:val="009250B6"/>
    <w:rsid w:val="00925757"/>
    <w:rsid w:val="009263BD"/>
    <w:rsid w:val="009267F6"/>
    <w:rsid w:val="00926B69"/>
    <w:rsid w:val="00927231"/>
    <w:rsid w:val="00930352"/>
    <w:rsid w:val="00932127"/>
    <w:rsid w:val="00932F79"/>
    <w:rsid w:val="009332E8"/>
    <w:rsid w:val="009335C1"/>
    <w:rsid w:val="00933A3E"/>
    <w:rsid w:val="009346AD"/>
    <w:rsid w:val="009357D3"/>
    <w:rsid w:val="00935C15"/>
    <w:rsid w:val="009400E4"/>
    <w:rsid w:val="009407D6"/>
    <w:rsid w:val="00941F24"/>
    <w:rsid w:val="00941FF6"/>
    <w:rsid w:val="0094226F"/>
    <w:rsid w:val="00944152"/>
    <w:rsid w:val="00945224"/>
    <w:rsid w:val="00945D88"/>
    <w:rsid w:val="00947ACE"/>
    <w:rsid w:val="0095010F"/>
    <w:rsid w:val="00953B09"/>
    <w:rsid w:val="0095401C"/>
    <w:rsid w:val="009548D3"/>
    <w:rsid w:val="00956AE2"/>
    <w:rsid w:val="009578AC"/>
    <w:rsid w:val="00957AA1"/>
    <w:rsid w:val="00957B82"/>
    <w:rsid w:val="009605F1"/>
    <w:rsid w:val="009609DF"/>
    <w:rsid w:val="00963138"/>
    <w:rsid w:val="00963A5D"/>
    <w:rsid w:val="009646C5"/>
    <w:rsid w:val="009669A0"/>
    <w:rsid w:val="00967A57"/>
    <w:rsid w:val="009704D7"/>
    <w:rsid w:val="00970D15"/>
    <w:rsid w:val="00973035"/>
    <w:rsid w:val="0097349A"/>
    <w:rsid w:val="009749C6"/>
    <w:rsid w:val="00975238"/>
    <w:rsid w:val="00975965"/>
    <w:rsid w:val="00977188"/>
    <w:rsid w:val="009772D1"/>
    <w:rsid w:val="00981ABB"/>
    <w:rsid w:val="009828CF"/>
    <w:rsid w:val="00983898"/>
    <w:rsid w:val="00983DF3"/>
    <w:rsid w:val="00983EDA"/>
    <w:rsid w:val="009842A5"/>
    <w:rsid w:val="0098433F"/>
    <w:rsid w:val="00984A1A"/>
    <w:rsid w:val="009934B9"/>
    <w:rsid w:val="00993AEF"/>
    <w:rsid w:val="00993D1A"/>
    <w:rsid w:val="0099402D"/>
    <w:rsid w:val="009954F3"/>
    <w:rsid w:val="00996283"/>
    <w:rsid w:val="00996D2E"/>
    <w:rsid w:val="009976E5"/>
    <w:rsid w:val="009A040D"/>
    <w:rsid w:val="009A189E"/>
    <w:rsid w:val="009A1BE5"/>
    <w:rsid w:val="009A2A96"/>
    <w:rsid w:val="009A37BE"/>
    <w:rsid w:val="009A4205"/>
    <w:rsid w:val="009A4221"/>
    <w:rsid w:val="009A4C9F"/>
    <w:rsid w:val="009A5232"/>
    <w:rsid w:val="009A6262"/>
    <w:rsid w:val="009B1C11"/>
    <w:rsid w:val="009B3D71"/>
    <w:rsid w:val="009B4304"/>
    <w:rsid w:val="009B482A"/>
    <w:rsid w:val="009B4B0C"/>
    <w:rsid w:val="009B5CEB"/>
    <w:rsid w:val="009B647D"/>
    <w:rsid w:val="009B6CED"/>
    <w:rsid w:val="009B7A68"/>
    <w:rsid w:val="009C01F6"/>
    <w:rsid w:val="009C0589"/>
    <w:rsid w:val="009C0B1C"/>
    <w:rsid w:val="009C1642"/>
    <w:rsid w:val="009C18F2"/>
    <w:rsid w:val="009C302C"/>
    <w:rsid w:val="009C319A"/>
    <w:rsid w:val="009C3BE3"/>
    <w:rsid w:val="009C3FBB"/>
    <w:rsid w:val="009C4513"/>
    <w:rsid w:val="009C4737"/>
    <w:rsid w:val="009C538A"/>
    <w:rsid w:val="009C6290"/>
    <w:rsid w:val="009C6BBD"/>
    <w:rsid w:val="009D1679"/>
    <w:rsid w:val="009D24EC"/>
    <w:rsid w:val="009D2F53"/>
    <w:rsid w:val="009D3151"/>
    <w:rsid w:val="009D4EEE"/>
    <w:rsid w:val="009D53A1"/>
    <w:rsid w:val="009D552C"/>
    <w:rsid w:val="009D6411"/>
    <w:rsid w:val="009D6809"/>
    <w:rsid w:val="009D6AD3"/>
    <w:rsid w:val="009D70FF"/>
    <w:rsid w:val="009D71F5"/>
    <w:rsid w:val="009D78BD"/>
    <w:rsid w:val="009E04F5"/>
    <w:rsid w:val="009E17A6"/>
    <w:rsid w:val="009E1885"/>
    <w:rsid w:val="009E42CA"/>
    <w:rsid w:val="009E4977"/>
    <w:rsid w:val="009E55DC"/>
    <w:rsid w:val="009E682B"/>
    <w:rsid w:val="009F0748"/>
    <w:rsid w:val="009F0E45"/>
    <w:rsid w:val="009F11C0"/>
    <w:rsid w:val="009F351A"/>
    <w:rsid w:val="009F3CD5"/>
    <w:rsid w:val="009F4133"/>
    <w:rsid w:val="009F460B"/>
    <w:rsid w:val="009F595D"/>
    <w:rsid w:val="009F5AF8"/>
    <w:rsid w:val="009F5BA1"/>
    <w:rsid w:val="00A008BD"/>
    <w:rsid w:val="00A01933"/>
    <w:rsid w:val="00A025A3"/>
    <w:rsid w:val="00A03DF7"/>
    <w:rsid w:val="00A0433C"/>
    <w:rsid w:val="00A05250"/>
    <w:rsid w:val="00A05746"/>
    <w:rsid w:val="00A059D6"/>
    <w:rsid w:val="00A0733C"/>
    <w:rsid w:val="00A074E0"/>
    <w:rsid w:val="00A147A2"/>
    <w:rsid w:val="00A161C2"/>
    <w:rsid w:val="00A16B93"/>
    <w:rsid w:val="00A17D65"/>
    <w:rsid w:val="00A20220"/>
    <w:rsid w:val="00A20ABD"/>
    <w:rsid w:val="00A21032"/>
    <w:rsid w:val="00A216E3"/>
    <w:rsid w:val="00A2229F"/>
    <w:rsid w:val="00A226C9"/>
    <w:rsid w:val="00A22F05"/>
    <w:rsid w:val="00A240C0"/>
    <w:rsid w:val="00A24CD5"/>
    <w:rsid w:val="00A25027"/>
    <w:rsid w:val="00A26F54"/>
    <w:rsid w:val="00A2753D"/>
    <w:rsid w:val="00A2781B"/>
    <w:rsid w:val="00A27CCB"/>
    <w:rsid w:val="00A30041"/>
    <w:rsid w:val="00A30488"/>
    <w:rsid w:val="00A31E3A"/>
    <w:rsid w:val="00A321FD"/>
    <w:rsid w:val="00A32493"/>
    <w:rsid w:val="00A32AA5"/>
    <w:rsid w:val="00A33520"/>
    <w:rsid w:val="00A338CD"/>
    <w:rsid w:val="00A3555E"/>
    <w:rsid w:val="00A35E62"/>
    <w:rsid w:val="00A378D3"/>
    <w:rsid w:val="00A415DB"/>
    <w:rsid w:val="00A42175"/>
    <w:rsid w:val="00A4274F"/>
    <w:rsid w:val="00A4301F"/>
    <w:rsid w:val="00A43021"/>
    <w:rsid w:val="00A43080"/>
    <w:rsid w:val="00A43BA7"/>
    <w:rsid w:val="00A44191"/>
    <w:rsid w:val="00A447E6"/>
    <w:rsid w:val="00A471AF"/>
    <w:rsid w:val="00A4725A"/>
    <w:rsid w:val="00A476E3"/>
    <w:rsid w:val="00A50217"/>
    <w:rsid w:val="00A51254"/>
    <w:rsid w:val="00A51A0C"/>
    <w:rsid w:val="00A52534"/>
    <w:rsid w:val="00A530E5"/>
    <w:rsid w:val="00A552C6"/>
    <w:rsid w:val="00A56236"/>
    <w:rsid w:val="00A56B3D"/>
    <w:rsid w:val="00A57225"/>
    <w:rsid w:val="00A60519"/>
    <w:rsid w:val="00A615B3"/>
    <w:rsid w:val="00A625EB"/>
    <w:rsid w:val="00A628C6"/>
    <w:rsid w:val="00A62B0A"/>
    <w:rsid w:val="00A62E6A"/>
    <w:rsid w:val="00A6492C"/>
    <w:rsid w:val="00A65A92"/>
    <w:rsid w:val="00A66A52"/>
    <w:rsid w:val="00A66B0B"/>
    <w:rsid w:val="00A66D87"/>
    <w:rsid w:val="00A674F6"/>
    <w:rsid w:val="00A67ABB"/>
    <w:rsid w:val="00A67E67"/>
    <w:rsid w:val="00A7058B"/>
    <w:rsid w:val="00A707F7"/>
    <w:rsid w:val="00A7102C"/>
    <w:rsid w:val="00A72B78"/>
    <w:rsid w:val="00A72C8E"/>
    <w:rsid w:val="00A73840"/>
    <w:rsid w:val="00A74092"/>
    <w:rsid w:val="00A75D94"/>
    <w:rsid w:val="00A75EBF"/>
    <w:rsid w:val="00A76CD5"/>
    <w:rsid w:val="00A771E2"/>
    <w:rsid w:val="00A77BBD"/>
    <w:rsid w:val="00A80F7B"/>
    <w:rsid w:val="00A812D8"/>
    <w:rsid w:val="00A817E7"/>
    <w:rsid w:val="00A83EC3"/>
    <w:rsid w:val="00A84E04"/>
    <w:rsid w:val="00A852AC"/>
    <w:rsid w:val="00A8624C"/>
    <w:rsid w:val="00A87226"/>
    <w:rsid w:val="00A876F1"/>
    <w:rsid w:val="00A87A7A"/>
    <w:rsid w:val="00A902D8"/>
    <w:rsid w:val="00A90358"/>
    <w:rsid w:val="00A90759"/>
    <w:rsid w:val="00A91541"/>
    <w:rsid w:val="00A931B5"/>
    <w:rsid w:val="00A931D3"/>
    <w:rsid w:val="00A93A72"/>
    <w:rsid w:val="00A93FB5"/>
    <w:rsid w:val="00A94967"/>
    <w:rsid w:val="00A954B2"/>
    <w:rsid w:val="00A95FB2"/>
    <w:rsid w:val="00A96A00"/>
    <w:rsid w:val="00A971B3"/>
    <w:rsid w:val="00A97EE2"/>
    <w:rsid w:val="00A97F7B"/>
    <w:rsid w:val="00AA103C"/>
    <w:rsid w:val="00AA1C1E"/>
    <w:rsid w:val="00AA2260"/>
    <w:rsid w:val="00AA2803"/>
    <w:rsid w:val="00AA3872"/>
    <w:rsid w:val="00AA3BA1"/>
    <w:rsid w:val="00AA43E2"/>
    <w:rsid w:val="00AA4794"/>
    <w:rsid w:val="00AA56E0"/>
    <w:rsid w:val="00AA5B9E"/>
    <w:rsid w:val="00AA5E1E"/>
    <w:rsid w:val="00AA64A3"/>
    <w:rsid w:val="00AB0EC3"/>
    <w:rsid w:val="00AB10D4"/>
    <w:rsid w:val="00AB18DD"/>
    <w:rsid w:val="00AB22FE"/>
    <w:rsid w:val="00AB4EDA"/>
    <w:rsid w:val="00AB5A4C"/>
    <w:rsid w:val="00AB5DC3"/>
    <w:rsid w:val="00AB6086"/>
    <w:rsid w:val="00AB6407"/>
    <w:rsid w:val="00AB68ED"/>
    <w:rsid w:val="00AC031F"/>
    <w:rsid w:val="00AC07E7"/>
    <w:rsid w:val="00AC1135"/>
    <w:rsid w:val="00AC2504"/>
    <w:rsid w:val="00AC440D"/>
    <w:rsid w:val="00AC4ACD"/>
    <w:rsid w:val="00AC4D87"/>
    <w:rsid w:val="00AC4E30"/>
    <w:rsid w:val="00AC5F5E"/>
    <w:rsid w:val="00AC60F4"/>
    <w:rsid w:val="00AC65C3"/>
    <w:rsid w:val="00AC667D"/>
    <w:rsid w:val="00AC7A02"/>
    <w:rsid w:val="00AC7D5D"/>
    <w:rsid w:val="00AC7EBF"/>
    <w:rsid w:val="00AD0F71"/>
    <w:rsid w:val="00AD1E71"/>
    <w:rsid w:val="00AD29D5"/>
    <w:rsid w:val="00AD54CE"/>
    <w:rsid w:val="00AD7825"/>
    <w:rsid w:val="00AD7A2D"/>
    <w:rsid w:val="00AE03C1"/>
    <w:rsid w:val="00AE056A"/>
    <w:rsid w:val="00AE13DD"/>
    <w:rsid w:val="00AE1AB4"/>
    <w:rsid w:val="00AE22F1"/>
    <w:rsid w:val="00AE34A0"/>
    <w:rsid w:val="00AE3564"/>
    <w:rsid w:val="00AE3806"/>
    <w:rsid w:val="00AE3F65"/>
    <w:rsid w:val="00AE4603"/>
    <w:rsid w:val="00AE4CB1"/>
    <w:rsid w:val="00AE4D6D"/>
    <w:rsid w:val="00AE5534"/>
    <w:rsid w:val="00AE59BA"/>
    <w:rsid w:val="00AE61E4"/>
    <w:rsid w:val="00AF03FA"/>
    <w:rsid w:val="00AF0895"/>
    <w:rsid w:val="00AF200F"/>
    <w:rsid w:val="00AF31A7"/>
    <w:rsid w:val="00AF3999"/>
    <w:rsid w:val="00AF6D4C"/>
    <w:rsid w:val="00AF744B"/>
    <w:rsid w:val="00AF7EFB"/>
    <w:rsid w:val="00B00CE0"/>
    <w:rsid w:val="00B01460"/>
    <w:rsid w:val="00B01A5D"/>
    <w:rsid w:val="00B0349F"/>
    <w:rsid w:val="00B0638B"/>
    <w:rsid w:val="00B10E90"/>
    <w:rsid w:val="00B11524"/>
    <w:rsid w:val="00B115F9"/>
    <w:rsid w:val="00B11882"/>
    <w:rsid w:val="00B1197A"/>
    <w:rsid w:val="00B12895"/>
    <w:rsid w:val="00B12AE2"/>
    <w:rsid w:val="00B12CD6"/>
    <w:rsid w:val="00B12D07"/>
    <w:rsid w:val="00B1308C"/>
    <w:rsid w:val="00B135AC"/>
    <w:rsid w:val="00B14EBA"/>
    <w:rsid w:val="00B15FC0"/>
    <w:rsid w:val="00B169B2"/>
    <w:rsid w:val="00B21746"/>
    <w:rsid w:val="00B21F28"/>
    <w:rsid w:val="00B22C0B"/>
    <w:rsid w:val="00B23174"/>
    <w:rsid w:val="00B2330D"/>
    <w:rsid w:val="00B2332B"/>
    <w:rsid w:val="00B24D42"/>
    <w:rsid w:val="00B25F62"/>
    <w:rsid w:val="00B26913"/>
    <w:rsid w:val="00B2697E"/>
    <w:rsid w:val="00B269BE"/>
    <w:rsid w:val="00B27926"/>
    <w:rsid w:val="00B27A53"/>
    <w:rsid w:val="00B3076B"/>
    <w:rsid w:val="00B31E88"/>
    <w:rsid w:val="00B33637"/>
    <w:rsid w:val="00B3365F"/>
    <w:rsid w:val="00B3402C"/>
    <w:rsid w:val="00B341B9"/>
    <w:rsid w:val="00B34A61"/>
    <w:rsid w:val="00B352E8"/>
    <w:rsid w:val="00B356A7"/>
    <w:rsid w:val="00B35DA6"/>
    <w:rsid w:val="00B362DE"/>
    <w:rsid w:val="00B36AA6"/>
    <w:rsid w:val="00B376AE"/>
    <w:rsid w:val="00B37BD2"/>
    <w:rsid w:val="00B402A7"/>
    <w:rsid w:val="00B406BB"/>
    <w:rsid w:val="00B41044"/>
    <w:rsid w:val="00B4166C"/>
    <w:rsid w:val="00B42EB6"/>
    <w:rsid w:val="00B43013"/>
    <w:rsid w:val="00B43048"/>
    <w:rsid w:val="00B434AC"/>
    <w:rsid w:val="00B4454F"/>
    <w:rsid w:val="00B467F2"/>
    <w:rsid w:val="00B469CB"/>
    <w:rsid w:val="00B476BF"/>
    <w:rsid w:val="00B47A9D"/>
    <w:rsid w:val="00B5036E"/>
    <w:rsid w:val="00B511A5"/>
    <w:rsid w:val="00B512BE"/>
    <w:rsid w:val="00B525C6"/>
    <w:rsid w:val="00B53707"/>
    <w:rsid w:val="00B545E9"/>
    <w:rsid w:val="00B547EC"/>
    <w:rsid w:val="00B55FB3"/>
    <w:rsid w:val="00B562FF"/>
    <w:rsid w:val="00B566FC"/>
    <w:rsid w:val="00B56AF4"/>
    <w:rsid w:val="00B57384"/>
    <w:rsid w:val="00B60E86"/>
    <w:rsid w:val="00B6118C"/>
    <w:rsid w:val="00B61954"/>
    <w:rsid w:val="00B62E31"/>
    <w:rsid w:val="00B639C2"/>
    <w:rsid w:val="00B65AF1"/>
    <w:rsid w:val="00B66803"/>
    <w:rsid w:val="00B70711"/>
    <w:rsid w:val="00B70D96"/>
    <w:rsid w:val="00B712D1"/>
    <w:rsid w:val="00B72BDA"/>
    <w:rsid w:val="00B73CE4"/>
    <w:rsid w:val="00B749A2"/>
    <w:rsid w:val="00B75AB5"/>
    <w:rsid w:val="00B75FD2"/>
    <w:rsid w:val="00B761F6"/>
    <w:rsid w:val="00B76505"/>
    <w:rsid w:val="00B77CA9"/>
    <w:rsid w:val="00B81EFA"/>
    <w:rsid w:val="00B856A4"/>
    <w:rsid w:val="00B86AE1"/>
    <w:rsid w:val="00B86B23"/>
    <w:rsid w:val="00B8787C"/>
    <w:rsid w:val="00B87C44"/>
    <w:rsid w:val="00B87F2F"/>
    <w:rsid w:val="00B90A79"/>
    <w:rsid w:val="00B90B99"/>
    <w:rsid w:val="00B91085"/>
    <w:rsid w:val="00B91443"/>
    <w:rsid w:val="00B9185C"/>
    <w:rsid w:val="00B929C6"/>
    <w:rsid w:val="00B935DB"/>
    <w:rsid w:val="00B9361C"/>
    <w:rsid w:val="00B9556A"/>
    <w:rsid w:val="00B95594"/>
    <w:rsid w:val="00B955EC"/>
    <w:rsid w:val="00B95D6F"/>
    <w:rsid w:val="00B968D9"/>
    <w:rsid w:val="00B96D97"/>
    <w:rsid w:val="00B97E25"/>
    <w:rsid w:val="00BA15BE"/>
    <w:rsid w:val="00BA17BB"/>
    <w:rsid w:val="00BA3391"/>
    <w:rsid w:val="00BA4109"/>
    <w:rsid w:val="00BA5086"/>
    <w:rsid w:val="00BA718F"/>
    <w:rsid w:val="00BA75B4"/>
    <w:rsid w:val="00BA7F50"/>
    <w:rsid w:val="00BB035D"/>
    <w:rsid w:val="00BB043F"/>
    <w:rsid w:val="00BB0FEB"/>
    <w:rsid w:val="00BB12E7"/>
    <w:rsid w:val="00BB1342"/>
    <w:rsid w:val="00BB1882"/>
    <w:rsid w:val="00BB37BF"/>
    <w:rsid w:val="00BB4E42"/>
    <w:rsid w:val="00BB6D8E"/>
    <w:rsid w:val="00BB79CB"/>
    <w:rsid w:val="00BB7B83"/>
    <w:rsid w:val="00BB7C67"/>
    <w:rsid w:val="00BC140F"/>
    <w:rsid w:val="00BC15AA"/>
    <w:rsid w:val="00BC1F27"/>
    <w:rsid w:val="00BC34F9"/>
    <w:rsid w:val="00BC3E24"/>
    <w:rsid w:val="00BC5D0C"/>
    <w:rsid w:val="00BC78AF"/>
    <w:rsid w:val="00BD0156"/>
    <w:rsid w:val="00BD0344"/>
    <w:rsid w:val="00BD2DEE"/>
    <w:rsid w:val="00BD3264"/>
    <w:rsid w:val="00BD43B7"/>
    <w:rsid w:val="00BD4758"/>
    <w:rsid w:val="00BD4B8B"/>
    <w:rsid w:val="00BD4BF6"/>
    <w:rsid w:val="00BD5943"/>
    <w:rsid w:val="00BD67A4"/>
    <w:rsid w:val="00BE0022"/>
    <w:rsid w:val="00BE2163"/>
    <w:rsid w:val="00BE2A2E"/>
    <w:rsid w:val="00BE358B"/>
    <w:rsid w:val="00BE398C"/>
    <w:rsid w:val="00BE43B2"/>
    <w:rsid w:val="00BE641E"/>
    <w:rsid w:val="00BE6A9D"/>
    <w:rsid w:val="00BE729D"/>
    <w:rsid w:val="00BF0106"/>
    <w:rsid w:val="00BF1442"/>
    <w:rsid w:val="00BF14D1"/>
    <w:rsid w:val="00BF3C4A"/>
    <w:rsid w:val="00BF4291"/>
    <w:rsid w:val="00BF4DD2"/>
    <w:rsid w:val="00BF5431"/>
    <w:rsid w:val="00BF56DF"/>
    <w:rsid w:val="00BF6457"/>
    <w:rsid w:val="00C02C27"/>
    <w:rsid w:val="00C03D4A"/>
    <w:rsid w:val="00C0517A"/>
    <w:rsid w:val="00C05674"/>
    <w:rsid w:val="00C05D2F"/>
    <w:rsid w:val="00C0624D"/>
    <w:rsid w:val="00C06F99"/>
    <w:rsid w:val="00C07929"/>
    <w:rsid w:val="00C105D7"/>
    <w:rsid w:val="00C11196"/>
    <w:rsid w:val="00C11442"/>
    <w:rsid w:val="00C151C2"/>
    <w:rsid w:val="00C16DE4"/>
    <w:rsid w:val="00C206B6"/>
    <w:rsid w:val="00C20D1C"/>
    <w:rsid w:val="00C20FA8"/>
    <w:rsid w:val="00C21335"/>
    <w:rsid w:val="00C21C0F"/>
    <w:rsid w:val="00C2222F"/>
    <w:rsid w:val="00C22671"/>
    <w:rsid w:val="00C229B1"/>
    <w:rsid w:val="00C231B2"/>
    <w:rsid w:val="00C23455"/>
    <w:rsid w:val="00C237DE"/>
    <w:rsid w:val="00C23FAE"/>
    <w:rsid w:val="00C24107"/>
    <w:rsid w:val="00C242A3"/>
    <w:rsid w:val="00C24786"/>
    <w:rsid w:val="00C25589"/>
    <w:rsid w:val="00C269B2"/>
    <w:rsid w:val="00C300E5"/>
    <w:rsid w:val="00C300EF"/>
    <w:rsid w:val="00C3013C"/>
    <w:rsid w:val="00C30489"/>
    <w:rsid w:val="00C313F9"/>
    <w:rsid w:val="00C31416"/>
    <w:rsid w:val="00C31C7A"/>
    <w:rsid w:val="00C31F2E"/>
    <w:rsid w:val="00C32490"/>
    <w:rsid w:val="00C32F98"/>
    <w:rsid w:val="00C33468"/>
    <w:rsid w:val="00C335C6"/>
    <w:rsid w:val="00C33861"/>
    <w:rsid w:val="00C34222"/>
    <w:rsid w:val="00C342AA"/>
    <w:rsid w:val="00C37804"/>
    <w:rsid w:val="00C37DA0"/>
    <w:rsid w:val="00C400FE"/>
    <w:rsid w:val="00C40BDC"/>
    <w:rsid w:val="00C41711"/>
    <w:rsid w:val="00C41A85"/>
    <w:rsid w:val="00C4202C"/>
    <w:rsid w:val="00C42837"/>
    <w:rsid w:val="00C42B11"/>
    <w:rsid w:val="00C42E8B"/>
    <w:rsid w:val="00C43987"/>
    <w:rsid w:val="00C43B91"/>
    <w:rsid w:val="00C43E1C"/>
    <w:rsid w:val="00C44036"/>
    <w:rsid w:val="00C457EC"/>
    <w:rsid w:val="00C46602"/>
    <w:rsid w:val="00C47310"/>
    <w:rsid w:val="00C47AC5"/>
    <w:rsid w:val="00C47C1E"/>
    <w:rsid w:val="00C50371"/>
    <w:rsid w:val="00C50384"/>
    <w:rsid w:val="00C51B7A"/>
    <w:rsid w:val="00C537C3"/>
    <w:rsid w:val="00C54427"/>
    <w:rsid w:val="00C54692"/>
    <w:rsid w:val="00C54B1F"/>
    <w:rsid w:val="00C556B7"/>
    <w:rsid w:val="00C55E2A"/>
    <w:rsid w:val="00C56AAC"/>
    <w:rsid w:val="00C57C7E"/>
    <w:rsid w:val="00C6023A"/>
    <w:rsid w:val="00C62B1F"/>
    <w:rsid w:val="00C62B88"/>
    <w:rsid w:val="00C62F66"/>
    <w:rsid w:val="00C6399F"/>
    <w:rsid w:val="00C642EB"/>
    <w:rsid w:val="00C66FBE"/>
    <w:rsid w:val="00C67653"/>
    <w:rsid w:val="00C67A42"/>
    <w:rsid w:val="00C706D6"/>
    <w:rsid w:val="00C71D4E"/>
    <w:rsid w:val="00C72268"/>
    <w:rsid w:val="00C73366"/>
    <w:rsid w:val="00C74498"/>
    <w:rsid w:val="00C75B18"/>
    <w:rsid w:val="00C77124"/>
    <w:rsid w:val="00C7771E"/>
    <w:rsid w:val="00C77F41"/>
    <w:rsid w:val="00C81A4E"/>
    <w:rsid w:val="00C81CF9"/>
    <w:rsid w:val="00C82558"/>
    <w:rsid w:val="00C82BDA"/>
    <w:rsid w:val="00C82DD8"/>
    <w:rsid w:val="00C82E5D"/>
    <w:rsid w:val="00C832EB"/>
    <w:rsid w:val="00C86343"/>
    <w:rsid w:val="00C865A3"/>
    <w:rsid w:val="00C86D54"/>
    <w:rsid w:val="00C90121"/>
    <w:rsid w:val="00C90501"/>
    <w:rsid w:val="00C906C9"/>
    <w:rsid w:val="00C90B37"/>
    <w:rsid w:val="00C91656"/>
    <w:rsid w:val="00C91852"/>
    <w:rsid w:val="00C91A85"/>
    <w:rsid w:val="00C926A0"/>
    <w:rsid w:val="00C92730"/>
    <w:rsid w:val="00C92893"/>
    <w:rsid w:val="00C931AE"/>
    <w:rsid w:val="00C93AAB"/>
    <w:rsid w:val="00C943B5"/>
    <w:rsid w:val="00C95A51"/>
    <w:rsid w:val="00C9654F"/>
    <w:rsid w:val="00C96AC9"/>
    <w:rsid w:val="00C97545"/>
    <w:rsid w:val="00CA038D"/>
    <w:rsid w:val="00CA08D7"/>
    <w:rsid w:val="00CA1725"/>
    <w:rsid w:val="00CA1A83"/>
    <w:rsid w:val="00CA209F"/>
    <w:rsid w:val="00CA3792"/>
    <w:rsid w:val="00CA3B2B"/>
    <w:rsid w:val="00CA4F86"/>
    <w:rsid w:val="00CA6140"/>
    <w:rsid w:val="00CA6288"/>
    <w:rsid w:val="00CA6C18"/>
    <w:rsid w:val="00CA6D3C"/>
    <w:rsid w:val="00CB04CB"/>
    <w:rsid w:val="00CB1752"/>
    <w:rsid w:val="00CB2210"/>
    <w:rsid w:val="00CB25E1"/>
    <w:rsid w:val="00CB3226"/>
    <w:rsid w:val="00CB36E6"/>
    <w:rsid w:val="00CB3C1E"/>
    <w:rsid w:val="00CB4137"/>
    <w:rsid w:val="00CB4A5C"/>
    <w:rsid w:val="00CB533F"/>
    <w:rsid w:val="00CB58C8"/>
    <w:rsid w:val="00CB5AE9"/>
    <w:rsid w:val="00CB6901"/>
    <w:rsid w:val="00CC1341"/>
    <w:rsid w:val="00CC1FA0"/>
    <w:rsid w:val="00CC2274"/>
    <w:rsid w:val="00CC230A"/>
    <w:rsid w:val="00CC25E6"/>
    <w:rsid w:val="00CC2C23"/>
    <w:rsid w:val="00CC349F"/>
    <w:rsid w:val="00CC37C7"/>
    <w:rsid w:val="00CC4520"/>
    <w:rsid w:val="00CC49A3"/>
    <w:rsid w:val="00CC5F13"/>
    <w:rsid w:val="00CC5F95"/>
    <w:rsid w:val="00CC6F5B"/>
    <w:rsid w:val="00CC71FC"/>
    <w:rsid w:val="00CC733F"/>
    <w:rsid w:val="00CC7A6E"/>
    <w:rsid w:val="00CD13BD"/>
    <w:rsid w:val="00CD2291"/>
    <w:rsid w:val="00CD2786"/>
    <w:rsid w:val="00CD3308"/>
    <w:rsid w:val="00CD35EB"/>
    <w:rsid w:val="00CD3C4E"/>
    <w:rsid w:val="00CD40AC"/>
    <w:rsid w:val="00CD4F98"/>
    <w:rsid w:val="00CD5D55"/>
    <w:rsid w:val="00CD6DCF"/>
    <w:rsid w:val="00CD6FD3"/>
    <w:rsid w:val="00CD72D8"/>
    <w:rsid w:val="00CD7323"/>
    <w:rsid w:val="00CD7738"/>
    <w:rsid w:val="00CE2E9A"/>
    <w:rsid w:val="00CE4991"/>
    <w:rsid w:val="00CE4F99"/>
    <w:rsid w:val="00CE50E1"/>
    <w:rsid w:val="00CE55E3"/>
    <w:rsid w:val="00CE573A"/>
    <w:rsid w:val="00CE5F67"/>
    <w:rsid w:val="00CE61C2"/>
    <w:rsid w:val="00CE6300"/>
    <w:rsid w:val="00CF0280"/>
    <w:rsid w:val="00CF09F0"/>
    <w:rsid w:val="00CF0CDC"/>
    <w:rsid w:val="00CF3FF3"/>
    <w:rsid w:val="00CF4F4D"/>
    <w:rsid w:val="00CF51B8"/>
    <w:rsid w:val="00CF5472"/>
    <w:rsid w:val="00CF5536"/>
    <w:rsid w:val="00CF5974"/>
    <w:rsid w:val="00CF59C1"/>
    <w:rsid w:val="00CF5DC8"/>
    <w:rsid w:val="00CF5E3E"/>
    <w:rsid w:val="00CF6A1A"/>
    <w:rsid w:val="00CF7C69"/>
    <w:rsid w:val="00D00D0F"/>
    <w:rsid w:val="00D01927"/>
    <w:rsid w:val="00D02ED8"/>
    <w:rsid w:val="00D036FE"/>
    <w:rsid w:val="00D03A86"/>
    <w:rsid w:val="00D03B70"/>
    <w:rsid w:val="00D041DC"/>
    <w:rsid w:val="00D04B1B"/>
    <w:rsid w:val="00D0610B"/>
    <w:rsid w:val="00D06974"/>
    <w:rsid w:val="00D079F9"/>
    <w:rsid w:val="00D07B1F"/>
    <w:rsid w:val="00D107EE"/>
    <w:rsid w:val="00D10EAB"/>
    <w:rsid w:val="00D12091"/>
    <w:rsid w:val="00D12DE3"/>
    <w:rsid w:val="00D138E1"/>
    <w:rsid w:val="00D14481"/>
    <w:rsid w:val="00D1538E"/>
    <w:rsid w:val="00D153AA"/>
    <w:rsid w:val="00D1669A"/>
    <w:rsid w:val="00D167D7"/>
    <w:rsid w:val="00D17702"/>
    <w:rsid w:val="00D20AC4"/>
    <w:rsid w:val="00D210DC"/>
    <w:rsid w:val="00D21365"/>
    <w:rsid w:val="00D223DA"/>
    <w:rsid w:val="00D227C2"/>
    <w:rsid w:val="00D22FDA"/>
    <w:rsid w:val="00D23110"/>
    <w:rsid w:val="00D231C7"/>
    <w:rsid w:val="00D2329D"/>
    <w:rsid w:val="00D23BCB"/>
    <w:rsid w:val="00D241D0"/>
    <w:rsid w:val="00D24CB5"/>
    <w:rsid w:val="00D2551D"/>
    <w:rsid w:val="00D26683"/>
    <w:rsid w:val="00D305BF"/>
    <w:rsid w:val="00D313E9"/>
    <w:rsid w:val="00D3254B"/>
    <w:rsid w:val="00D3255F"/>
    <w:rsid w:val="00D33F98"/>
    <w:rsid w:val="00D34199"/>
    <w:rsid w:val="00D34B63"/>
    <w:rsid w:val="00D351E1"/>
    <w:rsid w:val="00D35E52"/>
    <w:rsid w:val="00D36B8E"/>
    <w:rsid w:val="00D448B3"/>
    <w:rsid w:val="00D44D6B"/>
    <w:rsid w:val="00D45331"/>
    <w:rsid w:val="00D459DE"/>
    <w:rsid w:val="00D45B50"/>
    <w:rsid w:val="00D45DC1"/>
    <w:rsid w:val="00D45F13"/>
    <w:rsid w:val="00D46BC9"/>
    <w:rsid w:val="00D46C61"/>
    <w:rsid w:val="00D47A24"/>
    <w:rsid w:val="00D47ACC"/>
    <w:rsid w:val="00D47D9D"/>
    <w:rsid w:val="00D52214"/>
    <w:rsid w:val="00D53E74"/>
    <w:rsid w:val="00D564AD"/>
    <w:rsid w:val="00D565B9"/>
    <w:rsid w:val="00D56B87"/>
    <w:rsid w:val="00D600A4"/>
    <w:rsid w:val="00D61712"/>
    <w:rsid w:val="00D61C41"/>
    <w:rsid w:val="00D61CB2"/>
    <w:rsid w:val="00D6311A"/>
    <w:rsid w:val="00D63166"/>
    <w:rsid w:val="00D635A2"/>
    <w:rsid w:val="00D64DC3"/>
    <w:rsid w:val="00D66220"/>
    <w:rsid w:val="00D66E1F"/>
    <w:rsid w:val="00D713A2"/>
    <w:rsid w:val="00D7211B"/>
    <w:rsid w:val="00D72624"/>
    <w:rsid w:val="00D72C85"/>
    <w:rsid w:val="00D7355B"/>
    <w:rsid w:val="00D75653"/>
    <w:rsid w:val="00D75FF5"/>
    <w:rsid w:val="00D8077D"/>
    <w:rsid w:val="00D80D14"/>
    <w:rsid w:val="00D81248"/>
    <w:rsid w:val="00D81863"/>
    <w:rsid w:val="00D838DC"/>
    <w:rsid w:val="00D83B58"/>
    <w:rsid w:val="00D83C67"/>
    <w:rsid w:val="00D83E24"/>
    <w:rsid w:val="00D85133"/>
    <w:rsid w:val="00D8528B"/>
    <w:rsid w:val="00D86671"/>
    <w:rsid w:val="00D87BC1"/>
    <w:rsid w:val="00D87C87"/>
    <w:rsid w:val="00D87E7E"/>
    <w:rsid w:val="00D90F6E"/>
    <w:rsid w:val="00D915EB"/>
    <w:rsid w:val="00D930FB"/>
    <w:rsid w:val="00D93A1A"/>
    <w:rsid w:val="00D93BED"/>
    <w:rsid w:val="00D941B7"/>
    <w:rsid w:val="00D9425F"/>
    <w:rsid w:val="00D9487C"/>
    <w:rsid w:val="00D94FCE"/>
    <w:rsid w:val="00D953CA"/>
    <w:rsid w:val="00D95546"/>
    <w:rsid w:val="00D95FF6"/>
    <w:rsid w:val="00D9605E"/>
    <w:rsid w:val="00D9611F"/>
    <w:rsid w:val="00D96BF7"/>
    <w:rsid w:val="00D96CD5"/>
    <w:rsid w:val="00D96F31"/>
    <w:rsid w:val="00D9795F"/>
    <w:rsid w:val="00D97C02"/>
    <w:rsid w:val="00DA18AE"/>
    <w:rsid w:val="00DA3C77"/>
    <w:rsid w:val="00DA3FAD"/>
    <w:rsid w:val="00DA52EE"/>
    <w:rsid w:val="00DA6CE0"/>
    <w:rsid w:val="00DA7927"/>
    <w:rsid w:val="00DB0085"/>
    <w:rsid w:val="00DB0CBF"/>
    <w:rsid w:val="00DB0E12"/>
    <w:rsid w:val="00DB13E9"/>
    <w:rsid w:val="00DB19EB"/>
    <w:rsid w:val="00DB1D6C"/>
    <w:rsid w:val="00DB1DFD"/>
    <w:rsid w:val="00DB215B"/>
    <w:rsid w:val="00DB3604"/>
    <w:rsid w:val="00DB3DF4"/>
    <w:rsid w:val="00DB41CE"/>
    <w:rsid w:val="00DB4E5B"/>
    <w:rsid w:val="00DB569E"/>
    <w:rsid w:val="00DB6A77"/>
    <w:rsid w:val="00DB7E3F"/>
    <w:rsid w:val="00DC01F2"/>
    <w:rsid w:val="00DC0F28"/>
    <w:rsid w:val="00DC13A1"/>
    <w:rsid w:val="00DC227E"/>
    <w:rsid w:val="00DC4225"/>
    <w:rsid w:val="00DC5E49"/>
    <w:rsid w:val="00DC63F7"/>
    <w:rsid w:val="00DC6CFE"/>
    <w:rsid w:val="00DC766E"/>
    <w:rsid w:val="00DD0339"/>
    <w:rsid w:val="00DD081D"/>
    <w:rsid w:val="00DD10A2"/>
    <w:rsid w:val="00DD2752"/>
    <w:rsid w:val="00DD2B3E"/>
    <w:rsid w:val="00DD3AEB"/>
    <w:rsid w:val="00DD4A8A"/>
    <w:rsid w:val="00DD5530"/>
    <w:rsid w:val="00DD5DD0"/>
    <w:rsid w:val="00DD5E04"/>
    <w:rsid w:val="00DD6BD0"/>
    <w:rsid w:val="00DD7105"/>
    <w:rsid w:val="00DD760F"/>
    <w:rsid w:val="00DD7A32"/>
    <w:rsid w:val="00DE02EA"/>
    <w:rsid w:val="00DE08EA"/>
    <w:rsid w:val="00DE134C"/>
    <w:rsid w:val="00DE15F0"/>
    <w:rsid w:val="00DE1ECE"/>
    <w:rsid w:val="00DE228C"/>
    <w:rsid w:val="00DE3A1B"/>
    <w:rsid w:val="00DE3E56"/>
    <w:rsid w:val="00DE41D7"/>
    <w:rsid w:val="00DE4C6D"/>
    <w:rsid w:val="00DE5936"/>
    <w:rsid w:val="00DE5FD0"/>
    <w:rsid w:val="00DE6252"/>
    <w:rsid w:val="00DE6811"/>
    <w:rsid w:val="00DE7557"/>
    <w:rsid w:val="00DE7F77"/>
    <w:rsid w:val="00DF0451"/>
    <w:rsid w:val="00DF094C"/>
    <w:rsid w:val="00DF2B10"/>
    <w:rsid w:val="00DF437E"/>
    <w:rsid w:val="00E00249"/>
    <w:rsid w:val="00E00946"/>
    <w:rsid w:val="00E02B6A"/>
    <w:rsid w:val="00E03331"/>
    <w:rsid w:val="00E03AAC"/>
    <w:rsid w:val="00E042CE"/>
    <w:rsid w:val="00E04E3D"/>
    <w:rsid w:val="00E063B1"/>
    <w:rsid w:val="00E06431"/>
    <w:rsid w:val="00E06626"/>
    <w:rsid w:val="00E0719B"/>
    <w:rsid w:val="00E10382"/>
    <w:rsid w:val="00E10D59"/>
    <w:rsid w:val="00E1181E"/>
    <w:rsid w:val="00E122D0"/>
    <w:rsid w:val="00E123B7"/>
    <w:rsid w:val="00E12758"/>
    <w:rsid w:val="00E13838"/>
    <w:rsid w:val="00E138C2"/>
    <w:rsid w:val="00E13E55"/>
    <w:rsid w:val="00E142AA"/>
    <w:rsid w:val="00E1599D"/>
    <w:rsid w:val="00E15A55"/>
    <w:rsid w:val="00E15DD1"/>
    <w:rsid w:val="00E169EA"/>
    <w:rsid w:val="00E16A43"/>
    <w:rsid w:val="00E179BF"/>
    <w:rsid w:val="00E20136"/>
    <w:rsid w:val="00E20AC0"/>
    <w:rsid w:val="00E215A2"/>
    <w:rsid w:val="00E21C70"/>
    <w:rsid w:val="00E2260E"/>
    <w:rsid w:val="00E23192"/>
    <w:rsid w:val="00E24817"/>
    <w:rsid w:val="00E25B47"/>
    <w:rsid w:val="00E25E2F"/>
    <w:rsid w:val="00E30A8A"/>
    <w:rsid w:val="00E30D09"/>
    <w:rsid w:val="00E310F3"/>
    <w:rsid w:val="00E311D6"/>
    <w:rsid w:val="00E3143D"/>
    <w:rsid w:val="00E33413"/>
    <w:rsid w:val="00E34050"/>
    <w:rsid w:val="00E349A7"/>
    <w:rsid w:val="00E34F92"/>
    <w:rsid w:val="00E35260"/>
    <w:rsid w:val="00E35BF4"/>
    <w:rsid w:val="00E36286"/>
    <w:rsid w:val="00E36EE9"/>
    <w:rsid w:val="00E36F14"/>
    <w:rsid w:val="00E373DC"/>
    <w:rsid w:val="00E377A8"/>
    <w:rsid w:val="00E37A01"/>
    <w:rsid w:val="00E40BF7"/>
    <w:rsid w:val="00E41341"/>
    <w:rsid w:val="00E43457"/>
    <w:rsid w:val="00E438CC"/>
    <w:rsid w:val="00E4391E"/>
    <w:rsid w:val="00E45E10"/>
    <w:rsid w:val="00E46E50"/>
    <w:rsid w:val="00E47EB5"/>
    <w:rsid w:val="00E5093F"/>
    <w:rsid w:val="00E51490"/>
    <w:rsid w:val="00E52DC0"/>
    <w:rsid w:val="00E5342F"/>
    <w:rsid w:val="00E54A0D"/>
    <w:rsid w:val="00E54B37"/>
    <w:rsid w:val="00E5511F"/>
    <w:rsid w:val="00E55332"/>
    <w:rsid w:val="00E5734F"/>
    <w:rsid w:val="00E57D82"/>
    <w:rsid w:val="00E61074"/>
    <w:rsid w:val="00E626C9"/>
    <w:rsid w:val="00E628AF"/>
    <w:rsid w:val="00E62F24"/>
    <w:rsid w:val="00E638D8"/>
    <w:rsid w:val="00E63EDE"/>
    <w:rsid w:val="00E655F8"/>
    <w:rsid w:val="00E6641A"/>
    <w:rsid w:val="00E667A6"/>
    <w:rsid w:val="00E70075"/>
    <w:rsid w:val="00E7054C"/>
    <w:rsid w:val="00E708A9"/>
    <w:rsid w:val="00E70E19"/>
    <w:rsid w:val="00E7225D"/>
    <w:rsid w:val="00E72A0F"/>
    <w:rsid w:val="00E72CA9"/>
    <w:rsid w:val="00E73C55"/>
    <w:rsid w:val="00E73D80"/>
    <w:rsid w:val="00E73DF8"/>
    <w:rsid w:val="00E7421C"/>
    <w:rsid w:val="00E746CE"/>
    <w:rsid w:val="00E761AC"/>
    <w:rsid w:val="00E76BC9"/>
    <w:rsid w:val="00E7736F"/>
    <w:rsid w:val="00E77A8D"/>
    <w:rsid w:val="00E80C9A"/>
    <w:rsid w:val="00E81F67"/>
    <w:rsid w:val="00E820F1"/>
    <w:rsid w:val="00E82BF2"/>
    <w:rsid w:val="00E838A6"/>
    <w:rsid w:val="00E84152"/>
    <w:rsid w:val="00E84E8E"/>
    <w:rsid w:val="00E85531"/>
    <w:rsid w:val="00E862AC"/>
    <w:rsid w:val="00E8696E"/>
    <w:rsid w:val="00E87B2C"/>
    <w:rsid w:val="00E90964"/>
    <w:rsid w:val="00E912A2"/>
    <w:rsid w:val="00E936E0"/>
    <w:rsid w:val="00E93C61"/>
    <w:rsid w:val="00E94BF0"/>
    <w:rsid w:val="00E95560"/>
    <w:rsid w:val="00E96BB6"/>
    <w:rsid w:val="00E9718A"/>
    <w:rsid w:val="00E971E4"/>
    <w:rsid w:val="00E97819"/>
    <w:rsid w:val="00E97E9B"/>
    <w:rsid w:val="00E97FD3"/>
    <w:rsid w:val="00EA032D"/>
    <w:rsid w:val="00EA033B"/>
    <w:rsid w:val="00EA03B0"/>
    <w:rsid w:val="00EA15F7"/>
    <w:rsid w:val="00EA39AC"/>
    <w:rsid w:val="00EA5392"/>
    <w:rsid w:val="00EA55DF"/>
    <w:rsid w:val="00EA6A1E"/>
    <w:rsid w:val="00EA6C85"/>
    <w:rsid w:val="00EA7602"/>
    <w:rsid w:val="00EA7AA5"/>
    <w:rsid w:val="00EA7B87"/>
    <w:rsid w:val="00EB22CD"/>
    <w:rsid w:val="00EB2F13"/>
    <w:rsid w:val="00EB3635"/>
    <w:rsid w:val="00EB3B0E"/>
    <w:rsid w:val="00EB448D"/>
    <w:rsid w:val="00EB565A"/>
    <w:rsid w:val="00EB5E4A"/>
    <w:rsid w:val="00EB7300"/>
    <w:rsid w:val="00EB7AC1"/>
    <w:rsid w:val="00EC0714"/>
    <w:rsid w:val="00EC10BD"/>
    <w:rsid w:val="00EC3D23"/>
    <w:rsid w:val="00EC4664"/>
    <w:rsid w:val="00EC48EA"/>
    <w:rsid w:val="00EC590F"/>
    <w:rsid w:val="00ED1140"/>
    <w:rsid w:val="00ED17CC"/>
    <w:rsid w:val="00ED1C18"/>
    <w:rsid w:val="00ED6328"/>
    <w:rsid w:val="00ED65C2"/>
    <w:rsid w:val="00ED6637"/>
    <w:rsid w:val="00ED6EB9"/>
    <w:rsid w:val="00ED707C"/>
    <w:rsid w:val="00ED7608"/>
    <w:rsid w:val="00EE03D2"/>
    <w:rsid w:val="00EE13D6"/>
    <w:rsid w:val="00EE18C5"/>
    <w:rsid w:val="00EE25E6"/>
    <w:rsid w:val="00EE29AE"/>
    <w:rsid w:val="00EE3C23"/>
    <w:rsid w:val="00EE5B18"/>
    <w:rsid w:val="00EE5C2D"/>
    <w:rsid w:val="00EE65D9"/>
    <w:rsid w:val="00EE67FB"/>
    <w:rsid w:val="00EE6D50"/>
    <w:rsid w:val="00EE7299"/>
    <w:rsid w:val="00EE72D0"/>
    <w:rsid w:val="00EE76EB"/>
    <w:rsid w:val="00EE7D8C"/>
    <w:rsid w:val="00EE7EA2"/>
    <w:rsid w:val="00EF1503"/>
    <w:rsid w:val="00EF17E4"/>
    <w:rsid w:val="00EF20E5"/>
    <w:rsid w:val="00EF229B"/>
    <w:rsid w:val="00EF3360"/>
    <w:rsid w:val="00EF37F3"/>
    <w:rsid w:val="00EF52EE"/>
    <w:rsid w:val="00EF55BA"/>
    <w:rsid w:val="00EF61E7"/>
    <w:rsid w:val="00EF6C48"/>
    <w:rsid w:val="00EF7ECE"/>
    <w:rsid w:val="00F00237"/>
    <w:rsid w:val="00F00728"/>
    <w:rsid w:val="00F01105"/>
    <w:rsid w:val="00F011BC"/>
    <w:rsid w:val="00F01460"/>
    <w:rsid w:val="00F01805"/>
    <w:rsid w:val="00F01BA6"/>
    <w:rsid w:val="00F01E21"/>
    <w:rsid w:val="00F02F36"/>
    <w:rsid w:val="00F03281"/>
    <w:rsid w:val="00F03F6A"/>
    <w:rsid w:val="00F0629A"/>
    <w:rsid w:val="00F064D1"/>
    <w:rsid w:val="00F0678B"/>
    <w:rsid w:val="00F0690F"/>
    <w:rsid w:val="00F06C9D"/>
    <w:rsid w:val="00F06EDF"/>
    <w:rsid w:val="00F0721E"/>
    <w:rsid w:val="00F07519"/>
    <w:rsid w:val="00F07A32"/>
    <w:rsid w:val="00F1019E"/>
    <w:rsid w:val="00F111A5"/>
    <w:rsid w:val="00F111FF"/>
    <w:rsid w:val="00F113B3"/>
    <w:rsid w:val="00F11B2C"/>
    <w:rsid w:val="00F15002"/>
    <w:rsid w:val="00F15420"/>
    <w:rsid w:val="00F16CD8"/>
    <w:rsid w:val="00F16EC4"/>
    <w:rsid w:val="00F17682"/>
    <w:rsid w:val="00F17835"/>
    <w:rsid w:val="00F202F4"/>
    <w:rsid w:val="00F21411"/>
    <w:rsid w:val="00F219C2"/>
    <w:rsid w:val="00F234BA"/>
    <w:rsid w:val="00F23EC3"/>
    <w:rsid w:val="00F2484E"/>
    <w:rsid w:val="00F255DE"/>
    <w:rsid w:val="00F264EE"/>
    <w:rsid w:val="00F31054"/>
    <w:rsid w:val="00F31711"/>
    <w:rsid w:val="00F3261C"/>
    <w:rsid w:val="00F3270B"/>
    <w:rsid w:val="00F32B1E"/>
    <w:rsid w:val="00F33166"/>
    <w:rsid w:val="00F3469E"/>
    <w:rsid w:val="00F3781F"/>
    <w:rsid w:val="00F37D5B"/>
    <w:rsid w:val="00F37D80"/>
    <w:rsid w:val="00F40E6E"/>
    <w:rsid w:val="00F41075"/>
    <w:rsid w:val="00F4131B"/>
    <w:rsid w:val="00F41945"/>
    <w:rsid w:val="00F41D2E"/>
    <w:rsid w:val="00F43D72"/>
    <w:rsid w:val="00F44E6A"/>
    <w:rsid w:val="00F45114"/>
    <w:rsid w:val="00F465F0"/>
    <w:rsid w:val="00F468BE"/>
    <w:rsid w:val="00F46C12"/>
    <w:rsid w:val="00F47012"/>
    <w:rsid w:val="00F470F7"/>
    <w:rsid w:val="00F50B7F"/>
    <w:rsid w:val="00F5494B"/>
    <w:rsid w:val="00F557E7"/>
    <w:rsid w:val="00F5591D"/>
    <w:rsid w:val="00F565E5"/>
    <w:rsid w:val="00F57708"/>
    <w:rsid w:val="00F60696"/>
    <w:rsid w:val="00F61271"/>
    <w:rsid w:val="00F613B3"/>
    <w:rsid w:val="00F61E9C"/>
    <w:rsid w:val="00F62BC3"/>
    <w:rsid w:val="00F62F50"/>
    <w:rsid w:val="00F64CBD"/>
    <w:rsid w:val="00F71F6D"/>
    <w:rsid w:val="00F72C70"/>
    <w:rsid w:val="00F73E40"/>
    <w:rsid w:val="00F74051"/>
    <w:rsid w:val="00F74E5A"/>
    <w:rsid w:val="00F74E96"/>
    <w:rsid w:val="00F75E53"/>
    <w:rsid w:val="00F763D1"/>
    <w:rsid w:val="00F7728D"/>
    <w:rsid w:val="00F77585"/>
    <w:rsid w:val="00F80566"/>
    <w:rsid w:val="00F8091F"/>
    <w:rsid w:val="00F8094E"/>
    <w:rsid w:val="00F81330"/>
    <w:rsid w:val="00F817E0"/>
    <w:rsid w:val="00F82327"/>
    <w:rsid w:val="00F8606F"/>
    <w:rsid w:val="00F879F2"/>
    <w:rsid w:val="00F87E47"/>
    <w:rsid w:val="00F921A3"/>
    <w:rsid w:val="00F93BF4"/>
    <w:rsid w:val="00F947A4"/>
    <w:rsid w:val="00F9585F"/>
    <w:rsid w:val="00F96301"/>
    <w:rsid w:val="00F964DE"/>
    <w:rsid w:val="00F96A0D"/>
    <w:rsid w:val="00F96F5A"/>
    <w:rsid w:val="00F97602"/>
    <w:rsid w:val="00F97758"/>
    <w:rsid w:val="00F97DBC"/>
    <w:rsid w:val="00FA04AA"/>
    <w:rsid w:val="00FA11C1"/>
    <w:rsid w:val="00FA2128"/>
    <w:rsid w:val="00FA2CA7"/>
    <w:rsid w:val="00FA35CE"/>
    <w:rsid w:val="00FA3C49"/>
    <w:rsid w:val="00FA437A"/>
    <w:rsid w:val="00FA6E1A"/>
    <w:rsid w:val="00FA7757"/>
    <w:rsid w:val="00FA7D91"/>
    <w:rsid w:val="00FB0449"/>
    <w:rsid w:val="00FB0DA1"/>
    <w:rsid w:val="00FB301C"/>
    <w:rsid w:val="00FB32BD"/>
    <w:rsid w:val="00FB35B1"/>
    <w:rsid w:val="00FB3C94"/>
    <w:rsid w:val="00FB4649"/>
    <w:rsid w:val="00FB47D3"/>
    <w:rsid w:val="00FB482F"/>
    <w:rsid w:val="00FB4A14"/>
    <w:rsid w:val="00FB56FA"/>
    <w:rsid w:val="00FB5F40"/>
    <w:rsid w:val="00FB6EC8"/>
    <w:rsid w:val="00FB7477"/>
    <w:rsid w:val="00FC37A0"/>
    <w:rsid w:val="00FC3918"/>
    <w:rsid w:val="00FC4198"/>
    <w:rsid w:val="00FC4C37"/>
    <w:rsid w:val="00FC57E8"/>
    <w:rsid w:val="00FC6D02"/>
    <w:rsid w:val="00FC72F3"/>
    <w:rsid w:val="00FD00E1"/>
    <w:rsid w:val="00FD0934"/>
    <w:rsid w:val="00FD12CA"/>
    <w:rsid w:val="00FD2107"/>
    <w:rsid w:val="00FD2FF0"/>
    <w:rsid w:val="00FD3558"/>
    <w:rsid w:val="00FD4568"/>
    <w:rsid w:val="00FD48AE"/>
    <w:rsid w:val="00FD5EAA"/>
    <w:rsid w:val="00FD6750"/>
    <w:rsid w:val="00FD6E05"/>
    <w:rsid w:val="00FE0B0E"/>
    <w:rsid w:val="00FE0F2A"/>
    <w:rsid w:val="00FE17BE"/>
    <w:rsid w:val="00FE1878"/>
    <w:rsid w:val="00FE1CFB"/>
    <w:rsid w:val="00FE1FBD"/>
    <w:rsid w:val="00FE2356"/>
    <w:rsid w:val="00FE2779"/>
    <w:rsid w:val="00FE3191"/>
    <w:rsid w:val="00FE46E0"/>
    <w:rsid w:val="00FE57CC"/>
    <w:rsid w:val="00FE6E28"/>
    <w:rsid w:val="00FE719C"/>
    <w:rsid w:val="00FF0683"/>
    <w:rsid w:val="00FF0713"/>
    <w:rsid w:val="00FF16E9"/>
    <w:rsid w:val="00FF2087"/>
    <w:rsid w:val="00FF2CAB"/>
    <w:rsid w:val="00FF310A"/>
    <w:rsid w:val="00FF3234"/>
    <w:rsid w:val="00FF3ED0"/>
    <w:rsid w:val="00FF4C56"/>
    <w:rsid w:val="00FF614D"/>
    <w:rsid w:val="00FF6EE4"/>
    <w:rsid w:val="0170418F"/>
    <w:rsid w:val="02FA70B3"/>
    <w:rsid w:val="033254BB"/>
    <w:rsid w:val="10CF589C"/>
    <w:rsid w:val="12732E0E"/>
    <w:rsid w:val="16A81F37"/>
    <w:rsid w:val="19020223"/>
    <w:rsid w:val="19125CCE"/>
    <w:rsid w:val="1BF1A12B"/>
    <w:rsid w:val="1E37C7F8"/>
    <w:rsid w:val="20303C01"/>
    <w:rsid w:val="22895463"/>
    <w:rsid w:val="2582E292"/>
    <w:rsid w:val="2D4111AC"/>
    <w:rsid w:val="30C645E0"/>
    <w:rsid w:val="31674A62"/>
    <w:rsid w:val="3453B6C2"/>
    <w:rsid w:val="34B59C1E"/>
    <w:rsid w:val="3B79A90E"/>
    <w:rsid w:val="3EDDFFB2"/>
    <w:rsid w:val="3EFAE1D5"/>
    <w:rsid w:val="467EFA0C"/>
    <w:rsid w:val="47347F35"/>
    <w:rsid w:val="480F6472"/>
    <w:rsid w:val="48E5EF16"/>
    <w:rsid w:val="4EAF3A41"/>
    <w:rsid w:val="5090491F"/>
    <w:rsid w:val="51105182"/>
    <w:rsid w:val="53C172C9"/>
    <w:rsid w:val="5422A2AB"/>
    <w:rsid w:val="542D9228"/>
    <w:rsid w:val="543029D5"/>
    <w:rsid w:val="54F77AAA"/>
    <w:rsid w:val="5C2C27A1"/>
    <w:rsid w:val="5DE94EF6"/>
    <w:rsid w:val="5EE7095C"/>
    <w:rsid w:val="626A8A62"/>
    <w:rsid w:val="6B74A790"/>
    <w:rsid w:val="6F97A9F7"/>
    <w:rsid w:val="72D49DD8"/>
    <w:rsid w:val="74B50641"/>
    <w:rsid w:val="79303C57"/>
    <w:rsid w:val="7D6BB1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3E7DF"/>
  <w14:defaultImageDpi w14:val="300"/>
  <w15:docId w15:val="{F980BC53-384A-4B8D-B6FF-1DD189F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1E09D0"/>
    <w:pPr>
      <w:keepNext/>
      <w:jc w:val="both"/>
      <w:outlineLvl w:val="0"/>
    </w:pPr>
    <w:rPr>
      <w:rFonts w:ascii="Times New Roman" w:eastAsia="Times New Roman" w:hAnsi="Times New Roman" w:cs="Times New Roman"/>
      <w:sz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4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1E09D0"/>
    <w:rPr>
      <w:rFonts w:ascii="Times New Roman" w:eastAsia="Times New Roman" w:hAnsi="Times New Roman" w:cs="Times New Roman"/>
      <w:sz w:val="28"/>
      <w:lang w:eastAsia="pt-BR"/>
    </w:rPr>
  </w:style>
  <w:style w:type="paragraph" w:styleId="PargrafodaLista">
    <w:name w:val="List Paragraph"/>
    <w:basedOn w:val="Normal"/>
    <w:uiPriority w:val="34"/>
    <w:qFormat/>
    <w:rsid w:val="001E09D0"/>
    <w:pPr>
      <w:ind w:left="720"/>
      <w:contextualSpacing/>
    </w:pPr>
  </w:style>
  <w:style w:type="paragraph" w:styleId="Cabealho">
    <w:name w:val="header"/>
    <w:basedOn w:val="Normal"/>
    <w:link w:val="CabealhoChar"/>
    <w:uiPriority w:val="99"/>
    <w:unhideWhenUsed/>
    <w:rsid w:val="002B0A2A"/>
    <w:pPr>
      <w:tabs>
        <w:tab w:val="center" w:pos="4252"/>
        <w:tab w:val="right" w:pos="8504"/>
      </w:tabs>
    </w:pPr>
  </w:style>
  <w:style w:type="character" w:customStyle="1" w:styleId="CabealhoChar">
    <w:name w:val="Cabeçalho Char"/>
    <w:basedOn w:val="Fontepargpadro"/>
    <w:link w:val="Cabealho"/>
    <w:uiPriority w:val="99"/>
    <w:rsid w:val="002B0A2A"/>
  </w:style>
  <w:style w:type="paragraph" w:styleId="Rodap">
    <w:name w:val="footer"/>
    <w:basedOn w:val="Normal"/>
    <w:link w:val="RodapChar"/>
    <w:unhideWhenUsed/>
    <w:rsid w:val="002B0A2A"/>
    <w:pPr>
      <w:tabs>
        <w:tab w:val="center" w:pos="4252"/>
        <w:tab w:val="right" w:pos="8504"/>
      </w:tabs>
    </w:pPr>
  </w:style>
  <w:style w:type="character" w:customStyle="1" w:styleId="RodapChar">
    <w:name w:val="Rodapé Char"/>
    <w:basedOn w:val="Fontepargpadro"/>
    <w:link w:val="Rodap"/>
    <w:rsid w:val="002B0A2A"/>
  </w:style>
  <w:style w:type="paragraph" w:styleId="Textodebalo">
    <w:name w:val="Balloon Text"/>
    <w:basedOn w:val="Normal"/>
    <w:link w:val="TextodebaloChar"/>
    <w:uiPriority w:val="99"/>
    <w:semiHidden/>
    <w:unhideWhenUsed/>
    <w:rsid w:val="00F23EC3"/>
    <w:rPr>
      <w:rFonts w:ascii="Tahoma" w:hAnsi="Tahoma" w:cs="Tahoma"/>
      <w:sz w:val="16"/>
      <w:szCs w:val="16"/>
    </w:rPr>
  </w:style>
  <w:style w:type="character" w:customStyle="1" w:styleId="TextodebaloChar">
    <w:name w:val="Texto de balão Char"/>
    <w:basedOn w:val="Fontepargpadro"/>
    <w:link w:val="Textodebalo"/>
    <w:uiPriority w:val="99"/>
    <w:semiHidden/>
    <w:rsid w:val="00F23EC3"/>
    <w:rPr>
      <w:rFonts w:ascii="Tahoma" w:hAnsi="Tahoma" w:cs="Tahoma"/>
      <w:sz w:val="16"/>
      <w:szCs w:val="16"/>
    </w:rPr>
  </w:style>
  <w:style w:type="character" w:styleId="Hyperlink">
    <w:name w:val="Hyperlink"/>
    <w:basedOn w:val="Fontepargpadro"/>
    <w:uiPriority w:val="99"/>
    <w:unhideWhenUsed/>
    <w:rsid w:val="00772EF5"/>
    <w:rPr>
      <w:color w:val="0000FF" w:themeColor="hyperlink"/>
      <w:u w:val="single"/>
    </w:rPr>
  </w:style>
  <w:style w:type="character" w:customStyle="1" w:styleId="MenoPendente1">
    <w:name w:val="Menção Pendente1"/>
    <w:basedOn w:val="Fontepargpadro"/>
    <w:uiPriority w:val="99"/>
    <w:semiHidden/>
    <w:unhideWhenUsed/>
    <w:rsid w:val="00772EF5"/>
    <w:rPr>
      <w:color w:val="605E5C"/>
      <w:shd w:val="clear" w:color="auto" w:fill="E1DFDD"/>
    </w:rPr>
  </w:style>
  <w:style w:type="character" w:styleId="Refdecomentrio">
    <w:name w:val="annotation reference"/>
    <w:basedOn w:val="Fontepargpadro"/>
    <w:uiPriority w:val="99"/>
    <w:semiHidden/>
    <w:unhideWhenUsed/>
    <w:rsid w:val="006D4F8B"/>
    <w:rPr>
      <w:sz w:val="16"/>
      <w:szCs w:val="16"/>
    </w:rPr>
  </w:style>
  <w:style w:type="paragraph" w:styleId="Textodecomentrio">
    <w:name w:val="annotation text"/>
    <w:basedOn w:val="Normal"/>
    <w:link w:val="TextodecomentrioChar"/>
    <w:uiPriority w:val="99"/>
    <w:unhideWhenUsed/>
    <w:rsid w:val="006D4F8B"/>
    <w:rPr>
      <w:sz w:val="20"/>
      <w:szCs w:val="20"/>
    </w:rPr>
  </w:style>
  <w:style w:type="character" w:customStyle="1" w:styleId="TextodecomentrioChar">
    <w:name w:val="Texto de comentário Char"/>
    <w:basedOn w:val="Fontepargpadro"/>
    <w:link w:val="Textodecomentrio"/>
    <w:uiPriority w:val="99"/>
    <w:rsid w:val="006D4F8B"/>
    <w:rPr>
      <w:sz w:val="20"/>
      <w:szCs w:val="20"/>
    </w:rPr>
  </w:style>
  <w:style w:type="paragraph" w:styleId="Assuntodocomentrio">
    <w:name w:val="annotation subject"/>
    <w:basedOn w:val="Textodecomentrio"/>
    <w:next w:val="Textodecomentrio"/>
    <w:link w:val="AssuntodocomentrioChar"/>
    <w:uiPriority w:val="99"/>
    <w:semiHidden/>
    <w:unhideWhenUsed/>
    <w:rsid w:val="006D4F8B"/>
    <w:rPr>
      <w:b/>
      <w:bCs/>
    </w:rPr>
  </w:style>
  <w:style w:type="character" w:customStyle="1" w:styleId="AssuntodocomentrioChar">
    <w:name w:val="Assunto do comentário Char"/>
    <w:basedOn w:val="TextodecomentrioChar"/>
    <w:link w:val="Assuntodocomentrio"/>
    <w:uiPriority w:val="99"/>
    <w:semiHidden/>
    <w:rsid w:val="006D4F8B"/>
    <w:rPr>
      <w:b/>
      <w:bCs/>
      <w:sz w:val="20"/>
      <w:szCs w:val="20"/>
    </w:rPr>
  </w:style>
  <w:style w:type="paragraph" w:styleId="Reviso">
    <w:name w:val="Revision"/>
    <w:hidden/>
    <w:uiPriority w:val="99"/>
    <w:semiHidden/>
    <w:rsid w:val="001E56C6"/>
  </w:style>
  <w:style w:type="character" w:customStyle="1" w:styleId="st">
    <w:name w:val="st"/>
    <w:basedOn w:val="Fontepargpadro"/>
    <w:rsid w:val="0085047D"/>
  </w:style>
  <w:style w:type="character" w:styleId="MenoPendente">
    <w:name w:val="Unresolved Mention"/>
    <w:basedOn w:val="Fontepargpadro"/>
    <w:uiPriority w:val="99"/>
    <w:unhideWhenUsed/>
    <w:rsid w:val="00887173"/>
    <w:rPr>
      <w:color w:val="605E5C"/>
      <w:shd w:val="clear" w:color="auto" w:fill="E1DFDD"/>
    </w:rPr>
  </w:style>
  <w:style w:type="character" w:styleId="Meno">
    <w:name w:val="Mention"/>
    <w:basedOn w:val="Fontepargpadro"/>
    <w:uiPriority w:val="99"/>
    <w:unhideWhenUsed/>
    <w:rsid w:val="008871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7910">
      <w:bodyDiv w:val="1"/>
      <w:marLeft w:val="0"/>
      <w:marRight w:val="0"/>
      <w:marTop w:val="0"/>
      <w:marBottom w:val="0"/>
      <w:divBdr>
        <w:top w:val="none" w:sz="0" w:space="0" w:color="auto"/>
        <w:left w:val="none" w:sz="0" w:space="0" w:color="auto"/>
        <w:bottom w:val="none" w:sz="0" w:space="0" w:color="auto"/>
        <w:right w:val="none" w:sz="0" w:space="0" w:color="auto"/>
      </w:divBdr>
      <w:divsChild>
        <w:div w:id="1617524448">
          <w:marLeft w:val="0"/>
          <w:marRight w:val="0"/>
          <w:marTop w:val="0"/>
          <w:marBottom w:val="0"/>
          <w:divBdr>
            <w:top w:val="none" w:sz="0" w:space="0" w:color="auto"/>
            <w:left w:val="none" w:sz="0" w:space="0" w:color="auto"/>
            <w:bottom w:val="none" w:sz="0" w:space="0" w:color="auto"/>
            <w:right w:val="none" w:sz="0" w:space="0" w:color="auto"/>
          </w:divBdr>
        </w:div>
      </w:divsChild>
    </w:div>
    <w:div w:id="563956711">
      <w:bodyDiv w:val="1"/>
      <w:marLeft w:val="0"/>
      <w:marRight w:val="0"/>
      <w:marTop w:val="0"/>
      <w:marBottom w:val="0"/>
      <w:divBdr>
        <w:top w:val="none" w:sz="0" w:space="0" w:color="auto"/>
        <w:left w:val="none" w:sz="0" w:space="0" w:color="auto"/>
        <w:bottom w:val="none" w:sz="0" w:space="0" w:color="auto"/>
        <w:right w:val="none" w:sz="0" w:space="0" w:color="auto"/>
      </w:divBdr>
    </w:div>
    <w:div w:id="894241168">
      <w:bodyDiv w:val="1"/>
      <w:marLeft w:val="0"/>
      <w:marRight w:val="0"/>
      <w:marTop w:val="0"/>
      <w:marBottom w:val="0"/>
      <w:divBdr>
        <w:top w:val="none" w:sz="0" w:space="0" w:color="auto"/>
        <w:left w:val="none" w:sz="0" w:space="0" w:color="auto"/>
        <w:bottom w:val="none" w:sz="0" w:space="0" w:color="auto"/>
        <w:right w:val="none" w:sz="0" w:space="0" w:color="auto"/>
      </w:divBdr>
    </w:div>
    <w:div w:id="928543202">
      <w:bodyDiv w:val="1"/>
      <w:marLeft w:val="0"/>
      <w:marRight w:val="0"/>
      <w:marTop w:val="0"/>
      <w:marBottom w:val="0"/>
      <w:divBdr>
        <w:top w:val="none" w:sz="0" w:space="0" w:color="auto"/>
        <w:left w:val="none" w:sz="0" w:space="0" w:color="auto"/>
        <w:bottom w:val="none" w:sz="0" w:space="0" w:color="auto"/>
        <w:right w:val="none" w:sz="0" w:space="0" w:color="auto"/>
      </w:divBdr>
      <w:divsChild>
        <w:div w:id="1310016431">
          <w:marLeft w:val="0"/>
          <w:marRight w:val="0"/>
          <w:marTop w:val="0"/>
          <w:marBottom w:val="0"/>
          <w:divBdr>
            <w:top w:val="none" w:sz="0" w:space="0" w:color="auto"/>
            <w:left w:val="none" w:sz="0" w:space="0" w:color="auto"/>
            <w:bottom w:val="none" w:sz="0" w:space="0" w:color="auto"/>
            <w:right w:val="none" w:sz="0" w:space="0" w:color="auto"/>
          </w:divBdr>
        </w:div>
      </w:divsChild>
    </w:div>
    <w:div w:id="1044326004">
      <w:bodyDiv w:val="1"/>
      <w:marLeft w:val="0"/>
      <w:marRight w:val="0"/>
      <w:marTop w:val="0"/>
      <w:marBottom w:val="0"/>
      <w:divBdr>
        <w:top w:val="none" w:sz="0" w:space="0" w:color="auto"/>
        <w:left w:val="none" w:sz="0" w:space="0" w:color="auto"/>
        <w:bottom w:val="none" w:sz="0" w:space="0" w:color="auto"/>
        <w:right w:val="none" w:sz="0" w:space="0" w:color="auto"/>
      </w:divBdr>
      <w:divsChild>
        <w:div w:id="751199584">
          <w:marLeft w:val="0"/>
          <w:marRight w:val="0"/>
          <w:marTop w:val="0"/>
          <w:marBottom w:val="0"/>
          <w:divBdr>
            <w:top w:val="none" w:sz="0" w:space="0" w:color="auto"/>
            <w:left w:val="none" w:sz="0" w:space="0" w:color="auto"/>
            <w:bottom w:val="none" w:sz="0" w:space="0" w:color="auto"/>
            <w:right w:val="none" w:sz="0" w:space="0" w:color="auto"/>
          </w:divBdr>
        </w:div>
        <w:div w:id="1037782283">
          <w:marLeft w:val="0"/>
          <w:marRight w:val="0"/>
          <w:marTop w:val="0"/>
          <w:marBottom w:val="0"/>
          <w:divBdr>
            <w:top w:val="none" w:sz="0" w:space="0" w:color="auto"/>
            <w:left w:val="none" w:sz="0" w:space="0" w:color="auto"/>
            <w:bottom w:val="none" w:sz="0" w:space="0" w:color="auto"/>
            <w:right w:val="none" w:sz="0" w:space="0" w:color="auto"/>
          </w:divBdr>
        </w:div>
        <w:div w:id="1082144886">
          <w:marLeft w:val="0"/>
          <w:marRight w:val="0"/>
          <w:marTop w:val="0"/>
          <w:marBottom w:val="0"/>
          <w:divBdr>
            <w:top w:val="none" w:sz="0" w:space="0" w:color="auto"/>
            <w:left w:val="none" w:sz="0" w:space="0" w:color="auto"/>
            <w:bottom w:val="none" w:sz="0" w:space="0" w:color="auto"/>
            <w:right w:val="none" w:sz="0" w:space="0" w:color="auto"/>
          </w:divBdr>
        </w:div>
      </w:divsChild>
    </w:div>
    <w:div w:id="1322082001">
      <w:bodyDiv w:val="1"/>
      <w:marLeft w:val="0"/>
      <w:marRight w:val="0"/>
      <w:marTop w:val="0"/>
      <w:marBottom w:val="0"/>
      <w:divBdr>
        <w:top w:val="none" w:sz="0" w:space="0" w:color="auto"/>
        <w:left w:val="none" w:sz="0" w:space="0" w:color="auto"/>
        <w:bottom w:val="none" w:sz="0" w:space="0" w:color="auto"/>
        <w:right w:val="none" w:sz="0" w:space="0" w:color="auto"/>
      </w:divBdr>
    </w:div>
    <w:div w:id="1483766884">
      <w:bodyDiv w:val="1"/>
      <w:marLeft w:val="0"/>
      <w:marRight w:val="0"/>
      <w:marTop w:val="0"/>
      <w:marBottom w:val="0"/>
      <w:divBdr>
        <w:top w:val="none" w:sz="0" w:space="0" w:color="auto"/>
        <w:left w:val="none" w:sz="0" w:space="0" w:color="auto"/>
        <w:bottom w:val="none" w:sz="0" w:space="0" w:color="auto"/>
        <w:right w:val="none" w:sz="0" w:space="0" w:color="auto"/>
      </w:divBdr>
      <w:divsChild>
        <w:div w:id="371806793">
          <w:marLeft w:val="0"/>
          <w:marRight w:val="0"/>
          <w:marTop w:val="0"/>
          <w:marBottom w:val="0"/>
          <w:divBdr>
            <w:top w:val="none" w:sz="0" w:space="0" w:color="auto"/>
            <w:left w:val="none" w:sz="0" w:space="0" w:color="auto"/>
            <w:bottom w:val="none" w:sz="0" w:space="0" w:color="auto"/>
            <w:right w:val="none" w:sz="0" w:space="0" w:color="auto"/>
          </w:divBdr>
        </w:div>
      </w:divsChild>
    </w:div>
    <w:div w:id="1663511304">
      <w:bodyDiv w:val="1"/>
      <w:marLeft w:val="0"/>
      <w:marRight w:val="0"/>
      <w:marTop w:val="0"/>
      <w:marBottom w:val="0"/>
      <w:divBdr>
        <w:top w:val="none" w:sz="0" w:space="0" w:color="auto"/>
        <w:left w:val="none" w:sz="0" w:space="0" w:color="auto"/>
        <w:bottom w:val="none" w:sz="0" w:space="0" w:color="auto"/>
        <w:right w:val="none" w:sz="0" w:space="0" w:color="auto"/>
      </w:divBdr>
    </w:div>
    <w:div w:id="1699892322">
      <w:bodyDiv w:val="1"/>
      <w:marLeft w:val="0"/>
      <w:marRight w:val="0"/>
      <w:marTop w:val="0"/>
      <w:marBottom w:val="0"/>
      <w:divBdr>
        <w:top w:val="none" w:sz="0" w:space="0" w:color="auto"/>
        <w:left w:val="none" w:sz="0" w:space="0" w:color="auto"/>
        <w:bottom w:val="none" w:sz="0" w:space="0" w:color="auto"/>
        <w:right w:val="none" w:sz="0" w:space="0" w:color="auto"/>
      </w:divBdr>
      <w:divsChild>
        <w:div w:id="1532065980">
          <w:marLeft w:val="0"/>
          <w:marRight w:val="0"/>
          <w:marTop w:val="0"/>
          <w:marBottom w:val="0"/>
          <w:divBdr>
            <w:top w:val="none" w:sz="0" w:space="0" w:color="auto"/>
            <w:left w:val="none" w:sz="0" w:space="0" w:color="auto"/>
            <w:bottom w:val="none" w:sz="0" w:space="0" w:color="auto"/>
            <w:right w:val="none" w:sz="0" w:space="0" w:color="auto"/>
          </w:divBdr>
        </w:div>
      </w:divsChild>
    </w:div>
    <w:div w:id="1701391716">
      <w:bodyDiv w:val="1"/>
      <w:marLeft w:val="0"/>
      <w:marRight w:val="0"/>
      <w:marTop w:val="0"/>
      <w:marBottom w:val="0"/>
      <w:divBdr>
        <w:top w:val="none" w:sz="0" w:space="0" w:color="auto"/>
        <w:left w:val="none" w:sz="0" w:space="0" w:color="auto"/>
        <w:bottom w:val="none" w:sz="0" w:space="0" w:color="auto"/>
        <w:right w:val="none" w:sz="0" w:space="0" w:color="auto"/>
      </w:divBdr>
    </w:div>
    <w:div w:id="1920558597">
      <w:bodyDiv w:val="1"/>
      <w:marLeft w:val="0"/>
      <w:marRight w:val="0"/>
      <w:marTop w:val="0"/>
      <w:marBottom w:val="0"/>
      <w:divBdr>
        <w:top w:val="none" w:sz="0" w:space="0" w:color="auto"/>
        <w:left w:val="none" w:sz="0" w:space="0" w:color="auto"/>
        <w:bottom w:val="none" w:sz="0" w:space="0" w:color="auto"/>
        <w:right w:val="none" w:sz="0" w:space="0" w:color="auto"/>
      </w:divBdr>
    </w:div>
    <w:div w:id="1920751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EF9E19FA17D50428029D1D938EE1271" ma:contentTypeVersion="7" ma:contentTypeDescription="Crie um novo documento." ma:contentTypeScope="" ma:versionID="2665a068d15cde7dd358ce0b94266f84">
  <xsd:schema xmlns:xsd="http://www.w3.org/2001/XMLSchema" xmlns:xs="http://www.w3.org/2001/XMLSchema" xmlns:p="http://schemas.microsoft.com/office/2006/metadata/properties" xmlns:ns3="ca3b67a8-5e73-40b0-aa96-6b7746b53c9d" xmlns:ns4="ccaebd35-c10c-4937-9ef4-db0bda7377b0" targetNamespace="http://schemas.microsoft.com/office/2006/metadata/properties" ma:root="true" ma:fieldsID="298eb3de2d3339566651dc37e015e80b" ns3:_="" ns4:_="">
    <xsd:import namespace="ca3b67a8-5e73-40b0-aa96-6b7746b53c9d"/>
    <xsd:import namespace="ccaebd35-c10c-4937-9ef4-db0bda7377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b67a8-5e73-40b0-aa96-6b7746b53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ebd35-c10c-4937-9ef4-db0bda7377b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D45-E546-482B-A7DE-11E0DF93B025}">
  <ds:schemaRefs>
    <ds:schemaRef ds:uri="http://schemas.microsoft.com/sharepoint/v3/contenttype/forms"/>
  </ds:schemaRefs>
</ds:datastoreItem>
</file>

<file path=customXml/itemProps2.xml><?xml version="1.0" encoding="utf-8"?>
<ds:datastoreItem xmlns:ds="http://schemas.openxmlformats.org/officeDocument/2006/customXml" ds:itemID="{5CAB64C1-3BF4-4100-81CC-180CDCD3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b67a8-5e73-40b0-aa96-6b7746b53c9d"/>
    <ds:schemaRef ds:uri="ccaebd35-c10c-4937-9ef4-db0bda73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046E3-9EDF-4561-88FC-A78CD20870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BFF3A-1D22-4F42-B059-59FB833E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18</Pages>
  <Words>30762</Words>
  <Characters>166119</Characters>
  <Application>Microsoft Office Word</Application>
  <DocSecurity>0</DocSecurity>
  <Lines>1384</Lines>
  <Paragraphs>392</Paragraphs>
  <ScaleCrop>false</ScaleCrop>
  <HeadingPairs>
    <vt:vector size="2" baseType="variant">
      <vt:variant>
        <vt:lpstr>Título</vt:lpstr>
      </vt:variant>
      <vt:variant>
        <vt:i4>1</vt:i4>
      </vt:variant>
    </vt:vector>
  </HeadingPairs>
  <TitlesOfParts>
    <vt:vector size="1" baseType="lpstr">
      <vt:lpstr/>
    </vt:vector>
  </TitlesOfParts>
  <Company>Mac da Pri</Company>
  <LinksUpToDate>false</LinksUpToDate>
  <CharactersWithSpaces>196489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Valverde de Oliveira Vitorino</dc:creator>
  <cp:keywords/>
  <cp:lastModifiedBy>Gustavo Daher</cp:lastModifiedBy>
  <cp:revision>6</cp:revision>
  <cp:lastPrinted>2020-10-12T01:40:00Z</cp:lastPrinted>
  <dcterms:created xsi:type="dcterms:W3CDTF">2020-10-12T18:38:00Z</dcterms:created>
  <dcterms:modified xsi:type="dcterms:W3CDTF">2020-12-17T15:49:00Z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4_1">
    <vt:lpwstr>http://www.zotero.org/styles/chicago-author-date</vt:lpwstr>
  </property>
  <property fmtid="{D5CDD505-2E9C-101B-9397-08002B2CF9AE}" pid="3" name="Mendeley Recent Style Name 4_1">
    <vt:lpwstr>Chicago Manual of Style 17th edition (author-date)</vt:lpwstr>
  </property>
  <property fmtid="{D5CDD505-2E9C-101B-9397-08002B2CF9AE}" pid="4" name="Mendeley Recent Style Id 5_1">
    <vt:lpwstr>http://www.zotero.org/styles/harvard-cite-them-right</vt:lpwstr>
  </property>
  <property fmtid="{D5CDD505-2E9C-101B-9397-08002B2CF9AE}" pid="5" name="Mendeley Recent Style Name 5_1">
    <vt:lpwstr>Cite Them Right 10th edition - Harvard</vt:lpwstr>
  </property>
  <property fmtid="{D5CDD505-2E9C-101B-9397-08002B2CF9AE}" pid="6" name="Mendeley Recent Style Id 9_1">
    <vt:lpwstr>http://www.zotero.org/styles/vancouver</vt:lpwstr>
  </property>
  <property fmtid="{D5CDD505-2E9C-101B-9397-08002B2CF9AE}" pid="7" name="Mendeley Recent Style Name 9_1">
    <vt:lpwstr>Vancouver</vt:lpwstr>
  </property>
  <property fmtid="{D5CDD505-2E9C-101B-9397-08002B2CF9AE}" pid="8" name="Mendeley Document_1">
    <vt:lpwstr>True</vt:lpwstr>
  </property>
  <property fmtid="{D5CDD505-2E9C-101B-9397-08002B2CF9AE}" pid="9" name="Mendeley Citation Style_1">
    <vt:lpwstr>http://www.zotero.org/styles/vancouver</vt:lpwstr>
  </property>
  <property fmtid="{D5CDD505-2E9C-101B-9397-08002B2CF9AE}" pid="10" name="ContentTypeId">
    <vt:lpwstr>0x0101006EF9E19FA17D50428029D1D938EE1271</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Unique User Id_1">
    <vt:lpwstr>f26ee1f3-997c-3a4b-8567-96ac8127b4ce</vt:lpwstr>
  </property>
</Properties>
</file>