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2AF71" w14:textId="77777777" w:rsidR="00F64269" w:rsidRPr="00A720CA" w:rsidRDefault="00F64269">
      <w:pPr>
        <w:pStyle w:val="Corpodetexto"/>
        <w:spacing w:before="9"/>
        <w:rPr>
          <w:rFonts w:ascii="Arial" w:hAnsi="Arial" w:cs="Arial"/>
          <w:sz w:val="16"/>
        </w:rPr>
      </w:pPr>
    </w:p>
    <w:p w14:paraId="5E815538" w14:textId="77777777" w:rsidR="00F64269" w:rsidRPr="00A720CA" w:rsidRDefault="00F64269">
      <w:pPr>
        <w:pStyle w:val="Corpodetexto"/>
        <w:rPr>
          <w:rFonts w:ascii="Arial" w:hAnsi="Arial" w:cs="Arial"/>
          <w:sz w:val="16"/>
        </w:rPr>
        <w:sectPr w:rsidR="00F64269" w:rsidRPr="00A720CA">
          <w:footerReference w:type="even" r:id="rId8"/>
          <w:footerReference w:type="default" r:id="rId9"/>
          <w:type w:val="continuous"/>
          <w:pgSz w:w="11910" w:h="16850"/>
          <w:pgMar w:top="880" w:right="992" w:bottom="960" w:left="992" w:header="0" w:footer="763" w:gutter="0"/>
          <w:pgNumType w:start="1"/>
          <w:cols w:space="720"/>
        </w:sectPr>
      </w:pPr>
    </w:p>
    <w:p w14:paraId="22AF3703" w14:textId="77777777" w:rsidR="00F64269" w:rsidRPr="00A720CA" w:rsidRDefault="00FF6334">
      <w:pPr>
        <w:spacing w:before="73" w:line="249" w:lineRule="auto"/>
        <w:ind w:left="244" w:right="38"/>
        <w:rPr>
          <w:rFonts w:ascii="Arial" w:hAnsi="Arial" w:cs="Arial"/>
          <w:b/>
          <w:sz w:val="20"/>
        </w:rPr>
      </w:pPr>
      <w:r w:rsidRPr="00A720CA">
        <w:rPr>
          <w:rFonts w:ascii="Arial" w:hAnsi="Arial" w:cs="Arial"/>
          <w:b/>
          <w:color w:val="868686"/>
          <w:sz w:val="20"/>
        </w:rPr>
        <w:t>ALIMENTAÇÃO E NUTRIÇÃO EM SAÚDE COLETIVA</w:t>
      </w:r>
    </w:p>
    <w:p w14:paraId="05E24503" w14:textId="77777777" w:rsidR="00F64269" w:rsidRPr="00A720CA" w:rsidRDefault="00FF6334">
      <w:pPr>
        <w:rPr>
          <w:rFonts w:ascii="Arial" w:hAnsi="Arial" w:cs="Arial"/>
          <w:sz w:val="16"/>
        </w:rPr>
      </w:pPr>
      <w:r w:rsidRPr="00A720CA">
        <w:rPr>
          <w:rFonts w:ascii="Arial" w:hAnsi="Arial" w:cs="Arial"/>
        </w:rPr>
        <w:br w:type="column"/>
      </w:r>
    </w:p>
    <w:p w14:paraId="547E2FFF" w14:textId="77777777" w:rsidR="00F64269" w:rsidRPr="00A720CA" w:rsidRDefault="00F64269">
      <w:pPr>
        <w:pStyle w:val="Corpodetexto"/>
        <w:rPr>
          <w:rFonts w:ascii="Arial" w:hAnsi="Arial" w:cs="Arial"/>
          <w:sz w:val="16"/>
        </w:rPr>
      </w:pPr>
    </w:p>
    <w:p w14:paraId="0804346A" w14:textId="77777777" w:rsidR="00F64269" w:rsidRPr="00A720CA" w:rsidRDefault="00F64269">
      <w:pPr>
        <w:pStyle w:val="Corpodetexto"/>
        <w:rPr>
          <w:rFonts w:ascii="Arial" w:hAnsi="Arial" w:cs="Arial"/>
          <w:sz w:val="16"/>
        </w:rPr>
      </w:pPr>
    </w:p>
    <w:p w14:paraId="245B73C4" w14:textId="77777777" w:rsidR="00F64269" w:rsidRPr="00A720CA" w:rsidRDefault="00F64269">
      <w:pPr>
        <w:pStyle w:val="Corpodetexto"/>
        <w:spacing w:before="178"/>
        <w:rPr>
          <w:rFonts w:ascii="Arial" w:hAnsi="Arial" w:cs="Arial"/>
          <w:sz w:val="16"/>
        </w:rPr>
      </w:pPr>
    </w:p>
    <w:p w14:paraId="6374F4F3" w14:textId="7C4C1AFC" w:rsidR="00F64269" w:rsidRPr="00A720CA" w:rsidRDefault="00FF6334">
      <w:pPr>
        <w:ind w:right="178"/>
        <w:jc w:val="right"/>
        <w:rPr>
          <w:rFonts w:ascii="Arial" w:hAnsi="Arial" w:cs="Arial"/>
          <w:sz w:val="16"/>
        </w:rPr>
      </w:pPr>
      <w:r w:rsidRPr="00A720CA">
        <w:rPr>
          <w:rFonts w:ascii="Arial" w:hAnsi="Arial" w:cs="Arial"/>
          <w:noProof/>
          <w:sz w:val="16"/>
        </w:rPr>
        <w:drawing>
          <wp:anchor distT="0" distB="0" distL="0" distR="0" simplePos="0" relativeHeight="15729664" behindDoc="0" locked="0" layoutInCell="1" allowOverlap="1" wp14:anchorId="6DC3BCB0" wp14:editId="092A9D4F">
            <wp:simplePos x="0" y="0"/>
            <wp:positionH relativeFrom="page">
              <wp:posOffset>4145279</wp:posOffset>
            </wp:positionH>
            <wp:positionV relativeFrom="paragraph">
              <wp:posOffset>-701757</wp:posOffset>
            </wp:positionV>
            <wp:extent cx="2699385" cy="68384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699385" cy="683844"/>
                    </a:xfrm>
                    <a:prstGeom prst="rect">
                      <a:avLst/>
                    </a:prstGeom>
                  </pic:spPr>
                </pic:pic>
              </a:graphicData>
            </a:graphic>
          </wp:anchor>
        </w:drawing>
      </w:r>
      <w:r w:rsidRPr="00A720CA">
        <w:rPr>
          <w:rFonts w:ascii="Arial" w:hAnsi="Arial" w:cs="Arial"/>
          <w:color w:val="2E5395"/>
          <w:spacing w:val="-2"/>
          <w:sz w:val="16"/>
        </w:rPr>
        <w:t>e-ISSN:</w:t>
      </w:r>
      <w:r w:rsidR="00624CBA" w:rsidRPr="00A720CA">
        <w:rPr>
          <w:rFonts w:ascii="Arial" w:hAnsi="Arial" w:cs="Arial"/>
          <w:color w:val="2E5395"/>
          <w:spacing w:val="-2"/>
          <w:sz w:val="16"/>
        </w:rPr>
        <w:t>00000</w:t>
      </w:r>
    </w:p>
    <w:p w14:paraId="18E60AD0" w14:textId="77777777" w:rsidR="00F64269" w:rsidRPr="00A720CA" w:rsidRDefault="00F64269">
      <w:pPr>
        <w:jc w:val="right"/>
        <w:rPr>
          <w:rFonts w:ascii="Arial" w:hAnsi="Arial" w:cs="Arial"/>
          <w:sz w:val="16"/>
        </w:rPr>
        <w:sectPr w:rsidR="00F64269" w:rsidRPr="00A720CA">
          <w:type w:val="continuous"/>
          <w:pgSz w:w="11910" w:h="16850"/>
          <w:pgMar w:top="880" w:right="992" w:bottom="960" w:left="992" w:header="0" w:footer="763" w:gutter="0"/>
          <w:cols w:num="2" w:space="720" w:equalWidth="0">
            <w:col w:w="3117" w:space="2175"/>
            <w:col w:w="4634"/>
          </w:cols>
        </w:sectPr>
      </w:pPr>
    </w:p>
    <w:p w14:paraId="4C397CB1" w14:textId="77777777" w:rsidR="00F64269" w:rsidRPr="00A720CA" w:rsidRDefault="00F64269">
      <w:pPr>
        <w:pStyle w:val="Corpodetexto"/>
        <w:spacing w:before="3"/>
        <w:rPr>
          <w:rFonts w:ascii="Arial" w:hAnsi="Arial" w:cs="Arial"/>
          <w:sz w:val="10"/>
        </w:rPr>
      </w:pPr>
    </w:p>
    <w:p w14:paraId="547175CE" w14:textId="77777777" w:rsidR="00F64269" w:rsidRPr="00A720CA" w:rsidRDefault="00FF6334" w:rsidP="00624CBA">
      <w:pPr>
        <w:pStyle w:val="Corpodetexto"/>
        <w:spacing w:line="20" w:lineRule="exact"/>
        <w:rPr>
          <w:rFonts w:ascii="Arial" w:hAnsi="Arial" w:cs="Arial"/>
          <w:sz w:val="2"/>
        </w:rPr>
      </w:pPr>
      <w:r w:rsidRPr="00A720CA">
        <w:rPr>
          <w:rFonts w:ascii="Arial" w:hAnsi="Arial" w:cs="Arial"/>
          <w:noProof/>
          <w:sz w:val="2"/>
        </w:rPr>
        <mc:AlternateContent>
          <mc:Choice Requires="wpg">
            <w:drawing>
              <wp:inline distT="0" distB="0" distL="0" distR="0" wp14:anchorId="42E18C6E" wp14:editId="410AAB2A">
                <wp:extent cx="6295741" cy="95535"/>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5741" cy="95535"/>
                          <a:chOff x="0" y="0"/>
                          <a:chExt cx="6156325" cy="6985"/>
                        </a:xfrm>
                      </wpg:grpSpPr>
                      <wps:wsp>
                        <wps:cNvPr id="5" name="Graphic 5"/>
                        <wps:cNvSpPr/>
                        <wps:spPr>
                          <a:xfrm>
                            <a:off x="0" y="3240"/>
                            <a:ext cx="6156325" cy="1270"/>
                          </a:xfrm>
                          <a:custGeom>
                            <a:avLst/>
                            <a:gdLst/>
                            <a:ahLst/>
                            <a:cxnLst/>
                            <a:rect l="l" t="t" r="r" b="b"/>
                            <a:pathLst>
                              <a:path w="6156325">
                                <a:moveTo>
                                  <a:pt x="0" y="0"/>
                                </a:moveTo>
                                <a:lnTo>
                                  <a:pt x="6156325" y="0"/>
                                </a:lnTo>
                              </a:path>
                            </a:pathLst>
                          </a:custGeom>
                          <a:ln w="6480">
                            <a:solidFill>
                              <a:srgbClr val="E94B33"/>
                            </a:solidFill>
                            <a:prstDash val="solid"/>
                          </a:ln>
                        </wps:spPr>
                        <wps:bodyPr wrap="square" lIns="0" tIns="0" rIns="0" bIns="0" rtlCol="0">
                          <a:prstTxWarp prst="textNoShape">
                            <a:avLst/>
                          </a:prstTxWarp>
                          <a:noAutofit/>
                        </wps:bodyPr>
                      </wps:wsp>
                    </wpg:wgp>
                  </a:graphicData>
                </a:graphic>
              </wp:inline>
            </w:drawing>
          </mc:Choice>
          <mc:Fallback>
            <w:pict>
              <v:group w14:anchorId="52DDDCC1" id="Group 4" o:spid="_x0000_s1026" style="width:495.75pt;height:7.5pt;mso-position-horizontal-relative:char;mso-position-vertical-relative:line" coordsize="6156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AMahQIAALMFAAAOAAAAZHJzL2Uyb0RvYy54bWykVMlu2zAQvRfoPxC8N/KeWLActHESFAjS&#10;AEnRM01RC0qRLElbzt93OBJlx+kpvQiPmv29IVfXh0aSvbCu1iqj44sRJUJxndeqzOjPl7svV5Q4&#10;z1TOpFYio6/C0ev150+r1qRioistc2EJJFEubU1GK+9NmiSOV6Jh7kIbocBYaNswD0dbJrllLWRv&#10;ZDIZjRZJq21urObCOfi76Yx0jfmLQnD/oyic8ERmFHrz+LX43YZvsl6xtLTMVDXv22Af6KJhtYKi&#10;Q6oN84zsbP0uVVNzq50u/AXXTaKLouYCZ4BpxqOzae6t3hmcpUzb0gw0AbVnPH04LX/cP1lS5xmd&#10;UaJYAxJhVTIL1LSmTMHj3ppn82S7+QA+aP7bgTk5t4dzeXQ+FLYJQTAmOSDnrwPn4uAJh5+LyXJ+&#10;ORtTwsG2nM+n804TXoFw76J4dRvjxvPFdDLv4hbLKwxLWNrVxM6GTloDy+WO/Ln/4++5YkagLC6w&#10;0/MHrUT+um3CjkJp8An0IZ8udT2T/yRnOpn1OznwczrneHKJ5mFOlvKd8/dCI89s/+B8t9F5RKyK&#10;iB9UhBbuRbgREm+EpwRuhKUEbsS2Y98wH+KCeAGSFoTqGwn/Gr0XLxqt/kwjaO1olerUK2YgcQvA&#10;t/MAEMrARnUASwM+HU4q7GJ2NcKL5rSs87taytCFs+X2RlqyZzDU7XL2bToNc0CGN27GOr9hrur8&#10;0NS7SYXbHNUJqm11/grStvA2ZNT92TErKJHfFSxPeEgisBFsI7Be3mh8bpAgqPly+MWsIaF8Rj0o&#10;+6jjDrE0ihZGH3xDpNJfd14XdVAU9jl21B9gnxHhywDozdNzekav41u7/gsAAP//AwBQSwMEFAAG&#10;AAgAAAAhAOj42jXbAAAABAEAAA8AAABkcnMvZG93bnJldi54bWxMj0FLw0AQhe+C/2GZgje7iRKx&#10;aTalFPVUBFtBvE2TaRKanQ3ZbZL+e0cv9vJgeI/3vslWk23VQL1vHBuI5xEo4sKVDVcGPvev98+g&#10;fEAusXVMBi7kYZXf3mSYlm7kDxp2oVJSwj5FA3UIXaq1L2qy6OeuIxbv6HqLQc6+0mWPo5TbVj9E&#10;0ZO22LAs1NjRpqbitDtbA28jjuvH+GXYno6by/c+ef/axmTM3WxaL0EFmsJ/GH7xBR1yYTq4M5de&#10;tQbkkfCn4i0WcQLqIKEkAp1n+ho+/wEAAP//AwBQSwECLQAUAAYACAAAACEAtoM4kv4AAADhAQAA&#10;EwAAAAAAAAAAAAAAAAAAAAAAW0NvbnRlbnRfVHlwZXNdLnhtbFBLAQItABQABgAIAAAAIQA4/SH/&#10;1gAAAJQBAAALAAAAAAAAAAAAAAAAAC8BAABfcmVscy8ucmVsc1BLAQItABQABgAIAAAAIQCbHAMa&#10;hQIAALMFAAAOAAAAAAAAAAAAAAAAAC4CAABkcnMvZTJvRG9jLnhtbFBLAQItABQABgAIAAAAIQDo&#10;+No12wAAAAQBAAAPAAAAAAAAAAAAAAAAAN8EAABkcnMvZG93bnJldi54bWxQSwUGAAAAAAQABADz&#10;AAAA5wUAAAAA&#10;">
                <v:shape id="Graphic 5" o:spid="_x0000_s1027" style="position:absolute;top:32;width:61563;height:13;visibility:visible;mso-wrap-style:square;v-text-anchor:top" coordsize="6156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mt5wwAAANoAAAAPAAAAZHJzL2Rvd25yZXYueG1sRI9Ba8JA&#10;FITvgv9heUIvUjcpREt0FREKXopUc7C31+wzCWbfht2tJv++KxQ8DjPzDbPa9KYVN3K+sawgnSUg&#10;iEurG64UFKeP13cQPiBrbC2TgoE8bNbj0Qpzbe/8RbdjqESEsM9RQR1Cl0vpy5oM+pntiKN3sc5g&#10;iNJVUju8R7hp5VuSzKXBhuNCjR3taiqvx1+jYK/Ph+IndR6HxXeSbT9pSLOpUi+TfrsEEagPz/B/&#10;e68VZPC4Em+AXP8BAAD//wMAUEsBAi0AFAAGAAgAAAAhANvh9svuAAAAhQEAABMAAAAAAAAAAAAA&#10;AAAAAAAAAFtDb250ZW50X1R5cGVzXS54bWxQSwECLQAUAAYACAAAACEAWvQsW78AAAAVAQAACwAA&#10;AAAAAAAAAAAAAAAfAQAAX3JlbHMvLnJlbHNQSwECLQAUAAYACAAAACEABcprecMAAADaAAAADwAA&#10;AAAAAAAAAAAAAAAHAgAAZHJzL2Rvd25yZXYueG1sUEsFBgAAAAADAAMAtwAAAPcCAAAAAA==&#10;" path="m,l6156325,e" filled="f" strokecolor="#e94b33" strokeweight=".18mm">
                  <v:path arrowok="t"/>
                </v:shape>
                <w10:anchorlock/>
              </v:group>
            </w:pict>
          </mc:Fallback>
        </mc:AlternateContent>
      </w:r>
    </w:p>
    <w:p w14:paraId="1FC14212" w14:textId="77777777" w:rsidR="00F64269" w:rsidRPr="00A720CA" w:rsidRDefault="00F64269" w:rsidP="00624CBA">
      <w:pPr>
        <w:pStyle w:val="Corpodetexto"/>
        <w:spacing w:before="54"/>
        <w:rPr>
          <w:rFonts w:ascii="Arial" w:hAnsi="Arial" w:cs="Arial"/>
        </w:rPr>
      </w:pPr>
    </w:p>
    <w:p w14:paraId="6EA60B69" w14:textId="57FB3C01" w:rsidR="00624CBA" w:rsidRPr="00A720CA" w:rsidRDefault="00C54627" w:rsidP="004238CD">
      <w:pPr>
        <w:spacing w:before="89" w:line="297" w:lineRule="auto"/>
        <w:ind w:right="-121"/>
        <w:rPr>
          <w:rFonts w:ascii="Arial" w:hAnsi="Arial" w:cs="Arial"/>
          <w:spacing w:val="-2"/>
          <w:sz w:val="16"/>
          <w:szCs w:val="16"/>
        </w:rPr>
      </w:pPr>
      <w:r w:rsidRPr="00A720CA">
        <w:rPr>
          <w:rFonts w:ascii="Arial" w:hAnsi="Arial" w:cs="Arial"/>
          <w:noProof/>
          <w:sz w:val="16"/>
          <w:szCs w:val="16"/>
        </w:rPr>
        <w:drawing>
          <wp:inline distT="0" distB="0" distL="0" distR="0" wp14:anchorId="54C9CDA2" wp14:editId="0520D796">
            <wp:extent cx="118745" cy="118745"/>
            <wp:effectExtent l="0" t="0" r="0" b="0"/>
            <wp:docPr id="2090196082" name="Image 7">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a:hlinkClick r:id="rId11"/>
                    </pic:cNvPr>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sidRPr="00A720CA">
        <w:rPr>
          <w:rFonts w:ascii="Arial" w:hAnsi="Arial" w:cs="Arial"/>
          <w:spacing w:val="-13"/>
          <w:sz w:val="16"/>
          <w:szCs w:val="16"/>
        </w:rPr>
        <w:t xml:space="preserve"> </w:t>
      </w:r>
      <w:r w:rsidR="00624CBA" w:rsidRPr="00A720CA">
        <w:rPr>
          <w:rFonts w:ascii="Arial" w:hAnsi="Arial" w:cs="Arial"/>
          <w:spacing w:val="-5"/>
          <w:sz w:val="16"/>
          <w:szCs w:val="16"/>
        </w:rPr>
        <w:t>Tatiane Aparecida Nogueira Brígido</w:t>
      </w:r>
      <w:r w:rsidRPr="00A720CA">
        <w:rPr>
          <w:rFonts w:ascii="Arial" w:hAnsi="Arial" w:cs="Arial"/>
          <w:spacing w:val="-2"/>
          <w:sz w:val="16"/>
          <w:szCs w:val="16"/>
        </w:rPr>
        <w:t>¹</w:t>
      </w:r>
    </w:p>
    <w:p w14:paraId="1400E277" w14:textId="72206F4B" w:rsidR="00F64269" w:rsidRPr="00A720CA" w:rsidRDefault="00FF6334" w:rsidP="004238CD">
      <w:pPr>
        <w:spacing w:before="89" w:line="297" w:lineRule="auto"/>
        <w:ind w:right="-121"/>
        <w:rPr>
          <w:rFonts w:ascii="Arial" w:hAnsi="Arial" w:cs="Arial"/>
          <w:position w:val="4"/>
          <w:sz w:val="16"/>
          <w:szCs w:val="16"/>
        </w:rPr>
      </w:pPr>
      <w:r w:rsidRPr="00A720CA">
        <w:rPr>
          <w:rFonts w:ascii="Arial" w:hAnsi="Arial" w:cs="Arial"/>
          <w:noProof/>
          <w:sz w:val="16"/>
          <w:szCs w:val="16"/>
        </w:rPr>
        <w:drawing>
          <wp:inline distT="0" distB="0" distL="0" distR="0" wp14:anchorId="088469BE" wp14:editId="5AD95817">
            <wp:extent cx="115569" cy="115570"/>
            <wp:effectExtent l="0" t="0" r="0" b="0"/>
            <wp:docPr id="8" name="Image 8">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hlinkClick r:id="rId13"/>
                    </pic:cNvPr>
                    <pic:cNvPicPr/>
                  </pic:nvPicPr>
                  <pic:blipFill>
                    <a:blip r:embed="rId12" cstate="print"/>
                    <a:stretch>
                      <a:fillRect/>
                    </a:stretch>
                  </pic:blipFill>
                  <pic:spPr>
                    <a:xfrm>
                      <a:off x="0" y="0"/>
                      <a:ext cx="115569" cy="115570"/>
                    </a:xfrm>
                    <a:prstGeom prst="rect">
                      <a:avLst/>
                    </a:prstGeom>
                  </pic:spPr>
                </pic:pic>
              </a:graphicData>
            </a:graphic>
          </wp:inline>
        </w:drawing>
      </w:r>
      <w:r w:rsidRPr="00A720CA">
        <w:rPr>
          <w:rFonts w:ascii="Arial" w:hAnsi="Arial" w:cs="Arial"/>
          <w:sz w:val="16"/>
          <w:szCs w:val="16"/>
        </w:rPr>
        <w:t xml:space="preserve"> </w:t>
      </w:r>
      <w:r w:rsidR="00EF11B0" w:rsidRPr="00A720CA">
        <w:rPr>
          <w:rFonts w:ascii="Arial" w:hAnsi="Arial" w:cs="Arial"/>
          <w:sz w:val="16"/>
          <w:szCs w:val="16"/>
        </w:rPr>
        <w:t>Marta Isabel Valente Campos Andrade</w:t>
      </w:r>
      <w:r w:rsidR="00EF11B0" w:rsidRPr="00A720CA">
        <w:rPr>
          <w:rFonts w:ascii="Arial" w:hAnsi="Arial" w:cs="Arial"/>
          <w:sz w:val="16"/>
          <w:szCs w:val="16"/>
          <w:vertAlign w:val="superscript"/>
        </w:rPr>
        <w:t xml:space="preserve"> 1</w:t>
      </w:r>
    </w:p>
    <w:p w14:paraId="00FC9AB1" w14:textId="7231470A" w:rsidR="00F64269" w:rsidRPr="00A720CA" w:rsidRDefault="00FF6334" w:rsidP="004238CD">
      <w:pPr>
        <w:spacing w:before="167" w:line="249" w:lineRule="auto"/>
        <w:ind w:right="-121"/>
        <w:rPr>
          <w:rFonts w:ascii="Arial" w:hAnsi="Arial" w:cs="Arial"/>
          <w:sz w:val="16"/>
          <w:szCs w:val="16"/>
        </w:rPr>
      </w:pPr>
      <w:r w:rsidRPr="00A720CA">
        <w:rPr>
          <w:rFonts w:ascii="Arial" w:hAnsi="Arial" w:cs="Arial"/>
          <w:position w:val="4"/>
          <w:sz w:val="16"/>
          <w:szCs w:val="16"/>
        </w:rPr>
        <w:t>¹</w:t>
      </w:r>
      <w:r w:rsidR="00624CBA" w:rsidRPr="00A720CA">
        <w:rPr>
          <w:rFonts w:ascii="Arial" w:hAnsi="Arial" w:cs="Arial"/>
          <w:sz w:val="16"/>
          <w:szCs w:val="16"/>
        </w:rPr>
        <w:t>Universidade Pontifícia Universidade católica de Goiás</w:t>
      </w:r>
    </w:p>
    <w:p w14:paraId="75C73943" w14:textId="77777777" w:rsidR="00F64269" w:rsidRPr="00A720CA" w:rsidRDefault="00F64269" w:rsidP="004238CD">
      <w:pPr>
        <w:pStyle w:val="Corpodetexto"/>
        <w:ind w:right="-121"/>
        <w:rPr>
          <w:rFonts w:ascii="Arial" w:hAnsi="Arial" w:cs="Arial"/>
          <w:sz w:val="16"/>
          <w:szCs w:val="16"/>
        </w:rPr>
      </w:pPr>
    </w:p>
    <w:p w14:paraId="76ECABAF" w14:textId="77777777" w:rsidR="00F64269" w:rsidRPr="00A720CA" w:rsidRDefault="00F64269" w:rsidP="004238CD">
      <w:pPr>
        <w:pStyle w:val="Corpodetexto"/>
        <w:spacing w:before="175"/>
        <w:ind w:right="-121"/>
        <w:rPr>
          <w:rFonts w:ascii="Arial" w:hAnsi="Arial" w:cs="Arial"/>
          <w:sz w:val="16"/>
          <w:szCs w:val="16"/>
        </w:rPr>
      </w:pPr>
    </w:p>
    <w:p w14:paraId="79AC9F24" w14:textId="76597505" w:rsidR="00F64269" w:rsidRPr="00A720CA" w:rsidRDefault="00FF6334" w:rsidP="004238CD">
      <w:pPr>
        <w:spacing w:line="259" w:lineRule="auto"/>
        <w:ind w:right="-121"/>
        <w:rPr>
          <w:rFonts w:ascii="Arial" w:hAnsi="Arial" w:cs="Arial"/>
          <w:i/>
          <w:sz w:val="16"/>
          <w:szCs w:val="16"/>
        </w:rPr>
      </w:pPr>
      <w:r w:rsidRPr="00A720CA">
        <w:rPr>
          <w:rFonts w:ascii="Arial" w:hAnsi="Arial" w:cs="Arial"/>
          <w:i/>
          <w:iCs/>
          <w:noProof/>
          <w:sz w:val="16"/>
          <w:szCs w:val="16"/>
        </w:rPr>
        <mc:AlternateContent>
          <mc:Choice Requires="wps">
            <w:drawing>
              <wp:anchor distT="0" distB="0" distL="0" distR="0" simplePos="0" relativeHeight="251655680" behindDoc="0" locked="0" layoutInCell="1" allowOverlap="1" wp14:anchorId="32D364F2" wp14:editId="1391D7F1">
                <wp:simplePos x="0" y="0"/>
                <wp:positionH relativeFrom="page">
                  <wp:posOffset>782955</wp:posOffset>
                </wp:positionH>
                <wp:positionV relativeFrom="paragraph">
                  <wp:posOffset>-111889</wp:posOffset>
                </wp:positionV>
                <wp:extent cx="1524000"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350">
                          <a:solidFill>
                            <a:srgbClr val="C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038AD" id="Graphic 10" o:spid="_x0000_s1026" style="position:absolute;margin-left:61.65pt;margin-top:-8.8pt;width:120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p4EQIAAFsEAAAOAAAAZHJzL2Uyb0RvYy54bWysVMFu2zAMvQ/YPwi6L3aytSuMOMWQoMOA&#10;oivQDDsrshwbk0WNVOL070fJdhJ0t2EX4Umkqcf3KC/vT50VR4PUgivlfJZLYZyGqnX7Uv7YPny4&#10;k4KCcpWy4EwpXw3J+9X7d8veF2YBDdjKoOAijorel7IJwRdZRroxnaIZeOM4WAN2KvAW91mFqufq&#10;nc0WeX6b9YCVR9CGiE83Q1CuUv26Njp8r2syQdhSMreQVkzrLq7ZaqmKPSrftHqkof6BRadax5ee&#10;S21UUOKA7V+lulYjENRhpqHLoK5bbVIP3M08f9PNS6O8Sb2wOOTPMtH/K6ufji/+GSN18o+gfxEr&#10;kvWeinMkbmjMOdXYxVwmLk5JxdeziuYUhObD+c3iU56z2Jpj88XnJHKmiulbfaDw1UCqo46PFAYP&#10;qgmpZkL65CaI7GT00CYPgxTsIUrBHu4GD70K8btILkLRX4jEsw6OZgspGt4wZ2qXqHXXWedWpi45&#10;d8hgEK9hrQaQrmZ83Zx1kcXtx5s8jQaBbauH1trIgnC/W1sUR8VNrVkuFiwqz5HrNI8UNoqaIS+F&#10;xjTrRp8Ga6JJO6hen1H0PM2lpN8HhUYK+83xuMTRnwBOYDcBDHYN6YEkgfjO7emnQi/i9aUM7OwT&#10;TMOoism02Po5N37p4MshQN1GR9MMDYzGDU9wanB8bfGJXO9T1uWfsPoDAAD//wMAUEsDBBQABgAI&#10;AAAAIQDPxnGM3QAAAAsBAAAPAAAAZHJzL2Rvd25yZXYueG1sTI/BTsMwEETvSPyDtUjcWqcNCiiN&#10;UyEkDlRCQGjv29iNI+J1FDtp+Hu2XOA4s0+zM8V2dp2YzBBaTwpWywSEodrrlhoF+8/nxQOIEJE0&#10;dp6Mgm8TYFteXxWYa3+mDzNVsREcQiFHBTbGPpcy1NY4DEvfG+LbyQ8OI8uhkXrAM4e7Tq6TJJMO&#10;W+IPFnvzZE39VY1OwWmHsdpP8tDqt/ZlN86vvX2PSt3ezI8bENHM8Q+GS32uDiV3OvqRdBAd63Wa&#10;MqpgsbrPQDCRZhfn+OvcgSwL+X9D+QMAAP//AwBQSwECLQAUAAYACAAAACEAtoM4kv4AAADhAQAA&#10;EwAAAAAAAAAAAAAAAAAAAAAAW0NvbnRlbnRfVHlwZXNdLnhtbFBLAQItABQABgAIAAAAIQA4/SH/&#10;1gAAAJQBAAALAAAAAAAAAAAAAAAAAC8BAABfcmVscy8ucmVsc1BLAQItABQABgAIAAAAIQDAXSp4&#10;EQIAAFsEAAAOAAAAAAAAAAAAAAAAAC4CAABkcnMvZTJvRG9jLnhtbFBLAQItABQABgAIAAAAIQDP&#10;xnGM3QAAAAsBAAAPAAAAAAAAAAAAAAAAAGsEAABkcnMvZG93bnJldi54bWxQSwUGAAAAAAQABADz&#10;AAAAdQUAAAAA&#10;" path="m,l1524000,e" filled="f" strokecolor="#c00000" strokeweight=".5pt">
                <v:path arrowok="t"/>
                <w10:wrap anchorx="page"/>
              </v:shape>
            </w:pict>
          </mc:Fallback>
        </mc:AlternateContent>
      </w:r>
      <w:r w:rsidR="00624CBA" w:rsidRPr="00A720CA">
        <w:rPr>
          <w:rFonts w:ascii="Arial" w:eastAsia="Arial" w:hAnsi="Arial" w:cs="Arial"/>
          <w:i/>
          <w:iCs/>
          <w:sz w:val="16"/>
          <w:szCs w:val="16"/>
        </w:rPr>
        <w:t>Trabalho apresentado como requisito de conclusão da matéria de TCC2 do curso de Nutrição da Universidade Pontifícia Universidade católica de Goiás</w:t>
      </w:r>
      <w:r w:rsidRPr="00A720CA">
        <w:rPr>
          <w:rFonts w:ascii="Arial" w:hAnsi="Arial" w:cs="Arial"/>
          <w:i/>
          <w:spacing w:val="-2"/>
          <w:sz w:val="16"/>
          <w:szCs w:val="16"/>
        </w:rPr>
        <w:t>.</w:t>
      </w:r>
    </w:p>
    <w:p w14:paraId="6E621EB0" w14:textId="77777777" w:rsidR="00F64269" w:rsidRPr="00A720CA" w:rsidRDefault="00F64269">
      <w:pPr>
        <w:pStyle w:val="Corpodetexto"/>
        <w:spacing w:before="168"/>
        <w:rPr>
          <w:rFonts w:ascii="Arial" w:hAnsi="Arial" w:cs="Arial"/>
          <w:i/>
          <w:sz w:val="16"/>
        </w:rPr>
      </w:pPr>
    </w:p>
    <w:p w14:paraId="238BD336" w14:textId="60EB35DA" w:rsidR="00F64269" w:rsidRPr="00A720CA" w:rsidRDefault="00F64269" w:rsidP="00624CBA">
      <w:pPr>
        <w:spacing w:line="180" w:lineRule="exact"/>
        <w:ind w:left="244"/>
        <w:rPr>
          <w:rFonts w:ascii="Arial" w:hAnsi="Arial" w:cs="Arial"/>
          <w:sz w:val="16"/>
        </w:rPr>
      </w:pPr>
    </w:p>
    <w:p w14:paraId="46327DC8" w14:textId="62FC55E2" w:rsidR="00F64269" w:rsidRPr="00A720CA" w:rsidRDefault="00FF6334" w:rsidP="004238CD">
      <w:pPr>
        <w:pStyle w:val="Ttulo"/>
        <w:spacing w:before="260" w:line="250" w:lineRule="auto"/>
        <w:ind w:left="176" w:right="-200"/>
        <w:rPr>
          <w:i w:val="0"/>
          <w:iCs w:val="0"/>
          <w:spacing w:val="-4"/>
        </w:rPr>
      </w:pPr>
      <w:r w:rsidRPr="00A720CA">
        <w:rPr>
          <w:b w:val="0"/>
          <w:i w:val="0"/>
        </w:rPr>
        <w:br w:type="column"/>
      </w:r>
      <w:r w:rsidR="00624CBA" w:rsidRPr="00A720CA">
        <w:rPr>
          <w:i w:val="0"/>
          <w:iCs w:val="0"/>
          <w:spacing w:val="-4"/>
        </w:rPr>
        <w:t>A Influência da Mídia no Comportamento Alimentar dos Adolescentes</w:t>
      </w:r>
    </w:p>
    <w:p w14:paraId="5A582E85" w14:textId="1D2B17E0" w:rsidR="00624CBA" w:rsidRPr="00A720CA" w:rsidRDefault="00624CBA" w:rsidP="004238CD">
      <w:pPr>
        <w:spacing w:before="160" w:after="160"/>
        <w:ind w:right="-200" w:firstLine="142"/>
        <w:jc w:val="both"/>
        <w:rPr>
          <w:rFonts w:ascii="Arial" w:eastAsia="Arial" w:hAnsi="Arial" w:cs="Arial"/>
          <w:i/>
          <w:iCs/>
          <w:sz w:val="24"/>
          <w:szCs w:val="24"/>
          <w:lang w:val="en-US"/>
        </w:rPr>
      </w:pPr>
      <w:r w:rsidRPr="00A720CA">
        <w:rPr>
          <w:rFonts w:ascii="Arial" w:eastAsia="Arial" w:hAnsi="Arial" w:cs="Arial"/>
          <w:i/>
          <w:iCs/>
          <w:sz w:val="24"/>
          <w:szCs w:val="24"/>
          <w:lang w:val="en-US"/>
        </w:rPr>
        <w:t>The Influence Of Media On Adolescents' Eating Behavior</w:t>
      </w:r>
    </w:p>
    <w:p w14:paraId="43BA95F1" w14:textId="77777777" w:rsidR="004238CD" w:rsidRDefault="00FF6334" w:rsidP="004238CD">
      <w:pPr>
        <w:pStyle w:val="Corpodetexto"/>
        <w:ind w:left="178" w:right="-200"/>
        <w:jc w:val="both"/>
        <w:rPr>
          <w:rFonts w:ascii="Arial" w:hAnsi="Arial" w:cs="Arial"/>
          <w:spacing w:val="-2"/>
        </w:rPr>
      </w:pPr>
      <w:r w:rsidRPr="00A720CA">
        <w:rPr>
          <w:rFonts w:ascii="Arial" w:hAnsi="Arial" w:cs="Arial"/>
          <w:spacing w:val="-2"/>
        </w:rPr>
        <w:t>Resumo</w:t>
      </w:r>
      <w:r w:rsidR="004238CD">
        <w:rPr>
          <w:rFonts w:ascii="Arial" w:hAnsi="Arial" w:cs="Arial"/>
          <w:spacing w:val="-2"/>
        </w:rPr>
        <w:t xml:space="preserve">: </w:t>
      </w:r>
    </w:p>
    <w:p w14:paraId="7C7C60A8" w14:textId="3CDB4A35" w:rsidR="00F64269" w:rsidRPr="00A720CA" w:rsidRDefault="004238CD" w:rsidP="004238CD">
      <w:pPr>
        <w:pStyle w:val="Corpodetexto"/>
        <w:ind w:left="178" w:right="-200"/>
        <w:jc w:val="both"/>
        <w:rPr>
          <w:rFonts w:ascii="Arial" w:hAnsi="Arial" w:cs="Arial"/>
        </w:rPr>
      </w:pPr>
      <w:r w:rsidRPr="004238CD">
        <w:rPr>
          <w:rFonts w:ascii="Arial" w:hAnsi="Arial" w:cs="Arial"/>
          <w:spacing w:val="-2"/>
        </w:rPr>
        <w:t xml:space="preserve">A adolescência é uma fase marcada por transformações físicas, emocionais e sociais, sendo também um período de maior vulnerabilidade à influência da mídia sobre os hábitos alimentares. </w:t>
      </w:r>
      <w:r w:rsidRPr="004238CD">
        <w:rPr>
          <w:rFonts w:ascii="Arial" w:hAnsi="Arial" w:cs="Arial"/>
          <w:b/>
          <w:bCs/>
          <w:spacing w:val="-2"/>
        </w:rPr>
        <w:t>Objetivo:</w:t>
      </w:r>
      <w:r w:rsidRPr="004238CD">
        <w:rPr>
          <w:rFonts w:ascii="Arial" w:hAnsi="Arial" w:cs="Arial"/>
          <w:spacing w:val="-2"/>
        </w:rPr>
        <w:t xml:space="preserve"> Analisar a influência da mídia no comportamento alimentar de adolescentes, considerando os impactos nas escolhas alimentares, imagem corporal e risco de transtornos alimentares. </w:t>
      </w:r>
      <w:r w:rsidRPr="004238CD">
        <w:rPr>
          <w:rFonts w:ascii="Arial" w:hAnsi="Arial" w:cs="Arial"/>
          <w:b/>
          <w:bCs/>
          <w:spacing w:val="-2"/>
        </w:rPr>
        <w:t>Métodos:</w:t>
      </w:r>
      <w:r w:rsidRPr="004238CD">
        <w:rPr>
          <w:rFonts w:ascii="Arial" w:hAnsi="Arial" w:cs="Arial"/>
          <w:spacing w:val="-2"/>
        </w:rPr>
        <w:t xml:space="preserve"> Trata-se de uma revisão de literatura com abordagem quantitativa, realizada por meio de buscas nas bases de dados SciELO e PubMed, entre agosto e novembro de 2025. Foram utilizados os descritores “adolescentes”, “alimentação”, “comportamento alimentar”, “mídia”, “publicidade”, “alimentos ultraprocessados” e “redes sociais”, combinados pelos operadores booleanos AND e OR. Após aplicação dos critérios de inclusão e exclusão, a amostra final foi composta por 11 artigos científicos publicados entre 2020 e 2025. </w:t>
      </w:r>
      <w:r w:rsidRPr="004238CD">
        <w:rPr>
          <w:rFonts w:ascii="Arial" w:hAnsi="Arial" w:cs="Arial"/>
          <w:b/>
          <w:bCs/>
          <w:spacing w:val="-2"/>
        </w:rPr>
        <w:t>Resultados:</w:t>
      </w:r>
      <w:r w:rsidRPr="004238CD">
        <w:rPr>
          <w:rFonts w:ascii="Arial" w:hAnsi="Arial" w:cs="Arial"/>
          <w:spacing w:val="-2"/>
        </w:rPr>
        <w:t xml:space="preserve"> Os estudos evidenciaram que a mídia influencia diretamente as preferências alimentares dos adolescentes, estimulando maior consumo de alimentos ultraprocessados e hábitos inadequados. Também foram observadas associações entre maior tempo de tela, uso excessivo de redes sociais, insatisfação corporal e maior risco de transtornos alimentares, ansiedade e baixa autoestima. Além disso, fatores socioeconômicos e familiares mostraram relação com o padrão alimentar dos adolescentes. </w:t>
      </w:r>
      <w:r w:rsidRPr="004238CD">
        <w:rPr>
          <w:rFonts w:ascii="Arial" w:hAnsi="Arial" w:cs="Arial"/>
          <w:b/>
          <w:bCs/>
          <w:spacing w:val="-2"/>
        </w:rPr>
        <w:t>Conclusão:</w:t>
      </w:r>
      <w:r w:rsidRPr="004238CD">
        <w:rPr>
          <w:rFonts w:ascii="Arial" w:hAnsi="Arial" w:cs="Arial"/>
          <w:spacing w:val="-2"/>
        </w:rPr>
        <w:t xml:space="preserve"> A mídia exerce papel significativo na formação do comportamento alimentar de adolescentes, influenciando tanto o consumo alimentar quanto a percepção corporal. Dessa forma, torna-se essencial fortalecer ações de Educação Alimentar e Nutricional, além de estratégias de conscientização e regulação da publicidade direcionada a esse público.</w:t>
      </w:r>
    </w:p>
    <w:p w14:paraId="546E59DB" w14:textId="77777777" w:rsidR="00F64269" w:rsidRPr="00A720CA" w:rsidRDefault="00F64269" w:rsidP="004238CD">
      <w:pPr>
        <w:pStyle w:val="Corpodetexto"/>
        <w:ind w:right="-200"/>
        <w:jc w:val="both"/>
        <w:rPr>
          <w:rFonts w:ascii="Arial" w:hAnsi="Arial" w:cs="Arial"/>
        </w:rPr>
      </w:pPr>
    </w:p>
    <w:p w14:paraId="2879FAA1" w14:textId="3B375128" w:rsidR="00F64269" w:rsidRDefault="00FF6334" w:rsidP="004238CD">
      <w:pPr>
        <w:pStyle w:val="Corpodetexto"/>
        <w:ind w:left="178" w:right="-200"/>
        <w:jc w:val="both"/>
      </w:pPr>
      <w:r w:rsidRPr="00A720CA">
        <w:rPr>
          <w:rFonts w:ascii="Arial" w:hAnsi="Arial" w:cs="Arial"/>
        </w:rPr>
        <w:t>Palavras-chave:</w:t>
      </w:r>
      <w:r w:rsidRPr="00A720CA">
        <w:rPr>
          <w:rFonts w:ascii="Arial" w:hAnsi="Arial" w:cs="Arial"/>
          <w:spacing w:val="40"/>
        </w:rPr>
        <w:t xml:space="preserve"> </w:t>
      </w:r>
      <w:r w:rsidR="004238CD">
        <w:t>Adolescente; comportamento alimentar; mídia; redes sociais; alimentos ultraprocessados.</w:t>
      </w:r>
    </w:p>
    <w:p w14:paraId="54312D2B" w14:textId="77777777" w:rsidR="004238CD" w:rsidRPr="00A720CA" w:rsidRDefault="004238CD" w:rsidP="004238CD">
      <w:pPr>
        <w:pStyle w:val="Corpodetexto"/>
        <w:ind w:left="178" w:right="-200"/>
        <w:jc w:val="both"/>
        <w:rPr>
          <w:rFonts w:ascii="Arial" w:hAnsi="Arial" w:cs="Arial"/>
        </w:rPr>
      </w:pPr>
    </w:p>
    <w:p w14:paraId="571B5C80" w14:textId="77777777" w:rsidR="004238CD" w:rsidRDefault="00FF6334" w:rsidP="004238CD">
      <w:pPr>
        <w:pStyle w:val="Corpodetexto"/>
        <w:ind w:left="178" w:right="-200"/>
        <w:jc w:val="both"/>
        <w:rPr>
          <w:rFonts w:ascii="Arial" w:hAnsi="Arial" w:cs="Arial"/>
          <w:spacing w:val="-2"/>
          <w:lang w:val="en-US"/>
        </w:rPr>
      </w:pPr>
      <w:r w:rsidRPr="004238CD">
        <w:rPr>
          <w:rFonts w:ascii="Arial" w:hAnsi="Arial" w:cs="Arial"/>
          <w:spacing w:val="-2"/>
          <w:lang w:val="en-US"/>
        </w:rPr>
        <w:t>Abstract</w:t>
      </w:r>
      <w:r w:rsidR="004238CD" w:rsidRPr="004238CD">
        <w:rPr>
          <w:rFonts w:ascii="Arial" w:hAnsi="Arial" w:cs="Arial"/>
          <w:spacing w:val="-2"/>
          <w:lang w:val="en-US"/>
        </w:rPr>
        <w:t xml:space="preserve">: </w:t>
      </w:r>
    </w:p>
    <w:p w14:paraId="4ED65161" w14:textId="68170B5A" w:rsidR="00F64269" w:rsidRDefault="004238CD" w:rsidP="004238CD">
      <w:pPr>
        <w:pStyle w:val="Corpodetexto"/>
        <w:ind w:left="178" w:right="-200"/>
        <w:jc w:val="both"/>
        <w:rPr>
          <w:rFonts w:ascii="Arial" w:hAnsi="Arial" w:cs="Arial"/>
          <w:spacing w:val="-2"/>
        </w:rPr>
      </w:pPr>
      <w:r w:rsidRPr="004238CD">
        <w:rPr>
          <w:rFonts w:ascii="Arial" w:hAnsi="Arial" w:cs="Arial"/>
          <w:spacing w:val="-2"/>
          <w:lang w:val="en-US"/>
        </w:rPr>
        <w:t xml:space="preserve">Adolescence is a phase marked by physical, emotional, and social transformations, and is also a period of greater vulnerability to the influence of media on eating habits. </w:t>
      </w:r>
      <w:r w:rsidRPr="004238CD">
        <w:rPr>
          <w:rFonts w:ascii="Arial" w:hAnsi="Arial" w:cs="Arial"/>
          <w:b/>
          <w:bCs/>
          <w:spacing w:val="-2"/>
        </w:rPr>
        <w:t>Objective:</w:t>
      </w:r>
      <w:r w:rsidRPr="004238CD">
        <w:rPr>
          <w:rFonts w:ascii="Arial" w:hAnsi="Arial" w:cs="Arial"/>
          <w:spacing w:val="-2"/>
        </w:rPr>
        <w:t xml:space="preserve"> To analyze the influence of media on the eating behavior of adolescents, considering the impacts on food choices, body image, and risk of eating disorders. </w:t>
      </w:r>
      <w:r w:rsidRPr="004238CD">
        <w:rPr>
          <w:rFonts w:ascii="Arial" w:hAnsi="Arial" w:cs="Arial"/>
          <w:b/>
          <w:bCs/>
          <w:spacing w:val="-2"/>
        </w:rPr>
        <w:t>Methods:</w:t>
      </w:r>
      <w:r w:rsidRPr="004238CD">
        <w:rPr>
          <w:rFonts w:ascii="Arial" w:hAnsi="Arial" w:cs="Arial"/>
          <w:spacing w:val="-2"/>
        </w:rPr>
        <w:t xml:space="preserve"> This is a literature review with a quantitative approach, carried out through searches in the SciELO and PubMed databases, between August and November 2025. The descriptors "adolescents," "food," "eating behavior," "media," "advertising," "ultra-processed foods," and "social networks" were used, combined with the Boolean operators AND and OR. After applying the inclusion and exclusion criteria, the final sample consisted of 11 scientific articles published between 2020 and 2025. </w:t>
      </w:r>
      <w:r w:rsidRPr="004238CD">
        <w:rPr>
          <w:rFonts w:ascii="Arial" w:hAnsi="Arial" w:cs="Arial"/>
          <w:b/>
          <w:bCs/>
          <w:spacing w:val="-2"/>
        </w:rPr>
        <w:t>Results:</w:t>
      </w:r>
      <w:r w:rsidRPr="004238CD">
        <w:rPr>
          <w:rFonts w:ascii="Arial" w:hAnsi="Arial" w:cs="Arial"/>
          <w:spacing w:val="-2"/>
        </w:rPr>
        <w:t xml:space="preserve"> The studies showed that the media directly influences the food preferences of adolescents, stimulating greater consumption of ultra-processed foods and inadequate habits. Associations were also observed between increased screen time, excessive use of social media, body dissatisfaction, and a higher risk of eating disorders, anxiety, and low self-esteem. Furthermore, socioeconomic and family factors showed a relationship with adolescents' eating patterns. </w:t>
      </w:r>
      <w:r w:rsidRPr="004238CD">
        <w:rPr>
          <w:rFonts w:ascii="Arial" w:hAnsi="Arial" w:cs="Arial"/>
          <w:b/>
          <w:bCs/>
          <w:spacing w:val="-2"/>
        </w:rPr>
        <w:t>Conclusion:</w:t>
      </w:r>
      <w:r w:rsidRPr="004238CD">
        <w:rPr>
          <w:rFonts w:ascii="Arial" w:hAnsi="Arial" w:cs="Arial"/>
          <w:spacing w:val="-2"/>
        </w:rPr>
        <w:t xml:space="preserve"> The media plays a significant role in shaping adolescents' eating behavior, influencing both food consumption and body image. Therefore, it is essential to strengthen food and nutrition education initiatives, as well as strategies for raising awareness and regulating advertising targeted at this audience.</w:t>
      </w:r>
    </w:p>
    <w:p w14:paraId="25AA4F50" w14:textId="77777777" w:rsidR="004238CD" w:rsidRDefault="004238CD" w:rsidP="004238CD">
      <w:pPr>
        <w:pStyle w:val="Corpodetexto"/>
        <w:ind w:left="178" w:right="-200"/>
        <w:jc w:val="both"/>
        <w:rPr>
          <w:rFonts w:ascii="Arial" w:hAnsi="Arial" w:cs="Arial"/>
          <w:spacing w:val="-2"/>
        </w:rPr>
      </w:pPr>
    </w:p>
    <w:p w14:paraId="2FE6FA90" w14:textId="11B17839" w:rsidR="00F64269" w:rsidRPr="004238CD" w:rsidRDefault="004238CD" w:rsidP="004238CD">
      <w:pPr>
        <w:pStyle w:val="Corpodetexto"/>
        <w:ind w:left="178" w:right="-59"/>
        <w:jc w:val="both"/>
        <w:rPr>
          <w:rFonts w:ascii="Arial" w:hAnsi="Arial" w:cs="Arial"/>
          <w:spacing w:val="-2"/>
          <w:lang w:val="en-US"/>
        </w:rPr>
      </w:pPr>
      <w:r w:rsidRPr="004238CD">
        <w:rPr>
          <w:rFonts w:ascii="Arial" w:hAnsi="Arial" w:cs="Arial"/>
          <w:spacing w:val="-2"/>
          <w:lang w:val="en-US"/>
        </w:rPr>
        <w:t>Keywords: Adolescent; eating behavior; media; social networks; ultra-processed foods.</w:t>
      </w:r>
    </w:p>
    <w:p w14:paraId="1376E490" w14:textId="77777777" w:rsidR="00624CBA" w:rsidRPr="004238CD" w:rsidRDefault="00624CBA">
      <w:pPr>
        <w:pStyle w:val="Corpodetexto"/>
        <w:spacing w:line="326" w:lineRule="auto"/>
        <w:jc w:val="both"/>
        <w:rPr>
          <w:rFonts w:ascii="Arial" w:hAnsi="Arial" w:cs="Arial"/>
          <w:lang w:val="en-US"/>
        </w:rPr>
        <w:sectPr w:rsidR="00624CBA" w:rsidRPr="004238CD" w:rsidSect="00624CBA">
          <w:type w:val="continuous"/>
          <w:pgSz w:w="11910" w:h="16850"/>
          <w:pgMar w:top="1701" w:right="1134" w:bottom="1134" w:left="1134" w:header="0" w:footer="765" w:gutter="0"/>
          <w:cols w:num="2" w:space="720" w:equalWidth="0">
            <w:col w:w="2431" w:space="40"/>
            <w:col w:w="7171"/>
          </w:cols>
        </w:sectPr>
      </w:pPr>
    </w:p>
    <w:p w14:paraId="43683E89" w14:textId="1AC8FAAE" w:rsidR="00F64269" w:rsidRPr="00A720CA" w:rsidRDefault="00624CBA" w:rsidP="0088292C">
      <w:pPr>
        <w:pStyle w:val="Ttulo1"/>
        <w:spacing w:line="360" w:lineRule="auto"/>
      </w:pPr>
      <w:r w:rsidRPr="00A720CA">
        <w:rPr>
          <w:color w:val="1F4081"/>
          <w:spacing w:val="-2"/>
          <w:w w:val="95"/>
        </w:rPr>
        <w:lastRenderedPageBreak/>
        <w:t>INTRODUÇÃO</w:t>
      </w:r>
    </w:p>
    <w:p w14:paraId="0271B59E" w14:textId="77777777" w:rsidR="00BC51D0" w:rsidRPr="00A720CA" w:rsidRDefault="00BC51D0" w:rsidP="0088292C">
      <w:pPr>
        <w:spacing w:line="360" w:lineRule="auto"/>
        <w:ind w:firstLine="708"/>
        <w:jc w:val="both"/>
        <w:rPr>
          <w:rFonts w:ascii="Arial" w:eastAsia="Arial" w:hAnsi="Arial" w:cs="Arial"/>
          <w:sz w:val="24"/>
          <w:szCs w:val="24"/>
        </w:rPr>
      </w:pPr>
    </w:p>
    <w:p w14:paraId="7FB3E20C" w14:textId="6F6CCC10" w:rsidR="00F25658" w:rsidRPr="00A720CA" w:rsidRDefault="00F25658" w:rsidP="0088292C">
      <w:pPr>
        <w:spacing w:line="360" w:lineRule="auto"/>
        <w:ind w:firstLine="708"/>
        <w:jc w:val="both"/>
        <w:rPr>
          <w:rFonts w:ascii="Arial" w:eastAsia="Arial" w:hAnsi="Arial" w:cs="Arial"/>
          <w:sz w:val="24"/>
          <w:szCs w:val="24"/>
        </w:rPr>
      </w:pPr>
      <w:r w:rsidRPr="00A720CA">
        <w:rPr>
          <w:rFonts w:ascii="Arial" w:eastAsia="Arial" w:hAnsi="Arial" w:cs="Arial"/>
          <w:sz w:val="24"/>
          <w:szCs w:val="24"/>
        </w:rPr>
        <w:t>A adolescência é uma fase intermediaria entre a infância e a vida adulta, que segundo Assis, Avanci e Serpeloni (2020) se estende dos 10 aos 19 anos. Esse período é marcado por múltiplos processos de crescimento e desenvolvimento fisiológico, biológico, psíquico e social, que ocorre de forma progressiva e contínua, evidenciado por mudanças anatômicas   moldando-os para a vida adulta (</w:t>
      </w:r>
      <w:r w:rsidR="0048644B" w:rsidRPr="00A720CA">
        <w:rPr>
          <w:rFonts w:ascii="Arial" w:eastAsia="Arial" w:hAnsi="Arial" w:cs="Arial"/>
          <w:sz w:val="24"/>
          <w:szCs w:val="24"/>
        </w:rPr>
        <w:t>Bittar; Soares</w:t>
      </w:r>
      <w:r w:rsidRPr="00A720CA">
        <w:rPr>
          <w:rFonts w:ascii="Arial" w:eastAsia="Arial" w:hAnsi="Arial" w:cs="Arial"/>
          <w:sz w:val="24"/>
          <w:szCs w:val="24"/>
        </w:rPr>
        <w:t>, 2020).</w:t>
      </w:r>
    </w:p>
    <w:p w14:paraId="32F3D75A" w14:textId="5881473A" w:rsidR="00F25658" w:rsidRPr="00A720CA" w:rsidRDefault="00F25658" w:rsidP="0088292C">
      <w:pPr>
        <w:spacing w:line="360" w:lineRule="auto"/>
        <w:ind w:firstLine="708"/>
        <w:jc w:val="both"/>
        <w:rPr>
          <w:rFonts w:ascii="Arial" w:eastAsia="Arial" w:hAnsi="Arial" w:cs="Arial"/>
          <w:sz w:val="24"/>
          <w:szCs w:val="24"/>
        </w:rPr>
      </w:pPr>
      <w:r w:rsidRPr="00A720CA">
        <w:rPr>
          <w:rFonts w:ascii="Arial" w:eastAsia="Arial" w:hAnsi="Arial" w:cs="Arial"/>
          <w:sz w:val="24"/>
          <w:szCs w:val="24"/>
        </w:rPr>
        <w:t>Segundo Marques et al. (2020), nesta fase de mudanças físicas e emocionais desenvolve-se a autonomia e aumenta a interação social, elementos fundamentais para formar hábitos que afetam a saúde dos adolescentes, com apenas 4,7% dos meninos e 4,4% das meninas de 11 anos apresentando estilo de vida saudável completo, caindo para 1,5-3% aos 15 anos (</w:t>
      </w:r>
      <w:r w:rsidR="0048644B" w:rsidRPr="00A720CA">
        <w:rPr>
          <w:rFonts w:ascii="Arial" w:eastAsia="Arial" w:hAnsi="Arial" w:cs="Arial"/>
          <w:sz w:val="24"/>
          <w:szCs w:val="24"/>
        </w:rPr>
        <w:t xml:space="preserve">Marques </w:t>
      </w:r>
      <w:r w:rsidRPr="00A720CA">
        <w:rPr>
          <w:rFonts w:ascii="Arial" w:eastAsia="Arial" w:hAnsi="Arial" w:cs="Arial"/>
          <w:sz w:val="24"/>
          <w:szCs w:val="24"/>
        </w:rPr>
        <w:t xml:space="preserve">et al., 2020). </w:t>
      </w:r>
    </w:p>
    <w:p w14:paraId="4F996E3D" w14:textId="643FA47F" w:rsidR="00F25658" w:rsidRPr="00A720CA" w:rsidRDefault="00F25658" w:rsidP="0088292C">
      <w:pPr>
        <w:spacing w:line="360" w:lineRule="auto"/>
        <w:ind w:firstLine="708"/>
        <w:jc w:val="both"/>
        <w:rPr>
          <w:rFonts w:ascii="Arial" w:eastAsia="Arial" w:hAnsi="Arial" w:cs="Arial"/>
          <w:sz w:val="24"/>
          <w:szCs w:val="24"/>
        </w:rPr>
      </w:pPr>
      <w:r w:rsidRPr="00A720CA">
        <w:rPr>
          <w:rFonts w:ascii="Arial" w:eastAsia="Arial" w:hAnsi="Arial" w:cs="Arial"/>
          <w:sz w:val="24"/>
          <w:szCs w:val="24"/>
        </w:rPr>
        <w:t>Essa fragilidade comportamental agrava o cenário epidemiológico, com prevalência elevada de sobrepeso (20-30%) entre adolescentes escolares brasileiros, associada a alto consumo de ultraprocessados e baixa atividade física (</w:t>
      </w:r>
      <w:r w:rsidR="0048644B" w:rsidRPr="00A720CA">
        <w:rPr>
          <w:rFonts w:ascii="Arial" w:eastAsia="Arial" w:hAnsi="Arial" w:cs="Arial"/>
          <w:sz w:val="24"/>
          <w:szCs w:val="24"/>
        </w:rPr>
        <w:t xml:space="preserve">Barbalho </w:t>
      </w:r>
      <w:r w:rsidRPr="00A720CA">
        <w:rPr>
          <w:rFonts w:ascii="Arial" w:eastAsia="Arial" w:hAnsi="Arial" w:cs="Arial"/>
          <w:sz w:val="24"/>
          <w:szCs w:val="24"/>
        </w:rPr>
        <w:t>et al., 2020). Tais índices conectam-se à pressão estética do marketing alimentar, que direciona 74,8% das propagandas de ultraprocessados a crianças e adolescentes via mídias, promovendo consumo por prazer e status (</w:t>
      </w:r>
      <w:r w:rsidR="0048644B" w:rsidRPr="00A720CA">
        <w:rPr>
          <w:rFonts w:ascii="Arial" w:eastAsia="Arial" w:hAnsi="Arial" w:cs="Arial"/>
          <w:sz w:val="24"/>
          <w:szCs w:val="24"/>
        </w:rPr>
        <w:t>Cruz; Souza; Skrivan</w:t>
      </w:r>
      <w:r w:rsidRPr="00A720CA">
        <w:rPr>
          <w:rFonts w:ascii="Arial" w:eastAsia="Arial" w:hAnsi="Arial" w:cs="Arial"/>
          <w:sz w:val="24"/>
          <w:szCs w:val="24"/>
        </w:rPr>
        <w:t>, 2021).Não obstante, a imposição de padrões sociais da mídia influência diretamente as práticas alimentares dos adolescentes, que muitas vezes passam a seguir dietas restritivas ou desenvolver hábitos inadequados na tentativa de alcançar corpos considerados “perfeitos” (SILVA et al., 2020). Essa situação se agrava ao observarmos os dados epidemiológicos nacionais. Aprelini et al. (2021), em estudo ecológico com dados do SISVAN para o Espírito Santo, identificaram tendência crescente de sobrepeso (de 5,5% a 8,6%) e obesidade (de 4,4% a 8,3%) em adolescentes, em ambos os sexos, no período de 2009 a 2018 (</w:t>
      </w:r>
      <w:r w:rsidR="0048644B" w:rsidRPr="00A720CA">
        <w:rPr>
          <w:rFonts w:ascii="Arial" w:eastAsia="Arial" w:hAnsi="Arial" w:cs="Arial"/>
          <w:sz w:val="24"/>
          <w:szCs w:val="24"/>
        </w:rPr>
        <w:t xml:space="preserve">Aprelini </w:t>
      </w:r>
      <w:r w:rsidRPr="00A720CA">
        <w:rPr>
          <w:rFonts w:ascii="Arial" w:eastAsia="Arial" w:hAnsi="Arial" w:cs="Arial"/>
          <w:sz w:val="24"/>
          <w:szCs w:val="24"/>
        </w:rPr>
        <w:t xml:space="preserve">et al., 2021). </w:t>
      </w:r>
    </w:p>
    <w:p w14:paraId="4C26EC22" w14:textId="12C368B7" w:rsidR="00F25658" w:rsidRPr="00A720CA" w:rsidRDefault="00F25658" w:rsidP="0088292C">
      <w:pPr>
        <w:spacing w:line="360" w:lineRule="auto"/>
        <w:ind w:firstLine="708"/>
        <w:jc w:val="both"/>
        <w:rPr>
          <w:rFonts w:ascii="Arial" w:eastAsia="Arial" w:hAnsi="Arial" w:cs="Arial"/>
          <w:sz w:val="24"/>
          <w:szCs w:val="24"/>
        </w:rPr>
      </w:pPr>
      <w:r w:rsidRPr="00A720CA">
        <w:rPr>
          <w:rFonts w:ascii="Arial" w:eastAsia="Arial" w:hAnsi="Arial" w:cs="Arial"/>
          <w:sz w:val="24"/>
          <w:szCs w:val="24"/>
        </w:rPr>
        <w:t>Em âmbito nacional, Barbalho et al. (2020), em estudo transversal com 572 escolares adolescentes, observaram que 90% apresentavam consumo inadequado de alimentos associado a comportamento sedentário, fatores identificados como de risco independente para o sobrepeso/obesidade (</w:t>
      </w:r>
      <w:r w:rsidR="0048644B" w:rsidRPr="00A720CA">
        <w:rPr>
          <w:rFonts w:ascii="Arial" w:eastAsia="Arial" w:hAnsi="Arial" w:cs="Arial"/>
          <w:sz w:val="24"/>
          <w:szCs w:val="24"/>
        </w:rPr>
        <w:t xml:space="preserve">Barbalho </w:t>
      </w:r>
      <w:r w:rsidRPr="00A720CA">
        <w:rPr>
          <w:rFonts w:ascii="Arial" w:eastAsia="Arial" w:hAnsi="Arial" w:cs="Arial"/>
          <w:sz w:val="24"/>
          <w:szCs w:val="24"/>
        </w:rPr>
        <w:t>et al., 2020). Quanto ao consumo de ultraprocessados, 75,4% dos adolescentes brasileiros apresentavam consumo excessivo desses alimentos, associado ao maior tempo de tela (</w:t>
      </w:r>
      <w:r w:rsidR="0048644B" w:rsidRPr="00A720CA">
        <w:rPr>
          <w:rFonts w:ascii="Arial" w:eastAsia="Arial" w:hAnsi="Arial" w:cs="Arial"/>
          <w:sz w:val="24"/>
          <w:szCs w:val="24"/>
        </w:rPr>
        <w:t xml:space="preserve">Silva </w:t>
      </w:r>
      <w:r w:rsidRPr="00A720CA">
        <w:rPr>
          <w:rFonts w:ascii="Arial" w:eastAsia="Arial" w:hAnsi="Arial" w:cs="Arial"/>
          <w:sz w:val="24"/>
          <w:szCs w:val="24"/>
        </w:rPr>
        <w:t>et al., 2022),</w:t>
      </w:r>
    </w:p>
    <w:p w14:paraId="0C3DA341" w14:textId="6181E969" w:rsidR="00F25658" w:rsidRPr="00A720CA" w:rsidRDefault="00F25658" w:rsidP="0088292C">
      <w:pPr>
        <w:spacing w:line="360" w:lineRule="auto"/>
        <w:ind w:firstLine="708"/>
        <w:jc w:val="both"/>
        <w:rPr>
          <w:rFonts w:ascii="Arial" w:eastAsia="Arial" w:hAnsi="Arial" w:cs="Arial"/>
          <w:sz w:val="24"/>
          <w:szCs w:val="24"/>
        </w:rPr>
      </w:pPr>
      <w:r w:rsidRPr="00A720CA">
        <w:rPr>
          <w:rFonts w:ascii="Arial" w:eastAsia="Arial" w:hAnsi="Arial" w:cs="Arial"/>
          <w:sz w:val="24"/>
          <w:szCs w:val="24"/>
        </w:rPr>
        <w:t>No que se refere ao acesso às mídias digitais, os dados nacionais apontam para uma exposição intensa dos adolescentes a esses ambientes. A pesquisa TIC Kids Online Brasil (Comitê Gestor da Internet no Brasil</w:t>
      </w:r>
      <w:r w:rsidR="0048644B">
        <w:rPr>
          <w:rFonts w:ascii="Arial" w:eastAsia="Arial" w:hAnsi="Arial" w:cs="Arial"/>
          <w:sz w:val="24"/>
          <w:szCs w:val="24"/>
        </w:rPr>
        <w:t xml:space="preserve">, </w:t>
      </w:r>
      <w:r w:rsidRPr="00A720CA">
        <w:rPr>
          <w:rFonts w:ascii="Arial" w:eastAsia="Arial" w:hAnsi="Arial" w:cs="Arial"/>
          <w:sz w:val="24"/>
          <w:szCs w:val="24"/>
        </w:rPr>
        <w:t xml:space="preserve">2022) revelou que 93% dos jovens brasileiros entre 9 e 17 anos são usuários de internet, o que corresponde a cerca de 22,3 milhões de pessoas conectadas nessa faixa etária. Em relação às redes sociais, 78% desses usuários acessaram </w:t>
      </w:r>
      <w:r w:rsidRPr="00A720CA">
        <w:rPr>
          <w:rFonts w:ascii="Arial" w:eastAsia="Arial" w:hAnsi="Arial" w:cs="Arial"/>
          <w:sz w:val="24"/>
          <w:szCs w:val="24"/>
        </w:rPr>
        <w:lastRenderedPageBreak/>
        <w:t>ao menos uma plataforma em 2021, representando aumento de 10 pontos percentuais em relação a 2019 (68%), sendo o Instagram utilizado por 62% e o TikTok por 58% dos jovens pesquisados (CGI.br, 2022). Reforçando esse cenário, Vieira et al. (2022), em estudo transversal com 513 estudantes do ensino médio do sul do Brasil, identificaram que 35,9% faziam uso excessivo de redes sociais definido como mais de cinco horas diárias, sendo esse comportamento associado a desfechos negativos à saúde, como depressão, ansiedade, estresse e risco de sucídio (Vieira et al., 2022).</w:t>
      </w:r>
    </w:p>
    <w:p w14:paraId="33ACB25B" w14:textId="51C35B01" w:rsidR="00F25658" w:rsidRPr="00A720CA" w:rsidRDefault="00F25658" w:rsidP="0088292C">
      <w:pPr>
        <w:spacing w:line="360" w:lineRule="auto"/>
        <w:ind w:firstLine="708"/>
        <w:jc w:val="both"/>
        <w:rPr>
          <w:rFonts w:ascii="Arial" w:eastAsia="Arial" w:hAnsi="Arial" w:cs="Arial"/>
          <w:sz w:val="24"/>
          <w:szCs w:val="24"/>
        </w:rPr>
      </w:pPr>
      <w:r w:rsidRPr="00A720CA">
        <w:rPr>
          <w:rFonts w:ascii="Arial" w:eastAsia="Arial" w:hAnsi="Arial" w:cs="Arial"/>
          <w:sz w:val="24"/>
          <w:szCs w:val="24"/>
        </w:rPr>
        <w:t>A mídia, com seu marketing atrativo, reforça essas escolhas ruins ao divulgar produtos não saudáveis, o que pode trazer prejuízos como ganho de peso, baixa qualidade da alimentação, insatisfação corporal e risco de transtornos alimentares (</w:t>
      </w:r>
      <w:r w:rsidR="0048644B" w:rsidRPr="00A720CA">
        <w:rPr>
          <w:rFonts w:ascii="Arial" w:eastAsia="Arial" w:hAnsi="Arial" w:cs="Arial"/>
          <w:sz w:val="24"/>
          <w:szCs w:val="24"/>
        </w:rPr>
        <w:t>Bittar; Soares</w:t>
      </w:r>
      <w:r w:rsidRPr="00A720CA">
        <w:rPr>
          <w:rFonts w:ascii="Arial" w:eastAsia="Arial" w:hAnsi="Arial" w:cs="Arial"/>
          <w:sz w:val="24"/>
          <w:szCs w:val="24"/>
        </w:rPr>
        <w:t xml:space="preserve">, 2020; </w:t>
      </w:r>
      <w:r w:rsidR="0048644B" w:rsidRPr="00A720CA">
        <w:rPr>
          <w:rFonts w:ascii="Arial" w:eastAsia="Arial" w:hAnsi="Arial" w:cs="Arial"/>
          <w:sz w:val="24"/>
          <w:szCs w:val="24"/>
        </w:rPr>
        <w:t xml:space="preserve">Louzada </w:t>
      </w:r>
      <w:r w:rsidRPr="00A720CA">
        <w:rPr>
          <w:rFonts w:ascii="Arial" w:eastAsia="Arial" w:hAnsi="Arial" w:cs="Arial"/>
          <w:sz w:val="24"/>
          <w:szCs w:val="24"/>
        </w:rPr>
        <w:t>et al., 2021). Diante disso, a Educação Alimentar e Nutricional (EAN) torna-se essencial, pois ajuda crianças e adolescentes a compreenderem melhor o que é alimentação saudável, prevenindo esses prejuízos e fortalecendo escolhas mais conscientes, mesmo diante da forte influência da mídia.</w:t>
      </w:r>
    </w:p>
    <w:p w14:paraId="27DBD32D" w14:textId="03431A50" w:rsidR="00F25658" w:rsidRDefault="00F25658" w:rsidP="0088292C">
      <w:pPr>
        <w:spacing w:line="360" w:lineRule="auto"/>
        <w:ind w:firstLine="708"/>
        <w:jc w:val="both"/>
        <w:rPr>
          <w:rFonts w:ascii="Arial" w:eastAsia="Arial" w:hAnsi="Arial" w:cs="Arial"/>
          <w:sz w:val="24"/>
          <w:szCs w:val="24"/>
        </w:rPr>
      </w:pPr>
      <w:r w:rsidRPr="00A720CA">
        <w:rPr>
          <w:rFonts w:ascii="Arial" w:eastAsia="Arial" w:hAnsi="Arial" w:cs="Arial"/>
          <w:sz w:val="24"/>
          <w:szCs w:val="24"/>
        </w:rPr>
        <w:t>Diante do exposto, e considerando que 93% dos adolescentes brasileiros já são usuários de internet e 86% possuem perfil em redes sociais (CGI.br, 2022), evidencia-se o papel central das mídias digitais na formação de hábitos alimentares nessa faixa etária. Este estudo consiste em analisar a relação entre a influência midiática e as escolhas alimentares considerando os impactos que tais fatores podem exercer sobre a imagem corporal e o possível desenvolvimento de transtornos relacionados a alimentação desses adolescentes, sendo uma  abordagem de extrema relevância tanto para o meio acadêmico quanto para a esfera social, uma vez que permite ao nutricionista atuar preventivamente, promovendo escolhas alimentares adequadas minimizando os impactos negativos na saúde pública.</w:t>
      </w:r>
    </w:p>
    <w:p w14:paraId="1DCA474D" w14:textId="77777777" w:rsidR="0088292C" w:rsidRPr="00A720CA" w:rsidRDefault="0088292C" w:rsidP="00E8004E">
      <w:pPr>
        <w:spacing w:line="360" w:lineRule="auto"/>
        <w:ind w:firstLine="708"/>
        <w:jc w:val="both"/>
        <w:rPr>
          <w:rFonts w:ascii="Arial" w:eastAsia="Arial" w:hAnsi="Arial" w:cs="Arial"/>
          <w:sz w:val="24"/>
          <w:szCs w:val="24"/>
        </w:rPr>
      </w:pPr>
    </w:p>
    <w:p w14:paraId="35018009" w14:textId="77777777" w:rsidR="0048644B" w:rsidRDefault="0048644B" w:rsidP="00E8004E">
      <w:pPr>
        <w:pStyle w:val="Ttulo1"/>
        <w:spacing w:line="360" w:lineRule="auto"/>
        <w:rPr>
          <w:color w:val="1F4081"/>
          <w:spacing w:val="-2"/>
          <w:w w:val="95"/>
        </w:rPr>
      </w:pPr>
      <w:r w:rsidRPr="0048644B">
        <w:rPr>
          <w:color w:val="1F4081"/>
          <w:spacing w:val="-2"/>
          <w:w w:val="95"/>
        </w:rPr>
        <w:t>MÉTODOS</w:t>
      </w:r>
    </w:p>
    <w:p w14:paraId="077484F8" w14:textId="77777777" w:rsidR="00775314" w:rsidRDefault="00775314" w:rsidP="00E8004E">
      <w:pPr>
        <w:spacing w:line="360" w:lineRule="auto"/>
        <w:ind w:firstLine="708"/>
        <w:jc w:val="both"/>
        <w:rPr>
          <w:rFonts w:ascii="Arial" w:eastAsia="Arial" w:hAnsi="Arial" w:cs="Arial"/>
          <w:color w:val="EE0000"/>
          <w:sz w:val="24"/>
          <w:szCs w:val="24"/>
        </w:rPr>
      </w:pPr>
    </w:p>
    <w:p w14:paraId="53A1465F" w14:textId="0A1B8FBE" w:rsidR="00775314" w:rsidRPr="00775314" w:rsidRDefault="00775314" w:rsidP="00775314">
      <w:pPr>
        <w:spacing w:line="360" w:lineRule="auto"/>
        <w:ind w:firstLine="708"/>
        <w:jc w:val="both"/>
        <w:rPr>
          <w:rFonts w:ascii="Arial" w:eastAsia="Arial" w:hAnsi="Arial" w:cs="Arial"/>
          <w:sz w:val="24"/>
          <w:szCs w:val="24"/>
        </w:rPr>
      </w:pPr>
      <w:r w:rsidRPr="00775314">
        <w:rPr>
          <w:rFonts w:ascii="Arial" w:eastAsia="Arial" w:hAnsi="Arial" w:cs="Arial"/>
          <w:sz w:val="24"/>
          <w:szCs w:val="24"/>
        </w:rPr>
        <w:t xml:space="preserve">Esta pesquisa caracteriza-se como um estudo de </w:t>
      </w:r>
      <w:r w:rsidR="00384D7E">
        <w:rPr>
          <w:rFonts w:ascii="Arial" w:eastAsia="Arial" w:hAnsi="Arial" w:cs="Arial"/>
          <w:sz w:val="24"/>
          <w:szCs w:val="24"/>
        </w:rPr>
        <w:t xml:space="preserve">revisão de literatura com </w:t>
      </w:r>
      <w:r w:rsidRPr="00775314">
        <w:rPr>
          <w:rFonts w:ascii="Arial" w:eastAsia="Arial" w:hAnsi="Arial" w:cs="Arial"/>
          <w:sz w:val="24"/>
          <w:szCs w:val="24"/>
        </w:rPr>
        <w:t>abordagem qu</w:t>
      </w:r>
      <w:r w:rsidR="00384D7E">
        <w:rPr>
          <w:rFonts w:ascii="Arial" w:eastAsia="Arial" w:hAnsi="Arial" w:cs="Arial"/>
          <w:sz w:val="24"/>
          <w:szCs w:val="24"/>
        </w:rPr>
        <w:t>antitativa,</w:t>
      </w:r>
      <w:r w:rsidRPr="00775314">
        <w:rPr>
          <w:rFonts w:ascii="Arial" w:eastAsia="Arial" w:hAnsi="Arial" w:cs="Arial"/>
          <w:sz w:val="24"/>
          <w:szCs w:val="24"/>
        </w:rPr>
        <w:t xml:space="preserve"> desenvolvido por meio da análise e tabulação de artigos científicos acerca da influência da mídia no comportamento alimentar de adolescentes.</w:t>
      </w:r>
      <w:r>
        <w:rPr>
          <w:rFonts w:ascii="Arial" w:eastAsia="Arial" w:hAnsi="Arial" w:cs="Arial"/>
          <w:sz w:val="24"/>
          <w:szCs w:val="24"/>
        </w:rPr>
        <w:t xml:space="preserve"> </w:t>
      </w:r>
      <w:r w:rsidRPr="00775314">
        <w:rPr>
          <w:rFonts w:ascii="Arial" w:eastAsia="Arial" w:hAnsi="Arial" w:cs="Arial"/>
          <w:sz w:val="24"/>
          <w:szCs w:val="24"/>
        </w:rPr>
        <w:t>O processo metodológico foi conduzido em etapas sequenciais. Inicialmente, realizou-se um levantamento bibliográfico nas bases de dados Scientific Electronic Library Online (SciELO) e PubMed, no período de agosto a novembro de 2025.</w:t>
      </w:r>
    </w:p>
    <w:p w14:paraId="6D158446" w14:textId="77777777" w:rsidR="00775314" w:rsidRPr="00775314" w:rsidRDefault="00775314" w:rsidP="00775314">
      <w:pPr>
        <w:spacing w:line="360" w:lineRule="auto"/>
        <w:ind w:firstLine="708"/>
        <w:jc w:val="both"/>
        <w:rPr>
          <w:rFonts w:ascii="Arial" w:eastAsia="Arial" w:hAnsi="Arial" w:cs="Arial"/>
          <w:sz w:val="24"/>
          <w:szCs w:val="24"/>
        </w:rPr>
      </w:pPr>
      <w:r w:rsidRPr="00775314">
        <w:rPr>
          <w:rFonts w:ascii="Arial" w:eastAsia="Arial" w:hAnsi="Arial" w:cs="Arial"/>
          <w:sz w:val="24"/>
          <w:szCs w:val="24"/>
        </w:rPr>
        <w:t>Para a realização da busca, foram utilizados os seguintes descritores: “adolescentes”, “alimentação”, “comportamento alimentar”, “mídia”, “publicidade”, “alimentos ultraprocessados” e “redes sociais”, combinados entre si por meio de operadores booleanos (AND e OR), com o objetivo de ampliar e refinar os resultados obtidos.</w:t>
      </w:r>
    </w:p>
    <w:p w14:paraId="6D80627E" w14:textId="77777777" w:rsidR="00775314" w:rsidRPr="00775314" w:rsidRDefault="00775314" w:rsidP="00775314">
      <w:pPr>
        <w:spacing w:line="360" w:lineRule="auto"/>
        <w:ind w:firstLine="708"/>
        <w:jc w:val="both"/>
        <w:rPr>
          <w:rFonts w:ascii="Arial" w:eastAsia="Arial" w:hAnsi="Arial" w:cs="Arial"/>
          <w:sz w:val="24"/>
          <w:szCs w:val="24"/>
        </w:rPr>
      </w:pPr>
      <w:r w:rsidRPr="00775314">
        <w:rPr>
          <w:rFonts w:ascii="Arial" w:eastAsia="Arial" w:hAnsi="Arial" w:cs="Arial"/>
          <w:sz w:val="24"/>
          <w:szCs w:val="24"/>
        </w:rPr>
        <w:lastRenderedPageBreak/>
        <w:t>Como critérios de inclusão, foram considerados: artigos publicados entre os anos de 2020 e 2025, disponíveis na íntegra e de forma gratuita, em língua portuguesa, que abordassem diretamente a população adolescente (10 a 19 anos) e apresentassem relação com o comportamento alimentar e a influência da mídia e das redes sociais. Foram incluídos estudos com diferentes delineamentos metodológicos, desde que apresentassem resultados relevantes para o tema.</w:t>
      </w:r>
    </w:p>
    <w:p w14:paraId="714F7FB8" w14:textId="77777777" w:rsidR="00775314" w:rsidRPr="00775314" w:rsidRDefault="00775314" w:rsidP="00775314">
      <w:pPr>
        <w:spacing w:line="360" w:lineRule="auto"/>
        <w:ind w:firstLine="708"/>
        <w:jc w:val="both"/>
        <w:rPr>
          <w:rFonts w:ascii="Arial" w:eastAsia="Arial" w:hAnsi="Arial" w:cs="Arial"/>
          <w:sz w:val="24"/>
          <w:szCs w:val="24"/>
        </w:rPr>
      </w:pPr>
      <w:r w:rsidRPr="00775314">
        <w:rPr>
          <w:rFonts w:ascii="Arial" w:eastAsia="Arial" w:hAnsi="Arial" w:cs="Arial"/>
          <w:sz w:val="24"/>
          <w:szCs w:val="24"/>
        </w:rPr>
        <w:t>Como critérios de exclusão, foram considerados: artigos duplicados, estudos fora do período estabelecido, publicações não disponíveis na íntegra, trabalhos que não abordassem diretamente o tema proposto, estudos com foco exclusivo em adultos ou crianças, bem como resumos simples, editoriais, cartas ao leitor, dissertações, teses e trabalhos de conclusão de curso.</w:t>
      </w:r>
    </w:p>
    <w:p w14:paraId="11E3B11B" w14:textId="121F46A0" w:rsidR="00775314" w:rsidRDefault="00775314" w:rsidP="00775314">
      <w:pPr>
        <w:spacing w:line="360" w:lineRule="auto"/>
        <w:ind w:firstLine="708"/>
        <w:jc w:val="both"/>
        <w:rPr>
          <w:rFonts w:ascii="Arial" w:eastAsia="Arial" w:hAnsi="Arial" w:cs="Arial"/>
          <w:sz w:val="24"/>
          <w:szCs w:val="24"/>
        </w:rPr>
      </w:pPr>
      <w:r w:rsidRPr="00775314">
        <w:rPr>
          <w:rFonts w:ascii="Arial" w:eastAsia="Arial" w:hAnsi="Arial" w:cs="Arial"/>
          <w:sz w:val="24"/>
          <w:szCs w:val="24"/>
        </w:rPr>
        <w:t xml:space="preserve">Na etapa inicial da busca, foram identificados 42 artigos potencialmente relevantes. Após a leitura dos títulos e resumos, </w:t>
      </w:r>
      <w:r w:rsidR="00AA0EA9">
        <w:rPr>
          <w:rFonts w:ascii="Arial" w:eastAsia="Arial" w:hAnsi="Arial" w:cs="Arial"/>
          <w:sz w:val="24"/>
          <w:szCs w:val="24"/>
        </w:rPr>
        <w:t>22</w:t>
      </w:r>
      <w:r w:rsidRPr="00775314">
        <w:rPr>
          <w:rFonts w:ascii="Arial" w:eastAsia="Arial" w:hAnsi="Arial" w:cs="Arial"/>
          <w:sz w:val="24"/>
          <w:szCs w:val="24"/>
        </w:rPr>
        <w:t xml:space="preserve"> estudos foram excluídos por não apresentarem relação direta com o tema da pesquisa. Em seguida, foi realizada a leitura completa dos </w:t>
      </w:r>
      <w:r w:rsidR="00AA0EA9">
        <w:rPr>
          <w:rFonts w:ascii="Arial" w:eastAsia="Arial" w:hAnsi="Arial" w:cs="Arial"/>
          <w:sz w:val="24"/>
          <w:szCs w:val="24"/>
        </w:rPr>
        <w:t xml:space="preserve">20 </w:t>
      </w:r>
      <w:r w:rsidRPr="00775314">
        <w:rPr>
          <w:rFonts w:ascii="Arial" w:eastAsia="Arial" w:hAnsi="Arial" w:cs="Arial"/>
          <w:sz w:val="24"/>
          <w:szCs w:val="24"/>
        </w:rPr>
        <w:t xml:space="preserve"> artigos restantes, sendo excluídos </w:t>
      </w:r>
      <w:r w:rsidR="00AA0EA9">
        <w:rPr>
          <w:rFonts w:ascii="Arial" w:eastAsia="Arial" w:hAnsi="Arial" w:cs="Arial"/>
          <w:sz w:val="24"/>
          <w:szCs w:val="24"/>
        </w:rPr>
        <w:t>9</w:t>
      </w:r>
      <w:r w:rsidRPr="00775314">
        <w:rPr>
          <w:rFonts w:ascii="Arial" w:eastAsia="Arial" w:hAnsi="Arial" w:cs="Arial"/>
          <w:sz w:val="24"/>
          <w:szCs w:val="24"/>
        </w:rPr>
        <w:t xml:space="preserve"> por não atenderem aos critérios de inclusão estabelecidos. Dessa forma, a amostra final foi composta por </w:t>
      </w:r>
      <w:r w:rsidR="00AA0EA9">
        <w:rPr>
          <w:rFonts w:ascii="Arial" w:eastAsia="Arial" w:hAnsi="Arial" w:cs="Arial"/>
          <w:sz w:val="24"/>
          <w:szCs w:val="24"/>
        </w:rPr>
        <w:t xml:space="preserve">11 </w:t>
      </w:r>
      <w:r w:rsidRPr="00775314">
        <w:rPr>
          <w:rFonts w:ascii="Arial" w:eastAsia="Arial" w:hAnsi="Arial" w:cs="Arial"/>
          <w:sz w:val="24"/>
          <w:szCs w:val="24"/>
        </w:rPr>
        <w:t xml:space="preserve"> artigos.</w:t>
      </w:r>
    </w:p>
    <w:p w14:paraId="300E3E58" w14:textId="77777777" w:rsidR="00775314" w:rsidRPr="00775314" w:rsidRDefault="00775314" w:rsidP="00775314">
      <w:pPr>
        <w:spacing w:line="360" w:lineRule="auto"/>
        <w:ind w:firstLine="708"/>
        <w:jc w:val="both"/>
        <w:rPr>
          <w:rFonts w:ascii="Arial" w:eastAsia="Arial" w:hAnsi="Arial" w:cs="Arial"/>
          <w:sz w:val="24"/>
          <w:szCs w:val="24"/>
        </w:rPr>
      </w:pPr>
    </w:p>
    <w:p w14:paraId="284411D3" w14:textId="34C0551E" w:rsidR="00C61355" w:rsidRDefault="00AA0EA9" w:rsidP="00C61355">
      <w:pPr>
        <w:spacing w:line="360" w:lineRule="auto"/>
        <w:jc w:val="center"/>
        <w:rPr>
          <w:rFonts w:ascii="Arial" w:eastAsia="Arial" w:hAnsi="Arial" w:cs="Arial"/>
          <w:sz w:val="24"/>
          <w:szCs w:val="24"/>
        </w:rPr>
      </w:pPr>
      <w:r>
        <w:rPr>
          <w:noProof/>
        </w:rPr>
        <w:drawing>
          <wp:inline distT="0" distB="0" distL="0" distR="0" wp14:anchorId="2DCE3DD9" wp14:editId="5C277743">
            <wp:extent cx="4733925" cy="40481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33925" cy="4048125"/>
                    </a:xfrm>
                    <a:prstGeom prst="rect">
                      <a:avLst/>
                    </a:prstGeom>
                  </pic:spPr>
                </pic:pic>
              </a:graphicData>
            </a:graphic>
          </wp:inline>
        </w:drawing>
      </w:r>
    </w:p>
    <w:p w14:paraId="1E1FAA6D" w14:textId="77777777" w:rsidR="00847CF3" w:rsidRPr="00847CF3" w:rsidRDefault="00847CF3" w:rsidP="00847CF3">
      <w:pPr>
        <w:spacing w:line="360" w:lineRule="auto"/>
        <w:rPr>
          <w:rFonts w:ascii="Arial" w:eastAsia="Arial" w:hAnsi="Arial" w:cs="Arial"/>
          <w:sz w:val="20"/>
          <w:szCs w:val="20"/>
        </w:rPr>
      </w:pPr>
      <w:r w:rsidRPr="00847CF3">
        <w:rPr>
          <w:rFonts w:ascii="Arial" w:eastAsia="Arial" w:hAnsi="Arial" w:cs="Arial"/>
          <w:b/>
          <w:bCs/>
          <w:sz w:val="20"/>
          <w:szCs w:val="20"/>
        </w:rPr>
        <w:t>Figura 1 –</w:t>
      </w:r>
      <w:r w:rsidRPr="00847CF3">
        <w:rPr>
          <w:rFonts w:ascii="Arial" w:eastAsia="Arial" w:hAnsi="Arial" w:cs="Arial"/>
          <w:sz w:val="20"/>
          <w:szCs w:val="20"/>
        </w:rPr>
        <w:t xml:space="preserve"> Fluxo de seleção dos artigos incluídos no estudo</w:t>
      </w:r>
    </w:p>
    <w:p w14:paraId="6DE527E0" w14:textId="77777777" w:rsidR="008E1072" w:rsidRDefault="008E1072" w:rsidP="00C61355">
      <w:pPr>
        <w:spacing w:before="120"/>
        <w:jc w:val="both"/>
        <w:rPr>
          <w:rFonts w:ascii="Arial" w:eastAsia="Arial" w:hAnsi="Arial" w:cs="Arial"/>
          <w:sz w:val="20"/>
          <w:szCs w:val="20"/>
        </w:rPr>
      </w:pPr>
    </w:p>
    <w:p w14:paraId="3DF56877" w14:textId="77777777" w:rsidR="008E1072" w:rsidRPr="00775314" w:rsidRDefault="008E1072" w:rsidP="008E1072">
      <w:pPr>
        <w:spacing w:line="360" w:lineRule="auto"/>
        <w:ind w:firstLine="708"/>
        <w:jc w:val="both"/>
        <w:rPr>
          <w:rFonts w:ascii="Arial" w:eastAsia="Arial" w:hAnsi="Arial" w:cs="Arial"/>
          <w:sz w:val="24"/>
          <w:szCs w:val="24"/>
        </w:rPr>
      </w:pPr>
      <w:r w:rsidRPr="00775314">
        <w:rPr>
          <w:rFonts w:ascii="Arial" w:eastAsia="Arial" w:hAnsi="Arial" w:cs="Arial"/>
          <w:sz w:val="24"/>
          <w:szCs w:val="24"/>
        </w:rPr>
        <w:t xml:space="preserve">A partir da tabulação, foi realizada uma análise qualitativa dos dados, permitindo a </w:t>
      </w:r>
      <w:r w:rsidRPr="00775314">
        <w:rPr>
          <w:rFonts w:ascii="Arial" w:eastAsia="Arial" w:hAnsi="Arial" w:cs="Arial"/>
          <w:sz w:val="24"/>
          <w:szCs w:val="24"/>
        </w:rPr>
        <w:lastRenderedPageBreak/>
        <w:t>comparação entre os estudos e a identificação de padrões, convergências e divergências nos achados científicos. Essa análise possibilitou uma interpretação crítica das evidências, especialmente no que se refere à influência da mídia e das redes sociais sobre os hábitos alimentares e o estado nutricional de adolescentes.</w:t>
      </w:r>
    </w:p>
    <w:p w14:paraId="4E4A3C7C" w14:textId="77777777" w:rsidR="00C61355" w:rsidRPr="00C61355" w:rsidRDefault="00C61355" w:rsidP="00C61355">
      <w:pPr>
        <w:spacing w:before="120"/>
        <w:jc w:val="both"/>
        <w:rPr>
          <w:rFonts w:ascii="Arial" w:eastAsia="Arial" w:hAnsi="Arial" w:cs="Arial"/>
          <w:sz w:val="20"/>
          <w:szCs w:val="20"/>
        </w:rPr>
      </w:pPr>
    </w:p>
    <w:p w14:paraId="5DA31ADF" w14:textId="035A1A29" w:rsidR="008E1072" w:rsidRDefault="008E1072" w:rsidP="008E1072">
      <w:pPr>
        <w:pStyle w:val="Ttulo1"/>
        <w:spacing w:line="360" w:lineRule="auto"/>
        <w:rPr>
          <w:color w:val="1F4081"/>
          <w:spacing w:val="-2"/>
          <w:w w:val="95"/>
        </w:rPr>
      </w:pPr>
      <w:r>
        <w:rPr>
          <w:color w:val="1F4081"/>
          <w:spacing w:val="-2"/>
          <w:w w:val="95"/>
        </w:rPr>
        <w:t>RESULTADOS</w:t>
      </w:r>
    </w:p>
    <w:p w14:paraId="32AA4EA4" w14:textId="77777777" w:rsidR="008E1072" w:rsidRDefault="008E1072" w:rsidP="008E1072">
      <w:pPr>
        <w:pStyle w:val="Ttulo1"/>
        <w:spacing w:line="360" w:lineRule="auto"/>
        <w:rPr>
          <w:color w:val="1F4081"/>
          <w:spacing w:val="-2"/>
          <w:w w:val="95"/>
        </w:rPr>
      </w:pPr>
    </w:p>
    <w:p w14:paraId="1E3BBEDB" w14:textId="77777777" w:rsidR="00695540" w:rsidRPr="00412403" w:rsidRDefault="00412403" w:rsidP="00695540">
      <w:pPr>
        <w:spacing w:line="360" w:lineRule="auto"/>
        <w:ind w:firstLine="708"/>
        <w:jc w:val="both"/>
        <w:rPr>
          <w:rFonts w:ascii="Arial" w:eastAsia="Arial" w:hAnsi="Arial" w:cs="Arial"/>
          <w:sz w:val="24"/>
          <w:szCs w:val="24"/>
        </w:rPr>
      </w:pPr>
      <w:r w:rsidRPr="00412403">
        <w:rPr>
          <w:rFonts w:ascii="Arial" w:eastAsia="Arial" w:hAnsi="Arial" w:cs="Arial"/>
          <w:sz w:val="24"/>
          <w:szCs w:val="24"/>
        </w:rPr>
        <w:t>Os principais achados dos estudos selecionados estão apresentados na Tabela 1, a qual sintetiza as características metodológicas, objetivos e resultados das pesquisas analisadas, permitindo uma visão comparativa das evidências disponíveis sobre a influência da mídia no comportamento alimentar de adolescentes.</w:t>
      </w:r>
      <w:r w:rsidR="00695540">
        <w:rPr>
          <w:rFonts w:ascii="Arial" w:eastAsia="Arial" w:hAnsi="Arial" w:cs="Arial"/>
          <w:sz w:val="24"/>
          <w:szCs w:val="24"/>
        </w:rPr>
        <w:t xml:space="preserve"> </w:t>
      </w:r>
      <w:r w:rsidR="00695540" w:rsidRPr="00412403">
        <w:rPr>
          <w:rFonts w:ascii="Arial" w:eastAsia="Arial" w:hAnsi="Arial" w:cs="Arial"/>
          <w:sz w:val="24"/>
          <w:szCs w:val="24"/>
        </w:rPr>
        <w:t>A análise dos 11 estudos selecionados evidenciou que a influência da mídia no comportamento alimentar de adolescentes se manifesta de forma consistente, porém com diferentes níveis de impacto a depender do tipo de exposição e dos desfechos avaliados.</w:t>
      </w:r>
    </w:p>
    <w:p w14:paraId="7515A123" w14:textId="77777777" w:rsidR="00695540" w:rsidRPr="00412403" w:rsidRDefault="00695540" w:rsidP="00695540">
      <w:pPr>
        <w:spacing w:line="360" w:lineRule="auto"/>
        <w:ind w:firstLine="708"/>
        <w:jc w:val="both"/>
        <w:rPr>
          <w:rFonts w:ascii="Arial" w:eastAsia="Arial" w:hAnsi="Arial" w:cs="Arial"/>
          <w:sz w:val="24"/>
          <w:szCs w:val="24"/>
        </w:rPr>
      </w:pPr>
      <w:r w:rsidRPr="00412403">
        <w:rPr>
          <w:rFonts w:ascii="Arial" w:eastAsia="Arial" w:hAnsi="Arial" w:cs="Arial"/>
          <w:sz w:val="24"/>
          <w:szCs w:val="24"/>
        </w:rPr>
        <w:t>No que se refere ao consumo alimentar, Micheletti e Melo (2020) apontam que aproximadamente 72% dos estudos analisados identificaram alterações significativas nas preferências alimentares após a exposição a conteúdos midiáticos, especialmente aqueles relacionados à publicidade de alimentos. Esse achado converge com Cruz et al. (2021), que observaram uma padronização de hábitos alimentares não saudáveis em diferentes países, marcada pelo aumento do consumo de alimentos ultraprocessados entre crianças e adolescentes.</w:t>
      </w:r>
    </w:p>
    <w:p w14:paraId="59D3A3CA" w14:textId="77777777" w:rsidR="00695540" w:rsidRPr="00412403" w:rsidRDefault="00695540" w:rsidP="00695540">
      <w:pPr>
        <w:spacing w:line="360" w:lineRule="auto"/>
        <w:ind w:firstLine="708"/>
        <w:jc w:val="both"/>
        <w:rPr>
          <w:rFonts w:ascii="Arial" w:eastAsia="Arial" w:hAnsi="Arial" w:cs="Arial"/>
          <w:sz w:val="24"/>
          <w:szCs w:val="24"/>
        </w:rPr>
      </w:pPr>
      <w:r w:rsidRPr="00412403">
        <w:rPr>
          <w:rFonts w:ascii="Arial" w:eastAsia="Arial" w:hAnsi="Arial" w:cs="Arial"/>
          <w:sz w:val="24"/>
          <w:szCs w:val="24"/>
        </w:rPr>
        <w:t>Entretanto, ao considerar estudos com dados empíricos, verifica-se que essa influência não ocorre de forma isolada. Barbalho et al. (2020) identificaram que 90% dos adolescentes avaliados apresentavam consumo alimentar inadequado associado ao comportamento sedentário, indicando que a mídia atua como um fator potencializador dentro de um conjunto mais amplo de determinantes. De forma complementar, Silva et al. (2022) demonstraram que o consumo de alimentos ultraprocessados está associado a variáveis como tempo de tela, renda familiar e escolaridade dos pais, evidenciando a natureza multifatorial do comportamento alimentar.</w:t>
      </w:r>
    </w:p>
    <w:p w14:paraId="273F61C3" w14:textId="77777777" w:rsidR="00695540" w:rsidRPr="00412403" w:rsidRDefault="00695540" w:rsidP="00695540">
      <w:pPr>
        <w:spacing w:line="360" w:lineRule="auto"/>
        <w:ind w:firstLine="708"/>
        <w:jc w:val="both"/>
        <w:rPr>
          <w:rFonts w:ascii="Arial" w:eastAsia="Arial" w:hAnsi="Arial" w:cs="Arial"/>
          <w:sz w:val="24"/>
          <w:szCs w:val="24"/>
        </w:rPr>
      </w:pPr>
      <w:r w:rsidRPr="00412403">
        <w:rPr>
          <w:rFonts w:ascii="Arial" w:eastAsia="Arial" w:hAnsi="Arial" w:cs="Arial"/>
          <w:sz w:val="24"/>
          <w:szCs w:val="24"/>
        </w:rPr>
        <w:t>No que diz respeito à imagem corporal, os estudos analisados apresentaram maior convergência. Bittar e Soares (2020) e Lopes e Trajano (2021) destacam que a exposição a padrões estéticos difundidos pela mídia está associada ao aumento da insatisfação corporal e ao risco de desenvolvimento de transtornos alimentares em adolescentes. Diferentemente dos estudos relacionados ao consumo alimentar, nessa dimensão observa-se uma relação mais direta entre mídia e desfechos negativos, com menor divergência entre os autores.</w:t>
      </w:r>
    </w:p>
    <w:p w14:paraId="45964676" w14:textId="77777777" w:rsidR="00695540" w:rsidRPr="00412403" w:rsidRDefault="00695540" w:rsidP="00695540">
      <w:pPr>
        <w:spacing w:line="360" w:lineRule="auto"/>
        <w:ind w:firstLine="708"/>
        <w:jc w:val="both"/>
        <w:rPr>
          <w:rFonts w:ascii="Arial" w:eastAsia="Arial" w:hAnsi="Arial" w:cs="Arial"/>
          <w:sz w:val="24"/>
          <w:szCs w:val="24"/>
        </w:rPr>
      </w:pPr>
      <w:r w:rsidRPr="00412403">
        <w:rPr>
          <w:rFonts w:ascii="Arial" w:eastAsia="Arial" w:hAnsi="Arial" w:cs="Arial"/>
          <w:sz w:val="24"/>
          <w:szCs w:val="24"/>
        </w:rPr>
        <w:t xml:space="preserve">Em relação ao uso de mídias digitais, Vieira et al. (2022) identificaram que 35,9% dos </w:t>
      </w:r>
      <w:r w:rsidRPr="00412403">
        <w:rPr>
          <w:rFonts w:ascii="Arial" w:eastAsia="Arial" w:hAnsi="Arial" w:cs="Arial"/>
          <w:sz w:val="24"/>
          <w:szCs w:val="24"/>
        </w:rPr>
        <w:lastRenderedPageBreak/>
        <w:t>adolescentes avaliados faziam uso excessivo de redes sociais, definido como mais de cinco horas diárias, sendo esse comportamento associado a desfechos negativos como ansiedade, estresse e baixa autoestima. Esses resultados dialogam com os dados do CGI.br (2022), que evidenciam uma taxa de 93% de adolescentes brasileiros usuários de internet, indicando elevada exposição a conteúdos midiáticos e, consequentemente, maior vulnerabilidade aos seus efeitos.</w:t>
      </w:r>
    </w:p>
    <w:p w14:paraId="311A07CB" w14:textId="77777777" w:rsidR="00695540" w:rsidRPr="00412403" w:rsidRDefault="00695540" w:rsidP="00695540">
      <w:pPr>
        <w:spacing w:line="360" w:lineRule="auto"/>
        <w:ind w:firstLine="708"/>
        <w:jc w:val="both"/>
        <w:rPr>
          <w:rFonts w:ascii="Arial" w:eastAsia="Arial" w:hAnsi="Arial" w:cs="Arial"/>
          <w:sz w:val="24"/>
          <w:szCs w:val="24"/>
        </w:rPr>
      </w:pPr>
      <w:r w:rsidRPr="00412403">
        <w:rPr>
          <w:rFonts w:ascii="Arial" w:eastAsia="Arial" w:hAnsi="Arial" w:cs="Arial"/>
          <w:sz w:val="24"/>
          <w:szCs w:val="24"/>
        </w:rPr>
        <w:t>Por outro lado, alguns estudos ampliam a discussão ao evidenciar lacunas na produção científica. Assis et al. (2020), ao analisarem 348 publicações sobre adolescência, destacam a necessidade de maior integração entre aspectos sociais, comportamentais e de saúde, sugerindo que a influência da mídia ainda é frequentemente abordada de forma fragmentada na literatura.</w:t>
      </w:r>
    </w:p>
    <w:p w14:paraId="4EA9B1F0" w14:textId="77777777" w:rsidR="00695540" w:rsidRPr="00412403" w:rsidRDefault="00695540" w:rsidP="00695540">
      <w:pPr>
        <w:spacing w:line="360" w:lineRule="auto"/>
        <w:ind w:firstLine="708"/>
        <w:jc w:val="both"/>
        <w:rPr>
          <w:rFonts w:ascii="Arial" w:eastAsia="Arial" w:hAnsi="Arial" w:cs="Arial"/>
          <w:sz w:val="24"/>
          <w:szCs w:val="24"/>
        </w:rPr>
      </w:pPr>
      <w:r w:rsidRPr="00412403">
        <w:rPr>
          <w:rFonts w:ascii="Arial" w:eastAsia="Arial" w:hAnsi="Arial" w:cs="Arial"/>
          <w:sz w:val="24"/>
          <w:szCs w:val="24"/>
        </w:rPr>
        <w:t>Dessa forma, os resultados demonstram que, embora haja consenso quanto à influência da mídia no comportamento alimentar de adolescentes, os estudos divergem quanto à intensidade e aos mecanismos dessa influência. Enquanto alguns autores apontam efeitos mais diretos sobre escolhas alimentares e imagem corporal, outros evidenciam a interação com fatores socioeconômicos, familiares e comportamentais, reforçando o caráter complexo e multifatorial desse fenômeno.</w:t>
      </w:r>
    </w:p>
    <w:p w14:paraId="2D615223" w14:textId="5F1C310F" w:rsidR="00412403" w:rsidRDefault="00412403" w:rsidP="008E1072">
      <w:pPr>
        <w:spacing w:line="360" w:lineRule="auto"/>
        <w:ind w:firstLine="708"/>
        <w:jc w:val="both"/>
        <w:rPr>
          <w:rFonts w:ascii="Arial" w:eastAsia="Arial" w:hAnsi="Arial" w:cs="Arial"/>
          <w:sz w:val="24"/>
          <w:szCs w:val="24"/>
        </w:rPr>
      </w:pPr>
    </w:p>
    <w:p w14:paraId="2E0F3F45" w14:textId="5E568B98" w:rsidR="00847CF3" w:rsidRDefault="00847CF3">
      <w:pPr>
        <w:rPr>
          <w:rFonts w:ascii="Arial" w:eastAsia="Arial" w:hAnsi="Arial" w:cs="Arial"/>
          <w:b/>
          <w:bCs/>
          <w:sz w:val="24"/>
          <w:szCs w:val="24"/>
        </w:rPr>
      </w:pPr>
      <w:r>
        <w:rPr>
          <w:rFonts w:ascii="Arial" w:eastAsia="Arial" w:hAnsi="Arial" w:cs="Arial"/>
          <w:b/>
          <w:bCs/>
          <w:sz w:val="24"/>
          <w:szCs w:val="24"/>
        </w:rPr>
        <w:br w:type="page"/>
      </w:r>
    </w:p>
    <w:p w14:paraId="59A9674D" w14:textId="77777777" w:rsidR="00847CF3" w:rsidRDefault="00847CF3" w:rsidP="00775314">
      <w:pPr>
        <w:spacing w:line="360" w:lineRule="auto"/>
        <w:jc w:val="center"/>
        <w:rPr>
          <w:rFonts w:ascii="Arial" w:eastAsia="Arial" w:hAnsi="Arial" w:cs="Arial"/>
          <w:b/>
          <w:bCs/>
          <w:sz w:val="24"/>
          <w:szCs w:val="24"/>
        </w:rPr>
        <w:sectPr w:rsidR="00847CF3" w:rsidSect="00624CBA">
          <w:pgSz w:w="11910" w:h="16850"/>
          <w:pgMar w:top="1000" w:right="992" w:bottom="1060" w:left="992" w:header="0" w:footer="864" w:gutter="0"/>
          <w:cols w:space="720"/>
        </w:sectPr>
      </w:pPr>
    </w:p>
    <w:p w14:paraId="39363FE7" w14:textId="77777777" w:rsidR="00C61355" w:rsidRPr="00847CF3" w:rsidRDefault="00C61355" w:rsidP="00775314">
      <w:pPr>
        <w:spacing w:line="360" w:lineRule="auto"/>
        <w:jc w:val="center"/>
        <w:rPr>
          <w:rFonts w:ascii="Arial" w:eastAsia="Arial" w:hAnsi="Arial" w:cs="Arial"/>
          <w:b/>
          <w:bCs/>
          <w:sz w:val="24"/>
          <w:szCs w:val="24"/>
        </w:rPr>
      </w:pPr>
    </w:p>
    <w:p w14:paraId="72E75134" w14:textId="58978DF8" w:rsidR="00775314" w:rsidRDefault="00775314" w:rsidP="00775314">
      <w:pPr>
        <w:spacing w:line="360" w:lineRule="auto"/>
        <w:jc w:val="center"/>
        <w:rPr>
          <w:rFonts w:ascii="Arial" w:eastAsia="Arial" w:hAnsi="Arial" w:cs="Arial"/>
          <w:sz w:val="24"/>
          <w:szCs w:val="24"/>
        </w:rPr>
      </w:pPr>
      <w:r w:rsidRPr="00847CF3">
        <w:rPr>
          <w:rFonts w:ascii="Arial" w:eastAsia="Arial" w:hAnsi="Arial" w:cs="Arial"/>
          <w:b/>
          <w:bCs/>
          <w:sz w:val="24"/>
          <w:szCs w:val="24"/>
        </w:rPr>
        <w:t>Tabela 1</w:t>
      </w:r>
      <w:r w:rsidRPr="00775314">
        <w:rPr>
          <w:rFonts w:ascii="Arial" w:eastAsia="Arial" w:hAnsi="Arial" w:cs="Arial"/>
          <w:sz w:val="24"/>
          <w:szCs w:val="24"/>
        </w:rPr>
        <w:t xml:space="preserve"> – Síntese dos artigos sobre comportamento alimentar em adolescentes e influência da mídia</w:t>
      </w:r>
    </w:p>
    <w:p w14:paraId="573FCE26" w14:textId="2C400AA4" w:rsidR="00695540" w:rsidRDefault="00695540" w:rsidP="00775314">
      <w:pPr>
        <w:spacing w:line="360" w:lineRule="auto"/>
        <w:jc w:val="center"/>
        <w:rPr>
          <w:rFonts w:ascii="Arial" w:eastAsia="Arial" w:hAnsi="Arial" w:cs="Arial"/>
          <w:sz w:val="24"/>
          <w:szCs w:val="24"/>
        </w:rPr>
      </w:pPr>
    </w:p>
    <w:tbl>
      <w:tblPr>
        <w:tblW w:w="5000" w:type="pct"/>
        <w:tblCellMar>
          <w:left w:w="70" w:type="dxa"/>
          <w:right w:w="70" w:type="dxa"/>
        </w:tblCellMar>
        <w:tblLook w:val="04A0" w:firstRow="1" w:lastRow="0" w:firstColumn="1" w:lastColumn="0" w:noHBand="0" w:noVBand="1"/>
      </w:tblPr>
      <w:tblGrid>
        <w:gridCol w:w="1385"/>
        <w:gridCol w:w="2500"/>
        <w:gridCol w:w="2500"/>
        <w:gridCol w:w="2781"/>
        <w:gridCol w:w="2642"/>
        <w:gridCol w:w="2964"/>
      </w:tblGrid>
      <w:tr w:rsidR="003A6C47" w:rsidRPr="003A6C47" w14:paraId="1AFA4006" w14:textId="77777777" w:rsidTr="003A6C47">
        <w:trPr>
          <w:trHeight w:val="615"/>
        </w:trPr>
        <w:tc>
          <w:tcPr>
            <w:tcW w:w="380" w:type="pct"/>
            <w:tcBorders>
              <w:top w:val="single" w:sz="8" w:space="0" w:color="DDDDDD"/>
              <w:left w:val="single" w:sz="8" w:space="0" w:color="DDDDDD"/>
              <w:bottom w:val="single" w:sz="8" w:space="0" w:color="DDDDDD"/>
              <w:right w:val="single" w:sz="8" w:space="0" w:color="DDDDDD"/>
            </w:tcBorders>
            <w:shd w:val="clear" w:color="000000" w:fill="F2F2F2"/>
            <w:vAlign w:val="center"/>
            <w:hideMark/>
          </w:tcPr>
          <w:p w14:paraId="686D25E6" w14:textId="77777777" w:rsidR="00847CF3" w:rsidRPr="003A6C47" w:rsidRDefault="00847CF3" w:rsidP="003A6C47">
            <w:pPr>
              <w:widowControl/>
              <w:autoSpaceDE/>
              <w:autoSpaceDN/>
              <w:jc w:val="center"/>
              <w:rPr>
                <w:rFonts w:ascii="Arial" w:eastAsia="Times New Roman" w:hAnsi="Arial" w:cs="Arial"/>
                <w:b/>
                <w:bCs/>
                <w:color w:val="000000"/>
                <w:sz w:val="20"/>
                <w:szCs w:val="20"/>
                <w:lang w:val="pt-BR" w:eastAsia="pt-BR"/>
              </w:rPr>
            </w:pPr>
            <w:r w:rsidRPr="003A6C47">
              <w:rPr>
                <w:rFonts w:ascii="Arial" w:eastAsia="Times New Roman" w:hAnsi="Arial" w:cs="Arial"/>
                <w:b/>
                <w:bCs/>
                <w:color w:val="000000"/>
                <w:sz w:val="20"/>
                <w:szCs w:val="20"/>
                <w:lang w:val="pt-BR" w:eastAsia="pt-BR"/>
              </w:rPr>
              <w:t>AUTOR/</w:t>
            </w:r>
          </w:p>
          <w:p w14:paraId="11CD4C32" w14:textId="79CA7EBE" w:rsidR="00A876E0" w:rsidRPr="003A6C47" w:rsidRDefault="00847CF3" w:rsidP="003A6C47">
            <w:pPr>
              <w:widowControl/>
              <w:autoSpaceDE/>
              <w:autoSpaceDN/>
              <w:jc w:val="center"/>
              <w:rPr>
                <w:rFonts w:ascii="Arial" w:eastAsia="Times New Roman" w:hAnsi="Arial" w:cs="Arial"/>
                <w:b/>
                <w:bCs/>
                <w:color w:val="000000"/>
                <w:sz w:val="20"/>
                <w:szCs w:val="20"/>
                <w:lang w:val="pt-BR" w:eastAsia="pt-BR"/>
              </w:rPr>
            </w:pPr>
            <w:r w:rsidRPr="003A6C47">
              <w:rPr>
                <w:rFonts w:ascii="Arial" w:eastAsia="Times New Roman" w:hAnsi="Arial" w:cs="Arial"/>
                <w:b/>
                <w:bCs/>
                <w:color w:val="000000"/>
                <w:sz w:val="20"/>
                <w:szCs w:val="20"/>
                <w:lang w:val="pt-BR" w:eastAsia="pt-BR"/>
              </w:rPr>
              <w:t>ANO</w:t>
            </w:r>
          </w:p>
        </w:tc>
        <w:tc>
          <w:tcPr>
            <w:tcW w:w="864" w:type="pct"/>
            <w:tcBorders>
              <w:top w:val="single" w:sz="8" w:space="0" w:color="DDDDDD"/>
              <w:left w:val="nil"/>
              <w:bottom w:val="single" w:sz="8" w:space="0" w:color="DDDDDD"/>
              <w:right w:val="single" w:sz="8" w:space="0" w:color="DDDDDD"/>
            </w:tcBorders>
            <w:shd w:val="clear" w:color="000000" w:fill="F2F2F2"/>
            <w:vAlign w:val="center"/>
            <w:hideMark/>
          </w:tcPr>
          <w:p w14:paraId="0BF0CD7E" w14:textId="77777777" w:rsidR="00A876E0" w:rsidRPr="003A6C47" w:rsidRDefault="00A876E0" w:rsidP="003A6C47">
            <w:pPr>
              <w:widowControl/>
              <w:autoSpaceDE/>
              <w:autoSpaceDN/>
              <w:jc w:val="center"/>
              <w:rPr>
                <w:rFonts w:ascii="Arial" w:eastAsia="Times New Roman" w:hAnsi="Arial" w:cs="Arial"/>
                <w:b/>
                <w:bCs/>
                <w:color w:val="000000"/>
                <w:sz w:val="20"/>
                <w:szCs w:val="20"/>
                <w:lang w:val="pt-BR" w:eastAsia="pt-BR"/>
              </w:rPr>
            </w:pPr>
            <w:r w:rsidRPr="003A6C47">
              <w:rPr>
                <w:rFonts w:ascii="Arial" w:eastAsia="Times New Roman" w:hAnsi="Arial" w:cs="Arial"/>
                <w:b/>
                <w:bCs/>
                <w:color w:val="000000"/>
                <w:sz w:val="20"/>
                <w:szCs w:val="20"/>
                <w:lang w:val="pt-BR" w:eastAsia="pt-BR"/>
              </w:rPr>
              <w:t>OBJETIVO</w:t>
            </w:r>
          </w:p>
        </w:tc>
        <w:tc>
          <w:tcPr>
            <w:tcW w:w="864" w:type="pct"/>
            <w:tcBorders>
              <w:top w:val="single" w:sz="8" w:space="0" w:color="DDDDDD"/>
              <w:left w:val="nil"/>
              <w:bottom w:val="single" w:sz="8" w:space="0" w:color="DDDDDD"/>
              <w:right w:val="single" w:sz="8" w:space="0" w:color="DDDDDD"/>
            </w:tcBorders>
            <w:shd w:val="clear" w:color="000000" w:fill="F2F2F2"/>
            <w:vAlign w:val="center"/>
            <w:hideMark/>
          </w:tcPr>
          <w:p w14:paraId="30081E83" w14:textId="77777777" w:rsidR="00A876E0" w:rsidRPr="003A6C47" w:rsidRDefault="00A876E0" w:rsidP="003A6C47">
            <w:pPr>
              <w:widowControl/>
              <w:autoSpaceDE/>
              <w:autoSpaceDN/>
              <w:jc w:val="center"/>
              <w:rPr>
                <w:rFonts w:ascii="Arial" w:eastAsia="Times New Roman" w:hAnsi="Arial" w:cs="Arial"/>
                <w:b/>
                <w:bCs/>
                <w:color w:val="000000"/>
                <w:sz w:val="20"/>
                <w:szCs w:val="20"/>
                <w:lang w:val="pt-BR" w:eastAsia="pt-BR"/>
              </w:rPr>
            </w:pPr>
            <w:r w:rsidRPr="003A6C47">
              <w:rPr>
                <w:rFonts w:ascii="Arial" w:eastAsia="Times New Roman" w:hAnsi="Arial" w:cs="Arial"/>
                <w:b/>
                <w:bCs/>
                <w:color w:val="000000"/>
                <w:sz w:val="20"/>
                <w:szCs w:val="20"/>
                <w:lang w:val="pt-BR" w:eastAsia="pt-BR"/>
              </w:rPr>
              <w:t>METODOLOGIA</w:t>
            </w:r>
          </w:p>
        </w:tc>
        <w:tc>
          <w:tcPr>
            <w:tcW w:w="959" w:type="pct"/>
            <w:tcBorders>
              <w:top w:val="single" w:sz="8" w:space="0" w:color="DDDDDD"/>
              <w:left w:val="nil"/>
              <w:bottom w:val="single" w:sz="8" w:space="0" w:color="DDDDDD"/>
              <w:right w:val="single" w:sz="8" w:space="0" w:color="DDDDDD"/>
            </w:tcBorders>
            <w:shd w:val="clear" w:color="000000" w:fill="F2F2F2"/>
            <w:vAlign w:val="center"/>
            <w:hideMark/>
          </w:tcPr>
          <w:p w14:paraId="428742DC" w14:textId="77777777" w:rsidR="00A876E0" w:rsidRPr="003A6C47" w:rsidRDefault="00A876E0" w:rsidP="003A6C47">
            <w:pPr>
              <w:widowControl/>
              <w:autoSpaceDE/>
              <w:autoSpaceDN/>
              <w:jc w:val="center"/>
              <w:rPr>
                <w:rFonts w:ascii="Arial" w:eastAsia="Times New Roman" w:hAnsi="Arial" w:cs="Arial"/>
                <w:b/>
                <w:bCs/>
                <w:color w:val="000000"/>
                <w:sz w:val="20"/>
                <w:szCs w:val="20"/>
                <w:lang w:val="pt-BR" w:eastAsia="pt-BR"/>
              </w:rPr>
            </w:pPr>
            <w:r w:rsidRPr="003A6C47">
              <w:rPr>
                <w:rFonts w:ascii="Arial" w:eastAsia="Times New Roman" w:hAnsi="Arial" w:cs="Arial"/>
                <w:b/>
                <w:bCs/>
                <w:color w:val="000000"/>
                <w:sz w:val="20"/>
                <w:szCs w:val="20"/>
                <w:lang w:val="pt-BR" w:eastAsia="pt-BR"/>
              </w:rPr>
              <w:t>CONCEITOS</w:t>
            </w:r>
          </w:p>
        </w:tc>
        <w:tc>
          <w:tcPr>
            <w:tcW w:w="912" w:type="pct"/>
            <w:tcBorders>
              <w:top w:val="single" w:sz="8" w:space="0" w:color="DDDDDD"/>
              <w:left w:val="nil"/>
              <w:bottom w:val="single" w:sz="8" w:space="0" w:color="DDDDDD"/>
              <w:right w:val="single" w:sz="8" w:space="0" w:color="DDDDDD"/>
            </w:tcBorders>
            <w:shd w:val="clear" w:color="000000" w:fill="F2F2F2"/>
            <w:vAlign w:val="center"/>
            <w:hideMark/>
          </w:tcPr>
          <w:p w14:paraId="5A1CBF65" w14:textId="77777777" w:rsidR="00A876E0" w:rsidRPr="003A6C47" w:rsidRDefault="00A876E0" w:rsidP="003A6C47">
            <w:pPr>
              <w:widowControl/>
              <w:autoSpaceDE/>
              <w:autoSpaceDN/>
              <w:jc w:val="center"/>
              <w:rPr>
                <w:rFonts w:ascii="Arial" w:eastAsia="Times New Roman" w:hAnsi="Arial" w:cs="Arial"/>
                <w:b/>
                <w:bCs/>
                <w:color w:val="000000"/>
                <w:sz w:val="20"/>
                <w:szCs w:val="20"/>
                <w:lang w:val="pt-BR" w:eastAsia="pt-BR"/>
              </w:rPr>
            </w:pPr>
            <w:r w:rsidRPr="003A6C47">
              <w:rPr>
                <w:rFonts w:ascii="Arial" w:eastAsia="Times New Roman" w:hAnsi="Arial" w:cs="Arial"/>
                <w:b/>
                <w:bCs/>
                <w:color w:val="000000"/>
                <w:sz w:val="20"/>
                <w:szCs w:val="20"/>
                <w:lang w:val="pt-BR" w:eastAsia="pt-BR"/>
              </w:rPr>
              <w:t>RESULTADOS</w:t>
            </w:r>
          </w:p>
        </w:tc>
        <w:tc>
          <w:tcPr>
            <w:tcW w:w="1021" w:type="pct"/>
            <w:tcBorders>
              <w:top w:val="single" w:sz="8" w:space="0" w:color="DDDDDD"/>
              <w:left w:val="nil"/>
              <w:bottom w:val="single" w:sz="8" w:space="0" w:color="DDDDDD"/>
              <w:right w:val="single" w:sz="8" w:space="0" w:color="DDDDDD"/>
            </w:tcBorders>
            <w:shd w:val="clear" w:color="000000" w:fill="F2F2F2"/>
            <w:vAlign w:val="center"/>
            <w:hideMark/>
          </w:tcPr>
          <w:p w14:paraId="1BE77EDA" w14:textId="77777777" w:rsidR="00A876E0" w:rsidRPr="003A6C47" w:rsidRDefault="00A876E0" w:rsidP="003A6C47">
            <w:pPr>
              <w:widowControl/>
              <w:autoSpaceDE/>
              <w:autoSpaceDN/>
              <w:jc w:val="center"/>
              <w:rPr>
                <w:rFonts w:ascii="Arial" w:eastAsia="Times New Roman" w:hAnsi="Arial" w:cs="Arial"/>
                <w:b/>
                <w:bCs/>
                <w:color w:val="000000"/>
                <w:sz w:val="20"/>
                <w:szCs w:val="20"/>
                <w:lang w:val="pt-BR" w:eastAsia="pt-BR"/>
              </w:rPr>
            </w:pPr>
            <w:r w:rsidRPr="003A6C47">
              <w:rPr>
                <w:rFonts w:ascii="Arial" w:eastAsia="Times New Roman" w:hAnsi="Arial" w:cs="Arial"/>
                <w:b/>
                <w:bCs/>
                <w:color w:val="000000"/>
                <w:sz w:val="20"/>
                <w:szCs w:val="20"/>
                <w:lang w:val="pt-BR" w:eastAsia="pt-BR"/>
              </w:rPr>
              <w:t>CONCLUSÃO</w:t>
            </w:r>
          </w:p>
        </w:tc>
      </w:tr>
      <w:tr w:rsidR="003A6C47" w:rsidRPr="003A6C47" w14:paraId="291FD073" w14:textId="77777777" w:rsidTr="003A6C47">
        <w:trPr>
          <w:trHeight w:val="530"/>
        </w:trPr>
        <w:tc>
          <w:tcPr>
            <w:tcW w:w="380" w:type="pct"/>
            <w:tcBorders>
              <w:top w:val="nil"/>
              <w:left w:val="single" w:sz="8" w:space="0" w:color="DDDDDD"/>
              <w:bottom w:val="single" w:sz="8" w:space="0" w:color="DDDDDD"/>
              <w:right w:val="single" w:sz="8" w:space="0" w:color="DDDDDD"/>
            </w:tcBorders>
            <w:vAlign w:val="center"/>
            <w:hideMark/>
          </w:tcPr>
          <w:p w14:paraId="0D76DCF5" w14:textId="5A3FE45D" w:rsidR="00A876E0" w:rsidRPr="003A6C47" w:rsidRDefault="00A876E0" w:rsidP="003A6C47">
            <w:pPr>
              <w:widowControl/>
              <w:autoSpaceDE/>
              <w:autoSpaceDN/>
              <w:jc w:val="center"/>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ASSIS et al. (2020).</w:t>
            </w:r>
          </w:p>
        </w:tc>
        <w:tc>
          <w:tcPr>
            <w:tcW w:w="864" w:type="pct"/>
            <w:tcBorders>
              <w:top w:val="nil"/>
              <w:left w:val="nil"/>
              <w:bottom w:val="single" w:sz="8" w:space="0" w:color="DDDDDD"/>
              <w:right w:val="single" w:sz="8" w:space="0" w:color="DDDDDD"/>
            </w:tcBorders>
            <w:vAlign w:val="center"/>
            <w:hideMark/>
          </w:tcPr>
          <w:p w14:paraId="24074E04"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Compreender o desenvolvimento do conhecimento científico sobre a adolescência na área de saúde coletiva entre 1996 e 2020.</w:t>
            </w:r>
          </w:p>
        </w:tc>
        <w:tc>
          <w:tcPr>
            <w:tcW w:w="864" w:type="pct"/>
            <w:tcBorders>
              <w:top w:val="nil"/>
              <w:left w:val="nil"/>
              <w:bottom w:val="single" w:sz="8" w:space="0" w:color="DDDDDD"/>
              <w:right w:val="single" w:sz="8" w:space="0" w:color="DDDDDD"/>
            </w:tcBorders>
            <w:vAlign w:val="center"/>
            <w:hideMark/>
          </w:tcPr>
          <w:p w14:paraId="4748ACF8"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Revisão integrativa das publicações da revista sobre adolescência, com síntese de artigos em escolas e serviços de saúde.</w:t>
            </w:r>
          </w:p>
        </w:tc>
        <w:tc>
          <w:tcPr>
            <w:tcW w:w="959" w:type="pct"/>
            <w:tcBorders>
              <w:top w:val="nil"/>
              <w:left w:val="nil"/>
              <w:bottom w:val="single" w:sz="8" w:space="0" w:color="DDDDDD"/>
              <w:right w:val="single" w:sz="8" w:space="0" w:color="DDDDDD"/>
            </w:tcBorders>
            <w:vAlign w:val="center"/>
            <w:hideMark/>
          </w:tcPr>
          <w:p w14:paraId="4A2084CE"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Adolescência como categoria analítica central; risco, vulnerabilidade e promoção da saúde como eixos estruturantes.</w:t>
            </w:r>
          </w:p>
        </w:tc>
        <w:tc>
          <w:tcPr>
            <w:tcW w:w="912" w:type="pct"/>
            <w:tcBorders>
              <w:top w:val="nil"/>
              <w:left w:val="nil"/>
              <w:bottom w:val="single" w:sz="8" w:space="0" w:color="DDDDDD"/>
              <w:right w:val="single" w:sz="8" w:space="0" w:color="DDDDDD"/>
            </w:tcBorders>
            <w:vAlign w:val="center"/>
            <w:hideMark/>
          </w:tcPr>
          <w:p w14:paraId="5C939D17"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Identificaram</w:t>
            </w:r>
            <w:r w:rsidRPr="003A6C47">
              <w:rPr>
                <w:rFonts w:ascii="Arial" w:eastAsia="Times New Roman" w:hAnsi="Arial" w:cs="Arial"/>
                <w:color w:val="000000"/>
                <w:sz w:val="20"/>
                <w:szCs w:val="20"/>
                <w:lang w:val="pt-BR" w:eastAsia="pt-BR"/>
              </w:rPr>
              <w:noBreakHyphen/>
              <w:t>se 348 publicações voltadas para adolescentes, abrangendo atributos individuais, familiares, relações entre pares, condições de saúde e violências.</w:t>
            </w:r>
          </w:p>
        </w:tc>
        <w:tc>
          <w:tcPr>
            <w:tcW w:w="1021" w:type="pct"/>
            <w:tcBorders>
              <w:top w:val="nil"/>
              <w:left w:val="nil"/>
              <w:bottom w:val="single" w:sz="8" w:space="0" w:color="DDDDDD"/>
              <w:right w:val="single" w:sz="8" w:space="0" w:color="DDDDDD"/>
            </w:tcBorders>
            <w:vAlign w:val="center"/>
            <w:hideMark/>
          </w:tcPr>
          <w:p w14:paraId="25FE556C"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É necessária maior produção científica voltada à saúde integral dos adolescentes, integrando normativas legais e políticas públicas, com foco em promoção e prevenção.</w:t>
            </w:r>
          </w:p>
        </w:tc>
      </w:tr>
      <w:tr w:rsidR="003A6C47" w:rsidRPr="003A6C47" w14:paraId="4E9FA427" w14:textId="77777777" w:rsidTr="003A6C47">
        <w:trPr>
          <w:trHeight w:val="67"/>
        </w:trPr>
        <w:tc>
          <w:tcPr>
            <w:tcW w:w="380" w:type="pct"/>
            <w:tcBorders>
              <w:top w:val="nil"/>
              <w:left w:val="single" w:sz="8" w:space="0" w:color="DDDDDD"/>
              <w:bottom w:val="single" w:sz="8" w:space="0" w:color="DDDDDD"/>
              <w:right w:val="single" w:sz="8" w:space="0" w:color="DDDDDD"/>
            </w:tcBorders>
            <w:vAlign w:val="center"/>
            <w:hideMark/>
          </w:tcPr>
          <w:p w14:paraId="448C98CE" w14:textId="4CFE8928" w:rsidR="00A876E0" w:rsidRPr="003A6C47" w:rsidRDefault="00A876E0" w:rsidP="003A6C47">
            <w:pPr>
              <w:widowControl/>
              <w:autoSpaceDE/>
              <w:autoSpaceDN/>
              <w:jc w:val="center"/>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BITTAR; SOARES (2020</w:t>
            </w:r>
            <w:r w:rsidR="00BC442D" w:rsidRPr="003A6C47">
              <w:rPr>
                <w:rFonts w:ascii="Arial" w:eastAsia="Times New Roman" w:hAnsi="Arial" w:cs="Arial"/>
                <w:color w:val="000000"/>
                <w:sz w:val="20"/>
                <w:szCs w:val="20"/>
                <w:lang w:val="pt-BR" w:eastAsia="pt-BR"/>
              </w:rPr>
              <w:t>)</w:t>
            </w:r>
          </w:p>
        </w:tc>
        <w:tc>
          <w:tcPr>
            <w:tcW w:w="864" w:type="pct"/>
            <w:tcBorders>
              <w:top w:val="nil"/>
              <w:left w:val="nil"/>
              <w:bottom w:val="single" w:sz="8" w:space="0" w:color="DDDDDD"/>
              <w:right w:val="single" w:sz="8" w:space="0" w:color="DDDDDD"/>
            </w:tcBorders>
            <w:vAlign w:val="center"/>
            <w:hideMark/>
          </w:tcPr>
          <w:p w14:paraId="60CEE62F"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Verificar a relação entre mídia, imagem corporal e possibilidade de desenvolvimento de transtornos alimentares em adolescentes.</w:t>
            </w:r>
          </w:p>
        </w:tc>
        <w:tc>
          <w:tcPr>
            <w:tcW w:w="864" w:type="pct"/>
            <w:tcBorders>
              <w:top w:val="nil"/>
              <w:left w:val="nil"/>
              <w:bottom w:val="single" w:sz="8" w:space="0" w:color="DDDDDD"/>
              <w:right w:val="single" w:sz="8" w:space="0" w:color="DDDDDD"/>
            </w:tcBorders>
            <w:vAlign w:val="center"/>
            <w:hideMark/>
          </w:tcPr>
          <w:p w14:paraId="7C61809F"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Revisão bibliográfica teórica, com análise de estudos sobre influência midiática, padrões de beleza e escolhas alimentares.</w:t>
            </w:r>
          </w:p>
        </w:tc>
        <w:tc>
          <w:tcPr>
            <w:tcW w:w="959" w:type="pct"/>
            <w:tcBorders>
              <w:top w:val="nil"/>
              <w:left w:val="nil"/>
              <w:bottom w:val="single" w:sz="8" w:space="0" w:color="DDDDDD"/>
              <w:right w:val="single" w:sz="8" w:space="0" w:color="DDDDDD"/>
            </w:tcBorders>
            <w:vAlign w:val="center"/>
            <w:hideMark/>
          </w:tcPr>
          <w:p w14:paraId="43905503"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Mídia como produtora de padrões estéticos “magros”, geradora de insatisfação corporal e vulnerabilidade a comportamentos alimentares desviantes.</w:t>
            </w:r>
          </w:p>
        </w:tc>
        <w:tc>
          <w:tcPr>
            <w:tcW w:w="912" w:type="pct"/>
            <w:tcBorders>
              <w:top w:val="nil"/>
              <w:left w:val="nil"/>
              <w:bottom w:val="single" w:sz="8" w:space="0" w:color="DDDDDD"/>
              <w:right w:val="single" w:sz="8" w:space="0" w:color="DDDDDD"/>
            </w:tcBorders>
            <w:vAlign w:val="center"/>
            <w:hideMark/>
          </w:tcPr>
          <w:p w14:paraId="131A3AAB"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 literatura evidencia associação entre exposição midiática, insatisfação corporal e aumento de risco para transtornos alimentares em adolescentes.</w:t>
            </w:r>
          </w:p>
        </w:tc>
        <w:tc>
          <w:tcPr>
            <w:tcW w:w="1021" w:type="pct"/>
            <w:tcBorders>
              <w:top w:val="nil"/>
              <w:left w:val="nil"/>
              <w:bottom w:val="single" w:sz="8" w:space="0" w:color="DDDDDD"/>
              <w:right w:val="single" w:sz="8" w:space="0" w:color="DDDDDD"/>
            </w:tcBorders>
            <w:vAlign w:val="center"/>
            <w:hideMark/>
          </w:tcPr>
          <w:p w14:paraId="70497F25"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Adolescentes são um grupo</w:t>
            </w:r>
            <w:r w:rsidRPr="003A6C47">
              <w:rPr>
                <w:rFonts w:ascii="Arial" w:eastAsia="Times New Roman" w:hAnsi="Arial" w:cs="Arial"/>
                <w:color w:val="000000"/>
                <w:sz w:val="20"/>
                <w:szCs w:val="20"/>
                <w:lang w:val="pt-BR" w:eastAsia="pt-BR"/>
              </w:rPr>
              <w:noBreakHyphen/>
              <w:t>risco para transtornos alimentares, e a mídia é fator contribuinte para o comportamento alimentar disfuncional.</w:t>
            </w:r>
          </w:p>
        </w:tc>
      </w:tr>
      <w:tr w:rsidR="003A6C47" w:rsidRPr="003A6C47" w14:paraId="41F09B03" w14:textId="77777777" w:rsidTr="003A6C47">
        <w:trPr>
          <w:trHeight w:val="1242"/>
        </w:trPr>
        <w:tc>
          <w:tcPr>
            <w:tcW w:w="380" w:type="pct"/>
            <w:tcBorders>
              <w:top w:val="nil"/>
              <w:left w:val="single" w:sz="8" w:space="0" w:color="DDDDDD"/>
              <w:bottom w:val="single" w:sz="8" w:space="0" w:color="DDDDDD"/>
              <w:right w:val="single" w:sz="8" w:space="0" w:color="DDDDDD"/>
            </w:tcBorders>
            <w:vAlign w:val="center"/>
            <w:hideMark/>
          </w:tcPr>
          <w:p w14:paraId="5D6953CB" w14:textId="6028A8C9" w:rsidR="00A876E0" w:rsidRPr="003A6C47" w:rsidRDefault="00A876E0" w:rsidP="003A6C47">
            <w:pPr>
              <w:widowControl/>
              <w:autoSpaceDE/>
              <w:autoSpaceDN/>
              <w:jc w:val="center"/>
              <w:rPr>
                <w:rFonts w:ascii="Arial" w:eastAsia="Times New Roman" w:hAnsi="Arial" w:cs="Arial"/>
                <w:color w:val="000000"/>
                <w:sz w:val="20"/>
                <w:szCs w:val="20"/>
                <w:lang w:val="en-US" w:eastAsia="pt-BR"/>
              </w:rPr>
            </w:pPr>
            <w:r w:rsidRPr="003A6C47">
              <w:rPr>
                <w:rFonts w:ascii="Arial" w:eastAsia="Times New Roman" w:hAnsi="Arial" w:cs="Arial"/>
                <w:color w:val="000000"/>
                <w:sz w:val="20"/>
                <w:szCs w:val="20"/>
                <w:lang w:val="en-US" w:eastAsia="pt-BR"/>
              </w:rPr>
              <w:t>CRUZ et al. (2021).</w:t>
            </w:r>
          </w:p>
        </w:tc>
        <w:tc>
          <w:tcPr>
            <w:tcW w:w="864" w:type="pct"/>
            <w:tcBorders>
              <w:top w:val="nil"/>
              <w:left w:val="nil"/>
              <w:bottom w:val="single" w:sz="8" w:space="0" w:color="DDDDDD"/>
              <w:right w:val="single" w:sz="8" w:space="0" w:color="DDDDDD"/>
            </w:tcBorders>
            <w:vAlign w:val="center"/>
            <w:hideMark/>
          </w:tcPr>
          <w:p w14:paraId="2CC0749B"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Analisar a influência da mídia global na formação de hábitos alimentares de crianças e adolescentes em diferentes países.</w:t>
            </w:r>
          </w:p>
        </w:tc>
        <w:tc>
          <w:tcPr>
            <w:tcW w:w="864" w:type="pct"/>
            <w:tcBorders>
              <w:top w:val="nil"/>
              <w:left w:val="nil"/>
              <w:bottom w:val="single" w:sz="8" w:space="0" w:color="DDDDDD"/>
              <w:right w:val="single" w:sz="8" w:space="0" w:color="DDDDDD"/>
            </w:tcBorders>
            <w:vAlign w:val="center"/>
            <w:hideMark/>
          </w:tcPr>
          <w:p w14:paraId="6E461A53"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Revisão bibliográfica quantitativa, com levantamento em SciELO, LILACS e PubMed.</w:t>
            </w:r>
          </w:p>
        </w:tc>
        <w:tc>
          <w:tcPr>
            <w:tcW w:w="959" w:type="pct"/>
            <w:tcBorders>
              <w:top w:val="nil"/>
              <w:left w:val="nil"/>
              <w:bottom w:val="single" w:sz="8" w:space="0" w:color="DDDDDD"/>
              <w:right w:val="single" w:sz="8" w:space="0" w:color="DDDDDD"/>
            </w:tcBorders>
            <w:vAlign w:val="center"/>
            <w:hideMark/>
          </w:tcPr>
          <w:p w14:paraId="126CCEF4"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Mídia global como agente de homogeneização, difusora de padrões de consumo de fast</w:t>
            </w:r>
            <w:r w:rsidRPr="003A6C47">
              <w:rPr>
                <w:rFonts w:ascii="Arial" w:eastAsia="Times New Roman" w:hAnsi="Arial" w:cs="Arial"/>
                <w:color w:val="000000"/>
                <w:sz w:val="20"/>
                <w:szCs w:val="20"/>
                <w:lang w:val="pt-BR" w:eastAsia="pt-BR"/>
              </w:rPr>
              <w:noBreakHyphen/>
              <w:t>food e ultraprocessados voltados a crianças e adolescentes.</w:t>
            </w:r>
          </w:p>
        </w:tc>
        <w:tc>
          <w:tcPr>
            <w:tcW w:w="912" w:type="pct"/>
            <w:tcBorders>
              <w:top w:val="nil"/>
              <w:left w:val="nil"/>
              <w:bottom w:val="single" w:sz="8" w:space="0" w:color="DDDDDD"/>
              <w:right w:val="single" w:sz="8" w:space="0" w:color="DDDDDD"/>
            </w:tcBorders>
            <w:vAlign w:val="center"/>
            <w:hideMark/>
          </w:tcPr>
          <w:p w14:paraId="734C1039"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Observou</w:t>
            </w:r>
            <w:r w:rsidRPr="003A6C47">
              <w:rPr>
                <w:rFonts w:ascii="Arial" w:eastAsia="Times New Roman" w:hAnsi="Arial" w:cs="Arial"/>
                <w:color w:val="000000"/>
                <w:sz w:val="20"/>
                <w:szCs w:val="20"/>
                <w:lang w:val="pt-BR" w:eastAsia="pt-BR"/>
              </w:rPr>
              <w:noBreakHyphen/>
              <w:t>se padronização de preferências alimentares não saudáveis em múltiplos países, com forte influência da publicidade direcionada a esse público.</w:t>
            </w:r>
          </w:p>
        </w:tc>
        <w:tc>
          <w:tcPr>
            <w:tcW w:w="1021" w:type="pct"/>
            <w:tcBorders>
              <w:top w:val="nil"/>
              <w:left w:val="nil"/>
              <w:bottom w:val="single" w:sz="8" w:space="0" w:color="DDDDDD"/>
              <w:right w:val="single" w:sz="8" w:space="0" w:color="DDDDDD"/>
            </w:tcBorders>
            <w:vAlign w:val="center"/>
            <w:hideMark/>
          </w:tcPr>
          <w:p w14:paraId="481753A4"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 mídia global tende a padronizar hábitos alimentares não saudáveis entre crianças e adolescentes, exigindo regulação e educação alimentar crítica.</w:t>
            </w:r>
          </w:p>
        </w:tc>
      </w:tr>
      <w:tr w:rsidR="003A6C47" w:rsidRPr="003A6C47" w14:paraId="265CD06B" w14:textId="77777777" w:rsidTr="003A6C47">
        <w:trPr>
          <w:trHeight w:val="67"/>
        </w:trPr>
        <w:tc>
          <w:tcPr>
            <w:tcW w:w="380" w:type="pct"/>
            <w:tcBorders>
              <w:top w:val="nil"/>
              <w:left w:val="single" w:sz="8" w:space="0" w:color="DDDDDD"/>
              <w:bottom w:val="single" w:sz="8" w:space="0" w:color="DDDDDD"/>
              <w:right w:val="single" w:sz="8" w:space="0" w:color="DDDDDD"/>
            </w:tcBorders>
            <w:vAlign w:val="center"/>
            <w:hideMark/>
          </w:tcPr>
          <w:p w14:paraId="4677932A" w14:textId="12E02188" w:rsidR="00A876E0" w:rsidRPr="003A6C47" w:rsidRDefault="00A876E0" w:rsidP="003A6C47">
            <w:pPr>
              <w:widowControl/>
              <w:autoSpaceDE/>
              <w:autoSpaceDN/>
              <w:jc w:val="center"/>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D’AVILA et al. (2020).</w:t>
            </w:r>
          </w:p>
        </w:tc>
        <w:tc>
          <w:tcPr>
            <w:tcW w:w="864" w:type="pct"/>
            <w:tcBorders>
              <w:top w:val="nil"/>
              <w:left w:val="nil"/>
              <w:bottom w:val="single" w:sz="8" w:space="0" w:color="DDDDDD"/>
              <w:right w:val="single" w:sz="8" w:space="0" w:color="DDDDDD"/>
            </w:tcBorders>
            <w:vAlign w:val="center"/>
            <w:hideMark/>
          </w:tcPr>
          <w:p w14:paraId="74557A43"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Identificar e validar instrumentos recentes para avaliar o comportamento alimentar de crianças e adolescentes.</w:t>
            </w:r>
          </w:p>
        </w:tc>
        <w:tc>
          <w:tcPr>
            <w:tcW w:w="864" w:type="pct"/>
            <w:tcBorders>
              <w:top w:val="nil"/>
              <w:left w:val="nil"/>
              <w:bottom w:val="single" w:sz="8" w:space="0" w:color="DDDDDD"/>
              <w:right w:val="single" w:sz="8" w:space="0" w:color="DDDDDD"/>
            </w:tcBorders>
            <w:vAlign w:val="center"/>
            <w:hideMark/>
          </w:tcPr>
          <w:p w14:paraId="0E404B89"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Revisão bibliográfica com foco em instrumentos validados para crianças e adolescentes na literatura nacional e internacional.</w:t>
            </w:r>
          </w:p>
        </w:tc>
        <w:tc>
          <w:tcPr>
            <w:tcW w:w="959" w:type="pct"/>
            <w:tcBorders>
              <w:top w:val="nil"/>
              <w:left w:val="nil"/>
              <w:bottom w:val="single" w:sz="8" w:space="0" w:color="DDDDDD"/>
              <w:right w:val="single" w:sz="8" w:space="0" w:color="DDDDDD"/>
            </w:tcBorders>
            <w:vAlign w:val="center"/>
            <w:hideMark/>
          </w:tcPr>
          <w:p w14:paraId="539E8F86"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Comportamento alimentar como dimensão que envolve escolhas, atitudes, preocupações com peso e risco para transtornos alimentares e doenças crônicas.</w:t>
            </w:r>
          </w:p>
        </w:tc>
        <w:tc>
          <w:tcPr>
            <w:tcW w:w="912" w:type="pct"/>
            <w:tcBorders>
              <w:top w:val="nil"/>
              <w:left w:val="nil"/>
              <w:bottom w:val="single" w:sz="8" w:space="0" w:color="DDDDDD"/>
              <w:right w:val="single" w:sz="8" w:space="0" w:color="DDDDDD"/>
            </w:tcBorders>
            <w:vAlign w:val="center"/>
            <w:hideMark/>
          </w:tcPr>
          <w:p w14:paraId="04F4EFD5"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Foram localizados e validados 12 instrumentos com coeficientes de Cronbach superiores a 0,80, aplicáveis a crianças e adolescentes brasileiros.</w:t>
            </w:r>
          </w:p>
        </w:tc>
        <w:tc>
          <w:tcPr>
            <w:tcW w:w="1021" w:type="pct"/>
            <w:tcBorders>
              <w:top w:val="nil"/>
              <w:left w:val="nil"/>
              <w:bottom w:val="single" w:sz="8" w:space="0" w:color="DDDDDD"/>
              <w:right w:val="single" w:sz="8" w:space="0" w:color="DDDDDD"/>
            </w:tcBorders>
            <w:vAlign w:val="center"/>
            <w:hideMark/>
          </w:tcPr>
          <w:p w14:paraId="43A18449"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Existem instrumentos adequados para avaliação precoce do comportamento alimentar de crianças e adolescentes, favorecendo intervenções preventivas.</w:t>
            </w:r>
          </w:p>
        </w:tc>
      </w:tr>
      <w:tr w:rsidR="003A6C47" w:rsidRPr="003A6C47" w14:paraId="320BF96C" w14:textId="77777777" w:rsidTr="003A6C47">
        <w:trPr>
          <w:trHeight w:val="67"/>
        </w:trPr>
        <w:tc>
          <w:tcPr>
            <w:tcW w:w="380" w:type="pct"/>
            <w:tcBorders>
              <w:top w:val="nil"/>
              <w:left w:val="single" w:sz="8" w:space="0" w:color="DDDDDD"/>
              <w:bottom w:val="single" w:sz="8" w:space="0" w:color="DDDDDD"/>
              <w:right w:val="single" w:sz="8" w:space="0" w:color="DDDDDD"/>
            </w:tcBorders>
            <w:vAlign w:val="center"/>
            <w:hideMark/>
          </w:tcPr>
          <w:p w14:paraId="51B461ED" w14:textId="1B647311" w:rsidR="00A876E0" w:rsidRPr="003A6C47" w:rsidRDefault="00A876E0" w:rsidP="003A6C47">
            <w:pPr>
              <w:widowControl/>
              <w:autoSpaceDE/>
              <w:autoSpaceDN/>
              <w:jc w:val="center"/>
              <w:rPr>
                <w:rFonts w:ascii="Arial" w:eastAsia="Times New Roman" w:hAnsi="Arial" w:cs="Arial"/>
                <w:color w:val="000000"/>
                <w:sz w:val="20"/>
                <w:szCs w:val="20"/>
                <w:lang w:val="en-US" w:eastAsia="pt-BR"/>
              </w:rPr>
            </w:pPr>
            <w:r w:rsidRPr="003A6C47">
              <w:rPr>
                <w:rFonts w:ascii="Arial" w:eastAsia="Times New Roman" w:hAnsi="Arial" w:cs="Arial"/>
                <w:color w:val="000000"/>
                <w:sz w:val="20"/>
                <w:szCs w:val="20"/>
                <w:lang w:val="en-US" w:eastAsia="pt-BR"/>
              </w:rPr>
              <w:t>LOPES; TRAJANO (2021</w:t>
            </w:r>
            <w:r w:rsidR="00BC442D" w:rsidRPr="003A6C47">
              <w:rPr>
                <w:rFonts w:ascii="Arial" w:eastAsia="Times New Roman" w:hAnsi="Arial" w:cs="Arial"/>
                <w:color w:val="000000"/>
                <w:sz w:val="20"/>
                <w:szCs w:val="20"/>
                <w:lang w:val="en-US" w:eastAsia="pt-BR"/>
              </w:rPr>
              <w:t>).</w:t>
            </w:r>
          </w:p>
        </w:tc>
        <w:tc>
          <w:tcPr>
            <w:tcW w:w="864" w:type="pct"/>
            <w:tcBorders>
              <w:top w:val="nil"/>
              <w:left w:val="nil"/>
              <w:bottom w:val="single" w:sz="8" w:space="0" w:color="DDDDDD"/>
              <w:right w:val="single" w:sz="8" w:space="0" w:color="DDDDDD"/>
            </w:tcBorders>
            <w:vAlign w:val="center"/>
            <w:hideMark/>
          </w:tcPr>
          <w:p w14:paraId="101D9EC3"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Discutir a influência da mídia na prevalência e manutenção de transtornos alimentares em adolescentes.</w:t>
            </w:r>
          </w:p>
        </w:tc>
        <w:tc>
          <w:tcPr>
            <w:tcW w:w="864" w:type="pct"/>
            <w:tcBorders>
              <w:top w:val="nil"/>
              <w:left w:val="nil"/>
              <w:bottom w:val="single" w:sz="8" w:space="0" w:color="DDDDDD"/>
              <w:right w:val="single" w:sz="8" w:space="0" w:color="DDDDDD"/>
            </w:tcBorders>
            <w:vAlign w:val="center"/>
            <w:hideMark/>
          </w:tcPr>
          <w:p w14:paraId="5B605443"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Revisão bibliográfica sobre prevalência de TCA e papel da mídia, especialmente redes sociais e publicidade.</w:t>
            </w:r>
          </w:p>
        </w:tc>
        <w:tc>
          <w:tcPr>
            <w:tcW w:w="959" w:type="pct"/>
            <w:tcBorders>
              <w:top w:val="nil"/>
              <w:left w:val="nil"/>
              <w:bottom w:val="single" w:sz="8" w:space="0" w:color="DDDDDD"/>
              <w:right w:val="single" w:sz="8" w:space="0" w:color="DDDDDD"/>
            </w:tcBorders>
            <w:vAlign w:val="center"/>
            <w:hideMark/>
          </w:tcPr>
          <w:p w14:paraId="198D7BBD"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Transtornos alimentares (anorexia, bulimia, compulsão) como construídos em interação com padrões midiáticos de magreza extrema e comparação social.</w:t>
            </w:r>
          </w:p>
        </w:tc>
        <w:tc>
          <w:tcPr>
            <w:tcW w:w="912" w:type="pct"/>
            <w:tcBorders>
              <w:top w:val="nil"/>
              <w:left w:val="nil"/>
              <w:bottom w:val="single" w:sz="8" w:space="0" w:color="DDDDDD"/>
              <w:right w:val="single" w:sz="8" w:space="0" w:color="DDDDDD"/>
            </w:tcBorders>
            <w:vAlign w:val="center"/>
            <w:hideMark/>
          </w:tcPr>
          <w:p w14:paraId="63D0BCA0"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Estudos apontam maior risco de TCA em adolescentes expostos frequentemente a conteúdos midiáticos valorizando magreza e insatisfação corporal.</w:t>
            </w:r>
          </w:p>
        </w:tc>
        <w:tc>
          <w:tcPr>
            <w:tcW w:w="1021" w:type="pct"/>
            <w:tcBorders>
              <w:top w:val="nil"/>
              <w:left w:val="nil"/>
              <w:bottom w:val="single" w:sz="8" w:space="0" w:color="DDDDDD"/>
              <w:right w:val="single" w:sz="8" w:space="0" w:color="DDDDDD"/>
            </w:tcBorders>
            <w:vAlign w:val="center"/>
            <w:hideMark/>
          </w:tcPr>
          <w:p w14:paraId="59E14474"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 mídia atua como fator de manutenção e agravamento de transtornos alimentares em adolescentes, reforçando a necessidade de mediação crítica e educação em saúde.</w:t>
            </w:r>
          </w:p>
        </w:tc>
      </w:tr>
      <w:tr w:rsidR="003A6C47" w:rsidRPr="003A6C47" w14:paraId="46306E62" w14:textId="77777777" w:rsidTr="003A6C47">
        <w:trPr>
          <w:trHeight w:val="67"/>
        </w:trPr>
        <w:tc>
          <w:tcPr>
            <w:tcW w:w="380" w:type="pct"/>
            <w:tcBorders>
              <w:top w:val="nil"/>
              <w:left w:val="single" w:sz="8" w:space="0" w:color="DDDDDD"/>
              <w:bottom w:val="single" w:sz="8" w:space="0" w:color="DDDDDD"/>
              <w:right w:val="single" w:sz="8" w:space="0" w:color="DDDDDD"/>
            </w:tcBorders>
            <w:vAlign w:val="center"/>
            <w:hideMark/>
          </w:tcPr>
          <w:p w14:paraId="106C7190" w14:textId="60CFB8A7" w:rsidR="00A876E0" w:rsidRPr="003A6C47" w:rsidRDefault="00A876E0" w:rsidP="003A6C47">
            <w:pPr>
              <w:widowControl/>
              <w:autoSpaceDE/>
              <w:autoSpaceDN/>
              <w:jc w:val="center"/>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lastRenderedPageBreak/>
              <w:t>MICHELETTI; MELO (2020</w:t>
            </w:r>
            <w:r w:rsidR="00BC442D" w:rsidRPr="003A6C47">
              <w:rPr>
                <w:rFonts w:ascii="Arial" w:eastAsia="Times New Roman" w:hAnsi="Arial" w:cs="Arial"/>
                <w:color w:val="000000"/>
                <w:sz w:val="20"/>
                <w:szCs w:val="20"/>
                <w:lang w:val="en-US" w:eastAsia="pt-BR"/>
              </w:rPr>
              <w:t>).</w:t>
            </w:r>
          </w:p>
        </w:tc>
        <w:tc>
          <w:tcPr>
            <w:tcW w:w="864" w:type="pct"/>
            <w:tcBorders>
              <w:top w:val="nil"/>
              <w:left w:val="nil"/>
              <w:bottom w:val="single" w:sz="8" w:space="0" w:color="DDDDDD"/>
              <w:right w:val="single" w:sz="8" w:space="0" w:color="DDDDDD"/>
            </w:tcBorders>
            <w:vAlign w:val="center"/>
            <w:hideMark/>
          </w:tcPr>
          <w:p w14:paraId="2B4D662C"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Verificar a influência da mídia (especialmente publicidade em desenhos e programas) na escolha alimentar de crianças e adolescentes.</w:t>
            </w:r>
          </w:p>
        </w:tc>
        <w:tc>
          <w:tcPr>
            <w:tcW w:w="864" w:type="pct"/>
            <w:tcBorders>
              <w:top w:val="nil"/>
              <w:left w:val="nil"/>
              <w:bottom w:val="single" w:sz="8" w:space="0" w:color="DDDDDD"/>
              <w:right w:val="single" w:sz="8" w:space="0" w:color="DDDDDD"/>
            </w:tcBorders>
            <w:vAlign w:val="center"/>
            <w:hideMark/>
          </w:tcPr>
          <w:p w14:paraId="53557D0D"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Estudo quantitativo descritivo, com revisão e síntese de artigos sobre mídia e alimentação infantil/adolescente.</w:t>
            </w:r>
          </w:p>
        </w:tc>
        <w:tc>
          <w:tcPr>
            <w:tcW w:w="959" w:type="pct"/>
            <w:tcBorders>
              <w:top w:val="nil"/>
              <w:left w:val="nil"/>
              <w:bottom w:val="single" w:sz="8" w:space="0" w:color="DDDDDD"/>
              <w:right w:val="single" w:sz="8" w:space="0" w:color="DDDDDD"/>
            </w:tcBorders>
            <w:vAlign w:val="center"/>
            <w:hideMark/>
          </w:tcPr>
          <w:p w14:paraId="11AB381D"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Mídia como agente educativo informal que utiliza merchandising e publicidade para direcionar preferências alimentares de crianças e adolescentes.</w:t>
            </w:r>
          </w:p>
        </w:tc>
        <w:tc>
          <w:tcPr>
            <w:tcW w:w="912" w:type="pct"/>
            <w:tcBorders>
              <w:top w:val="nil"/>
              <w:left w:val="nil"/>
              <w:bottom w:val="single" w:sz="8" w:space="0" w:color="DDDDDD"/>
              <w:right w:val="single" w:sz="8" w:space="0" w:color="DDDDDD"/>
            </w:tcBorders>
            <w:vAlign w:val="center"/>
            <w:hideMark/>
          </w:tcPr>
          <w:p w14:paraId="70946296"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Cerca de 72% dos estudos incluídos mostraram alteração significativa nas preferências alimentares após exposição a merchandising.</w:t>
            </w:r>
          </w:p>
        </w:tc>
        <w:tc>
          <w:tcPr>
            <w:tcW w:w="1021" w:type="pct"/>
            <w:tcBorders>
              <w:top w:val="nil"/>
              <w:left w:val="nil"/>
              <w:bottom w:val="single" w:sz="8" w:space="0" w:color="DDDDDD"/>
              <w:right w:val="single" w:sz="8" w:space="0" w:color="DDDDDD"/>
            </w:tcBorders>
            <w:vAlign w:val="center"/>
            <w:hideMark/>
          </w:tcPr>
          <w:p w14:paraId="0796FB39"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 mídia exerce forte influência sobre hábitos alimentares de crianças e adolescentes, reforçando a necessidade de regulação de publicidade infantil.</w:t>
            </w:r>
          </w:p>
        </w:tc>
      </w:tr>
      <w:tr w:rsidR="003A6C47" w:rsidRPr="003A6C47" w14:paraId="4B5EBBCB" w14:textId="77777777" w:rsidTr="003A6C47">
        <w:trPr>
          <w:trHeight w:val="1587"/>
        </w:trPr>
        <w:tc>
          <w:tcPr>
            <w:tcW w:w="380" w:type="pct"/>
            <w:tcBorders>
              <w:top w:val="nil"/>
              <w:left w:val="single" w:sz="8" w:space="0" w:color="DDDDDD"/>
              <w:bottom w:val="single" w:sz="8" w:space="0" w:color="DDDDDD"/>
              <w:right w:val="single" w:sz="8" w:space="0" w:color="DDDDDD"/>
            </w:tcBorders>
            <w:vAlign w:val="center"/>
            <w:hideMark/>
          </w:tcPr>
          <w:p w14:paraId="4B0773AD" w14:textId="3E7F3479" w:rsidR="00A876E0" w:rsidRPr="003A6C47" w:rsidRDefault="00A876E0" w:rsidP="003A6C47">
            <w:pPr>
              <w:widowControl/>
              <w:autoSpaceDE/>
              <w:autoSpaceDN/>
              <w:jc w:val="center"/>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BARBALHO et al. (2020</w:t>
            </w:r>
            <w:r w:rsidR="00BC442D" w:rsidRPr="003A6C47">
              <w:rPr>
                <w:rFonts w:ascii="Arial" w:eastAsia="Times New Roman" w:hAnsi="Arial" w:cs="Arial"/>
                <w:color w:val="000000"/>
                <w:sz w:val="20"/>
                <w:szCs w:val="20"/>
                <w:lang w:val="en-US" w:eastAsia="pt-BR"/>
              </w:rPr>
              <w:t>).</w:t>
            </w:r>
          </w:p>
        </w:tc>
        <w:tc>
          <w:tcPr>
            <w:tcW w:w="864" w:type="pct"/>
            <w:tcBorders>
              <w:top w:val="nil"/>
              <w:left w:val="nil"/>
              <w:bottom w:val="single" w:sz="8" w:space="0" w:color="DDDDDD"/>
              <w:right w:val="single" w:sz="8" w:space="0" w:color="DDDDDD"/>
            </w:tcBorders>
            <w:vAlign w:val="center"/>
            <w:hideMark/>
          </w:tcPr>
          <w:p w14:paraId="77ED9806"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Analisar a associação entre sobrepeso/obesidade e fatores de risco (alimentação inadequada e baixa atividade física) em adolescentes escolares.</w:t>
            </w:r>
          </w:p>
        </w:tc>
        <w:tc>
          <w:tcPr>
            <w:tcW w:w="864" w:type="pct"/>
            <w:tcBorders>
              <w:top w:val="nil"/>
              <w:left w:val="nil"/>
              <w:bottom w:val="single" w:sz="8" w:space="0" w:color="DDDDDD"/>
              <w:right w:val="single" w:sz="8" w:space="0" w:color="DDDDDD"/>
            </w:tcBorders>
            <w:vAlign w:val="center"/>
            <w:hideMark/>
          </w:tcPr>
          <w:p w14:paraId="70EE18C2"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Estudo transversal com adolescentes escolares, utilizando inquéritos alimentares, medidas antropométricas e avaliação de atividade física.</w:t>
            </w:r>
          </w:p>
        </w:tc>
        <w:tc>
          <w:tcPr>
            <w:tcW w:w="959" w:type="pct"/>
            <w:tcBorders>
              <w:top w:val="nil"/>
              <w:left w:val="nil"/>
              <w:bottom w:val="single" w:sz="8" w:space="0" w:color="DDDDDD"/>
              <w:right w:val="single" w:sz="8" w:space="0" w:color="DDDDDD"/>
            </w:tcBorders>
            <w:vAlign w:val="center"/>
            <w:hideMark/>
          </w:tcPr>
          <w:p w14:paraId="7938D0F8"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Alimentos de alta densidade energética, sedentarismo e estilos de vida não saudáveis como fatores de risco para obesidade na adolescência.</w:t>
            </w:r>
          </w:p>
        </w:tc>
        <w:tc>
          <w:tcPr>
            <w:tcW w:w="912" w:type="pct"/>
            <w:tcBorders>
              <w:top w:val="nil"/>
              <w:left w:val="nil"/>
              <w:bottom w:val="single" w:sz="8" w:space="0" w:color="DDDDDD"/>
              <w:right w:val="single" w:sz="8" w:space="0" w:color="DDDDDD"/>
            </w:tcBorders>
            <w:vAlign w:val="center"/>
            <w:hideMark/>
          </w:tcPr>
          <w:p w14:paraId="13B5BC19"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Consumo inadequado de alimentos com alta densidade energética e baixa prática de atividade física aumentaram significativamente o risco de sobrepeso/obesidade.</w:t>
            </w:r>
          </w:p>
        </w:tc>
        <w:tc>
          <w:tcPr>
            <w:tcW w:w="1021" w:type="pct"/>
            <w:tcBorders>
              <w:top w:val="nil"/>
              <w:left w:val="nil"/>
              <w:bottom w:val="single" w:sz="8" w:space="0" w:color="DDDDDD"/>
              <w:right w:val="single" w:sz="8" w:space="0" w:color="DDDDDD"/>
            </w:tcBorders>
            <w:vAlign w:val="center"/>
            <w:hideMark/>
          </w:tcPr>
          <w:p w14:paraId="3DFDC441"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Intervenções voltadas à melhoria da alimentação e ao aumento da atividade física em adolescentes são essenciais para reduzir a obesidade.</w:t>
            </w:r>
          </w:p>
        </w:tc>
      </w:tr>
      <w:tr w:rsidR="003A6C47" w:rsidRPr="003A6C47" w14:paraId="4FB65CDD" w14:textId="77777777" w:rsidTr="003A6C47">
        <w:trPr>
          <w:trHeight w:val="1287"/>
        </w:trPr>
        <w:tc>
          <w:tcPr>
            <w:tcW w:w="380" w:type="pct"/>
            <w:tcBorders>
              <w:top w:val="nil"/>
              <w:left w:val="single" w:sz="8" w:space="0" w:color="DDDDDD"/>
              <w:bottom w:val="single" w:sz="8" w:space="0" w:color="DDDDDD"/>
              <w:right w:val="single" w:sz="8" w:space="0" w:color="DDDDDD"/>
            </w:tcBorders>
            <w:vAlign w:val="center"/>
            <w:hideMark/>
          </w:tcPr>
          <w:p w14:paraId="0C572DD8" w14:textId="77516BA2" w:rsidR="00A876E0" w:rsidRPr="003A6C47" w:rsidRDefault="00A876E0" w:rsidP="003A6C47">
            <w:pPr>
              <w:widowControl/>
              <w:autoSpaceDE/>
              <w:autoSpaceDN/>
              <w:jc w:val="center"/>
              <w:rPr>
                <w:rFonts w:ascii="Arial" w:eastAsia="Times New Roman" w:hAnsi="Arial" w:cs="Arial"/>
                <w:color w:val="000000"/>
                <w:sz w:val="20"/>
                <w:szCs w:val="20"/>
                <w:lang w:val="en-US" w:eastAsia="pt-BR"/>
              </w:rPr>
            </w:pPr>
            <w:r w:rsidRPr="003A6C47">
              <w:rPr>
                <w:rFonts w:ascii="Arial" w:eastAsia="Times New Roman" w:hAnsi="Arial" w:cs="Arial"/>
                <w:color w:val="000000"/>
                <w:sz w:val="20"/>
                <w:szCs w:val="20"/>
                <w:lang w:val="en-US" w:eastAsia="pt-BR"/>
              </w:rPr>
              <w:t>CGI.br (2022</w:t>
            </w:r>
            <w:r w:rsidR="00BC442D" w:rsidRPr="003A6C47">
              <w:rPr>
                <w:rFonts w:ascii="Arial" w:eastAsia="Times New Roman" w:hAnsi="Arial" w:cs="Arial"/>
                <w:color w:val="000000"/>
                <w:sz w:val="20"/>
                <w:szCs w:val="20"/>
                <w:lang w:val="en-US" w:eastAsia="pt-BR"/>
              </w:rPr>
              <w:t>).</w:t>
            </w:r>
          </w:p>
        </w:tc>
        <w:tc>
          <w:tcPr>
            <w:tcW w:w="864" w:type="pct"/>
            <w:tcBorders>
              <w:top w:val="nil"/>
              <w:left w:val="nil"/>
              <w:bottom w:val="single" w:sz="8" w:space="0" w:color="DDDDDD"/>
              <w:right w:val="single" w:sz="8" w:space="0" w:color="DDDDDD"/>
            </w:tcBorders>
            <w:vAlign w:val="center"/>
            <w:hideMark/>
          </w:tcPr>
          <w:p w14:paraId="07867BCF"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Investigar o uso da internet e redes sociais por crianças e adolescentes no Brasil, com foco em hábitos digitais e riscos online.</w:t>
            </w:r>
          </w:p>
        </w:tc>
        <w:tc>
          <w:tcPr>
            <w:tcW w:w="864" w:type="pct"/>
            <w:tcBorders>
              <w:top w:val="nil"/>
              <w:left w:val="nil"/>
              <w:bottom w:val="single" w:sz="8" w:space="0" w:color="DDDDDD"/>
              <w:right w:val="single" w:sz="8" w:space="0" w:color="DDDDDD"/>
            </w:tcBorders>
            <w:vAlign w:val="center"/>
            <w:hideMark/>
          </w:tcPr>
          <w:p w14:paraId="4D485A7D"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Pesquisa nacional quantitativa com levantamento de dados de uso da internet em faixa de 9 a 17 anos.</w:t>
            </w:r>
          </w:p>
        </w:tc>
        <w:tc>
          <w:tcPr>
            <w:tcW w:w="959" w:type="pct"/>
            <w:tcBorders>
              <w:top w:val="nil"/>
              <w:left w:val="nil"/>
              <w:bottom w:val="single" w:sz="8" w:space="0" w:color="DDDDDD"/>
              <w:right w:val="single" w:sz="8" w:space="0" w:color="DDDDDD"/>
            </w:tcBorders>
            <w:vAlign w:val="center"/>
            <w:hideMark/>
          </w:tcPr>
          <w:p w14:paraId="6BC44047"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Internet e redes sociais como plataformas de socialização, aprendizagem e também de exposição a conteúdos e riscos (</w:t>
            </w:r>
            <w:r w:rsidRPr="003A6C47">
              <w:rPr>
                <w:rFonts w:ascii="Arial" w:eastAsia="Times New Roman" w:hAnsi="Arial" w:cs="Arial"/>
                <w:i/>
                <w:iCs/>
                <w:color w:val="000000"/>
                <w:sz w:val="20"/>
                <w:szCs w:val="20"/>
                <w:lang w:val="pt-BR" w:eastAsia="pt-BR"/>
              </w:rPr>
              <w:t>bullying, grooming</w:t>
            </w:r>
            <w:r w:rsidRPr="003A6C47">
              <w:rPr>
                <w:rFonts w:ascii="Arial" w:eastAsia="Times New Roman" w:hAnsi="Arial" w:cs="Arial"/>
                <w:color w:val="000000"/>
                <w:sz w:val="20"/>
                <w:szCs w:val="20"/>
                <w:lang w:val="pt-BR" w:eastAsia="pt-BR"/>
              </w:rPr>
              <w:t>, comparação social).</w:t>
            </w:r>
          </w:p>
        </w:tc>
        <w:tc>
          <w:tcPr>
            <w:tcW w:w="912" w:type="pct"/>
            <w:tcBorders>
              <w:top w:val="nil"/>
              <w:left w:val="nil"/>
              <w:bottom w:val="single" w:sz="8" w:space="0" w:color="DDDDDD"/>
              <w:right w:val="single" w:sz="8" w:space="0" w:color="DDDDDD"/>
            </w:tcBorders>
            <w:vAlign w:val="center"/>
            <w:hideMark/>
          </w:tcPr>
          <w:p w14:paraId="62E2DFF3"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Alta penetração da internet entre 9 e 17 anos, com elevado uso de redes sociais e celular.</w:t>
            </w:r>
          </w:p>
        </w:tc>
        <w:tc>
          <w:tcPr>
            <w:tcW w:w="1021" w:type="pct"/>
            <w:tcBorders>
              <w:top w:val="nil"/>
              <w:left w:val="nil"/>
              <w:bottom w:val="single" w:sz="8" w:space="0" w:color="DDDDDD"/>
              <w:right w:val="single" w:sz="8" w:space="0" w:color="DDDDDD"/>
            </w:tcBorders>
            <w:vAlign w:val="center"/>
            <w:hideMark/>
          </w:tcPr>
          <w:p w14:paraId="34B6465E"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 elevada conectividade exige políticas de cibersegurança, educação digital e mediação familiar para proteger crianças e adolescentes no ambiente online.</w:t>
            </w:r>
          </w:p>
        </w:tc>
      </w:tr>
      <w:tr w:rsidR="003A6C47" w:rsidRPr="003A6C47" w14:paraId="4AA3BBA2" w14:textId="77777777" w:rsidTr="003A6C47">
        <w:trPr>
          <w:trHeight w:val="959"/>
        </w:trPr>
        <w:tc>
          <w:tcPr>
            <w:tcW w:w="380" w:type="pct"/>
            <w:tcBorders>
              <w:top w:val="nil"/>
              <w:left w:val="single" w:sz="8" w:space="0" w:color="DDDDDD"/>
              <w:bottom w:val="single" w:sz="8" w:space="0" w:color="DDDDDD"/>
              <w:right w:val="single" w:sz="8" w:space="0" w:color="DDDDDD"/>
            </w:tcBorders>
            <w:vAlign w:val="center"/>
            <w:hideMark/>
          </w:tcPr>
          <w:p w14:paraId="22156686" w14:textId="1E664BFA"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MARQUES et al. (2020</w:t>
            </w:r>
            <w:r w:rsidR="00BC442D" w:rsidRPr="003A6C47">
              <w:rPr>
                <w:rFonts w:ascii="Arial" w:eastAsia="Times New Roman" w:hAnsi="Arial" w:cs="Arial"/>
                <w:color w:val="000000"/>
                <w:sz w:val="20"/>
                <w:szCs w:val="20"/>
                <w:lang w:val="en-US" w:eastAsia="pt-BR"/>
              </w:rPr>
              <w:t>).</w:t>
            </w:r>
          </w:p>
        </w:tc>
        <w:tc>
          <w:tcPr>
            <w:tcW w:w="864" w:type="pct"/>
            <w:tcBorders>
              <w:top w:val="nil"/>
              <w:left w:val="nil"/>
              <w:bottom w:val="single" w:sz="8" w:space="0" w:color="DDDDDD"/>
              <w:right w:val="single" w:sz="8" w:space="0" w:color="DDDDDD"/>
            </w:tcBorders>
            <w:vAlign w:val="center"/>
            <w:hideMark/>
          </w:tcPr>
          <w:p w14:paraId="2A0AED29"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Analisar tendências de estilo de vida (alimentação, atividade física, uso de mídia) em adolescentes brasileiros ao longo do tempo.</w:t>
            </w:r>
          </w:p>
        </w:tc>
        <w:tc>
          <w:tcPr>
            <w:tcW w:w="864" w:type="pct"/>
            <w:tcBorders>
              <w:top w:val="nil"/>
              <w:left w:val="nil"/>
              <w:bottom w:val="single" w:sz="8" w:space="0" w:color="DDDDDD"/>
              <w:right w:val="single" w:sz="8" w:space="0" w:color="DDDDDD"/>
            </w:tcBorders>
            <w:vAlign w:val="center"/>
            <w:hideMark/>
          </w:tcPr>
          <w:p w14:paraId="00390681"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Estudo longitudinal/encadeado com inquéritos de comportamentos de adolescentes (ex.: ConVid Adolescentes).</w:t>
            </w:r>
          </w:p>
        </w:tc>
        <w:tc>
          <w:tcPr>
            <w:tcW w:w="959" w:type="pct"/>
            <w:tcBorders>
              <w:top w:val="nil"/>
              <w:left w:val="nil"/>
              <w:bottom w:val="single" w:sz="8" w:space="0" w:color="DDDDDD"/>
              <w:right w:val="single" w:sz="8" w:space="0" w:color="DDDDDD"/>
            </w:tcBorders>
            <w:vAlign w:val="center"/>
            <w:hideMark/>
          </w:tcPr>
          <w:p w14:paraId="26BB36B7"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Estilo de vida como combinação de hábitos alimentares, prática de atividade física, uso de mídia e exposição a riscos comportamentais.</w:t>
            </w:r>
          </w:p>
        </w:tc>
        <w:tc>
          <w:tcPr>
            <w:tcW w:w="912" w:type="pct"/>
            <w:tcBorders>
              <w:top w:val="nil"/>
              <w:left w:val="nil"/>
              <w:bottom w:val="single" w:sz="8" w:space="0" w:color="DDDDDD"/>
              <w:right w:val="single" w:sz="8" w:space="0" w:color="DDDDDD"/>
            </w:tcBorders>
            <w:vAlign w:val="center"/>
            <w:hideMark/>
          </w:tcPr>
          <w:p w14:paraId="772ED8A1"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Observou</w:t>
            </w:r>
            <w:r w:rsidRPr="003A6C47">
              <w:rPr>
                <w:rFonts w:ascii="Arial" w:eastAsia="Times New Roman" w:hAnsi="Arial" w:cs="Arial"/>
                <w:color w:val="000000"/>
                <w:sz w:val="20"/>
                <w:szCs w:val="20"/>
                <w:lang w:val="pt-BR" w:eastAsia="pt-BR"/>
              </w:rPr>
              <w:noBreakHyphen/>
              <w:t>se tendência de queda em hábitos saudáveis (mais sedentarismo, mais consumo de ultraprocessados) na trajetória dos adolescentes.</w:t>
            </w:r>
          </w:p>
        </w:tc>
        <w:tc>
          <w:tcPr>
            <w:tcW w:w="1021" w:type="pct"/>
            <w:tcBorders>
              <w:top w:val="nil"/>
              <w:left w:val="nil"/>
              <w:bottom w:val="single" w:sz="8" w:space="0" w:color="DDDDDD"/>
              <w:right w:val="single" w:sz="8" w:space="0" w:color="DDDDDD"/>
            </w:tcBorders>
            <w:vAlign w:val="center"/>
            <w:hideMark/>
          </w:tcPr>
          <w:p w14:paraId="5B399205"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As políticas de prevenção devem intervir precocemente na adolescência, especialmente em alimentação, atividade física e uso saudável da mídia.</w:t>
            </w:r>
          </w:p>
        </w:tc>
      </w:tr>
      <w:tr w:rsidR="003A6C47" w:rsidRPr="003A6C47" w14:paraId="08759995" w14:textId="77777777" w:rsidTr="003A6C47">
        <w:trPr>
          <w:trHeight w:val="1120"/>
        </w:trPr>
        <w:tc>
          <w:tcPr>
            <w:tcW w:w="380" w:type="pct"/>
            <w:tcBorders>
              <w:top w:val="nil"/>
              <w:left w:val="single" w:sz="8" w:space="0" w:color="DDDDDD"/>
              <w:bottom w:val="single" w:sz="8" w:space="0" w:color="DDDDDD"/>
              <w:right w:val="single" w:sz="8" w:space="0" w:color="DDDDDD"/>
            </w:tcBorders>
            <w:vAlign w:val="center"/>
            <w:hideMark/>
          </w:tcPr>
          <w:p w14:paraId="06620C53" w14:textId="47A1F5C1"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SILVA et al. (2022</w:t>
            </w:r>
            <w:r w:rsidR="00BC442D" w:rsidRPr="003A6C47">
              <w:rPr>
                <w:rFonts w:ascii="Arial" w:eastAsia="Times New Roman" w:hAnsi="Arial" w:cs="Arial"/>
                <w:color w:val="000000"/>
                <w:sz w:val="20"/>
                <w:szCs w:val="20"/>
                <w:lang w:val="en-US" w:eastAsia="pt-BR"/>
              </w:rPr>
              <w:t>).</w:t>
            </w:r>
          </w:p>
        </w:tc>
        <w:tc>
          <w:tcPr>
            <w:tcW w:w="864" w:type="pct"/>
            <w:tcBorders>
              <w:top w:val="nil"/>
              <w:left w:val="nil"/>
              <w:bottom w:val="single" w:sz="8" w:space="0" w:color="DDDDDD"/>
              <w:right w:val="single" w:sz="8" w:space="0" w:color="DDDDDD"/>
            </w:tcBorders>
            <w:vAlign w:val="center"/>
            <w:hideMark/>
          </w:tcPr>
          <w:p w14:paraId="7A7F70CA"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Identificar fatores socioeconômicos e comportamentais associados ao consumo de ultraprocessados por adolescentes.</w:t>
            </w:r>
          </w:p>
        </w:tc>
        <w:tc>
          <w:tcPr>
            <w:tcW w:w="864" w:type="pct"/>
            <w:tcBorders>
              <w:top w:val="nil"/>
              <w:left w:val="nil"/>
              <w:bottom w:val="single" w:sz="8" w:space="0" w:color="DDDDDD"/>
              <w:right w:val="single" w:sz="8" w:space="0" w:color="DDDDDD"/>
            </w:tcBorders>
            <w:vAlign w:val="center"/>
            <w:hideMark/>
          </w:tcPr>
          <w:p w14:paraId="0616EEC5"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Estudo analítico com dados da Pesquisa Nacional de Saúde do Escolar (PeNSE), usando modelos de regressão.</w:t>
            </w:r>
          </w:p>
        </w:tc>
        <w:tc>
          <w:tcPr>
            <w:tcW w:w="959" w:type="pct"/>
            <w:tcBorders>
              <w:top w:val="nil"/>
              <w:left w:val="nil"/>
              <w:bottom w:val="single" w:sz="8" w:space="0" w:color="DDDDDD"/>
              <w:right w:val="single" w:sz="8" w:space="0" w:color="DDDDDD"/>
            </w:tcBorders>
            <w:vAlign w:val="center"/>
            <w:hideMark/>
          </w:tcPr>
          <w:p w14:paraId="38D2B8EF"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Ultraprocessados como alimentos industrializados, ricos em açúcares, gorduras saturadas e sódio, consumidos com frequência por adolescentes.</w:t>
            </w:r>
          </w:p>
        </w:tc>
        <w:tc>
          <w:tcPr>
            <w:tcW w:w="912" w:type="pct"/>
            <w:tcBorders>
              <w:top w:val="nil"/>
              <w:left w:val="nil"/>
              <w:bottom w:val="single" w:sz="8" w:space="0" w:color="DDDDDD"/>
              <w:right w:val="single" w:sz="8" w:space="0" w:color="DDDDDD"/>
            </w:tcBorders>
            <w:vAlign w:val="center"/>
            <w:hideMark/>
          </w:tcPr>
          <w:p w14:paraId="070D799A"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Fatores como escolaridade dos pais, renda familiar, tempo de tela e acesso a propaganda de alimentos associaram</w:t>
            </w:r>
            <w:r w:rsidRPr="003A6C47">
              <w:rPr>
                <w:rFonts w:ascii="Arial" w:eastAsia="Times New Roman" w:hAnsi="Arial" w:cs="Arial"/>
                <w:color w:val="000000"/>
                <w:sz w:val="20"/>
                <w:szCs w:val="20"/>
                <w:lang w:val="pt-BR" w:eastAsia="pt-BR"/>
              </w:rPr>
              <w:noBreakHyphen/>
              <w:t>se ao maior consumo de ultraprocessados.</w:t>
            </w:r>
          </w:p>
        </w:tc>
        <w:tc>
          <w:tcPr>
            <w:tcW w:w="1021" w:type="pct"/>
            <w:tcBorders>
              <w:top w:val="nil"/>
              <w:left w:val="nil"/>
              <w:bottom w:val="single" w:sz="8" w:space="0" w:color="DDDDDD"/>
              <w:right w:val="single" w:sz="8" w:space="0" w:color="DDDDDD"/>
            </w:tcBorders>
            <w:vAlign w:val="center"/>
            <w:hideMark/>
          </w:tcPr>
          <w:p w14:paraId="2AFEB514"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O consumo de ultraprocessados em adolescentes é multicausal e exige intervenções em ambiente familiar, escolar e regulatórias de marketing.</w:t>
            </w:r>
          </w:p>
        </w:tc>
      </w:tr>
      <w:tr w:rsidR="003A6C47" w:rsidRPr="003A6C47" w14:paraId="29366C29" w14:textId="77777777" w:rsidTr="003A6C47">
        <w:trPr>
          <w:trHeight w:val="1059"/>
        </w:trPr>
        <w:tc>
          <w:tcPr>
            <w:tcW w:w="380" w:type="pct"/>
            <w:tcBorders>
              <w:top w:val="nil"/>
              <w:left w:val="single" w:sz="8" w:space="0" w:color="DDDDDD"/>
              <w:bottom w:val="single" w:sz="8" w:space="0" w:color="DDDDDD"/>
              <w:right w:val="single" w:sz="8" w:space="0" w:color="DDDDDD"/>
            </w:tcBorders>
            <w:vAlign w:val="center"/>
            <w:hideMark/>
          </w:tcPr>
          <w:p w14:paraId="2291B063" w14:textId="48F6A12E"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VIEIRA et al. (2022</w:t>
            </w:r>
            <w:r w:rsidR="00BC442D" w:rsidRPr="003A6C47">
              <w:rPr>
                <w:rFonts w:ascii="Arial" w:eastAsia="Times New Roman" w:hAnsi="Arial" w:cs="Arial"/>
                <w:color w:val="000000"/>
                <w:sz w:val="20"/>
                <w:szCs w:val="20"/>
                <w:lang w:val="en-US" w:eastAsia="pt-BR"/>
              </w:rPr>
              <w:t>).</w:t>
            </w:r>
          </w:p>
        </w:tc>
        <w:tc>
          <w:tcPr>
            <w:tcW w:w="864" w:type="pct"/>
            <w:tcBorders>
              <w:top w:val="nil"/>
              <w:left w:val="nil"/>
              <w:bottom w:val="single" w:sz="8" w:space="0" w:color="DDDDDD"/>
              <w:right w:val="single" w:sz="8" w:space="0" w:color="DDDDDD"/>
            </w:tcBorders>
            <w:vAlign w:val="center"/>
            <w:hideMark/>
          </w:tcPr>
          <w:p w14:paraId="4A2895D7"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Avaliar a prevalência do uso excessivo de redes sociais e seus fatores associados em adolescentes de ensino médio.</w:t>
            </w:r>
          </w:p>
        </w:tc>
        <w:tc>
          <w:tcPr>
            <w:tcW w:w="864" w:type="pct"/>
            <w:tcBorders>
              <w:top w:val="nil"/>
              <w:left w:val="nil"/>
              <w:bottom w:val="single" w:sz="8" w:space="0" w:color="DDDDDD"/>
              <w:right w:val="single" w:sz="8" w:space="0" w:color="DDDDDD"/>
            </w:tcBorders>
            <w:vAlign w:val="center"/>
            <w:hideMark/>
          </w:tcPr>
          <w:p w14:paraId="120924B6"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Estudo transversal com questionários aplicados a estudantes de escolas do sul do Brasil, investigando tempo e padrão de uso de redes sociais.</w:t>
            </w:r>
          </w:p>
        </w:tc>
        <w:tc>
          <w:tcPr>
            <w:tcW w:w="959" w:type="pct"/>
            <w:tcBorders>
              <w:top w:val="nil"/>
              <w:left w:val="nil"/>
              <w:bottom w:val="single" w:sz="8" w:space="0" w:color="DDDDDD"/>
              <w:right w:val="single" w:sz="8" w:space="0" w:color="DDDDDD"/>
            </w:tcBorders>
            <w:vAlign w:val="center"/>
            <w:hideMark/>
          </w:tcPr>
          <w:p w14:paraId="03D21829"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Uso excessivo de redes sociais como padrão de uso problemático, associado a insônia, baixa autoestima, ansiedade e prejuízo social.</w:t>
            </w:r>
          </w:p>
        </w:tc>
        <w:tc>
          <w:tcPr>
            <w:tcW w:w="912" w:type="pct"/>
            <w:tcBorders>
              <w:top w:val="nil"/>
              <w:left w:val="nil"/>
              <w:bottom w:val="single" w:sz="8" w:space="0" w:color="DDDDDD"/>
              <w:right w:val="single" w:sz="8" w:space="0" w:color="DDDDDD"/>
            </w:tcBorders>
            <w:vAlign w:val="center"/>
            <w:hideMark/>
          </w:tcPr>
          <w:p w14:paraId="2DF59FA8"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Mais de um terço dos estudantes apresentou uso excessivo, associado a maior prevalência de sintomas ligados à saúde mental.</w:t>
            </w:r>
          </w:p>
        </w:tc>
        <w:tc>
          <w:tcPr>
            <w:tcW w:w="1021" w:type="pct"/>
            <w:tcBorders>
              <w:top w:val="nil"/>
              <w:left w:val="nil"/>
              <w:bottom w:val="single" w:sz="8" w:space="0" w:color="DDDDDD"/>
              <w:right w:val="single" w:sz="8" w:space="0" w:color="DDDDDD"/>
            </w:tcBorders>
            <w:vAlign w:val="center"/>
            <w:hideMark/>
          </w:tcPr>
          <w:p w14:paraId="42FAC3CD" w14:textId="77777777" w:rsidR="00A876E0" w:rsidRPr="003A6C47" w:rsidRDefault="00A876E0" w:rsidP="003A6C47">
            <w:pPr>
              <w:widowControl/>
              <w:autoSpaceDE/>
              <w:autoSpaceDN/>
              <w:jc w:val="both"/>
              <w:rPr>
                <w:rFonts w:ascii="Arial" w:eastAsia="Times New Roman" w:hAnsi="Arial" w:cs="Arial"/>
                <w:color w:val="000000"/>
                <w:sz w:val="20"/>
                <w:szCs w:val="20"/>
                <w:lang w:val="pt-BR" w:eastAsia="pt-BR"/>
              </w:rPr>
            </w:pPr>
            <w:r w:rsidRPr="003A6C47">
              <w:rPr>
                <w:rFonts w:ascii="Arial" w:eastAsia="Times New Roman" w:hAnsi="Arial" w:cs="Arial"/>
                <w:color w:val="000000"/>
                <w:sz w:val="20"/>
                <w:szCs w:val="20"/>
                <w:lang w:val="pt-BR" w:eastAsia="pt-BR"/>
              </w:rPr>
              <w:t>Intervenções educativas e de mediação familiar são necessárias para reduzir o uso excessivo de redes sociais e seus impactos na saúde mental de adolescentes.</w:t>
            </w:r>
          </w:p>
        </w:tc>
      </w:tr>
    </w:tbl>
    <w:p w14:paraId="4656E658" w14:textId="7DDF4DA9" w:rsidR="00775314" w:rsidRPr="00775314" w:rsidRDefault="00775314" w:rsidP="00775314">
      <w:pPr>
        <w:spacing w:before="120"/>
        <w:jc w:val="both"/>
        <w:rPr>
          <w:rFonts w:ascii="Arial" w:eastAsia="Arial" w:hAnsi="Arial" w:cs="Arial"/>
          <w:sz w:val="20"/>
          <w:szCs w:val="20"/>
        </w:rPr>
      </w:pPr>
      <w:r w:rsidRPr="00775314">
        <w:rPr>
          <w:rFonts w:ascii="Arial" w:eastAsia="Arial" w:hAnsi="Arial" w:cs="Arial"/>
          <w:sz w:val="20"/>
          <w:szCs w:val="20"/>
        </w:rPr>
        <w:t>Fonte: Elaborado pelo autor (2025).</w:t>
      </w:r>
    </w:p>
    <w:p w14:paraId="52ECD029" w14:textId="77777777" w:rsidR="00847CF3" w:rsidRDefault="00847CF3" w:rsidP="00412403">
      <w:pPr>
        <w:spacing w:line="360" w:lineRule="auto"/>
        <w:ind w:firstLine="708"/>
        <w:jc w:val="both"/>
        <w:rPr>
          <w:rFonts w:ascii="Arial" w:eastAsia="Arial" w:hAnsi="Arial" w:cs="Arial"/>
          <w:sz w:val="24"/>
          <w:szCs w:val="24"/>
        </w:rPr>
        <w:sectPr w:rsidR="00847CF3" w:rsidSect="00847CF3">
          <w:pgSz w:w="16850" w:h="11910" w:orient="landscape"/>
          <w:pgMar w:top="992" w:right="998" w:bottom="992" w:left="1060" w:header="0" w:footer="862" w:gutter="0"/>
          <w:cols w:space="720"/>
        </w:sectPr>
      </w:pPr>
    </w:p>
    <w:p w14:paraId="08D3C417" w14:textId="77777777" w:rsidR="00695540" w:rsidRPr="00DD6174" w:rsidRDefault="00695540" w:rsidP="00DD6174">
      <w:pPr>
        <w:pStyle w:val="Ttulo1"/>
        <w:spacing w:line="360" w:lineRule="auto"/>
        <w:rPr>
          <w:color w:val="1F4081"/>
          <w:spacing w:val="-2"/>
          <w:w w:val="95"/>
        </w:rPr>
      </w:pPr>
      <w:r w:rsidRPr="00DD6174">
        <w:rPr>
          <w:color w:val="1F4081"/>
          <w:spacing w:val="-2"/>
          <w:w w:val="95"/>
        </w:rPr>
        <w:lastRenderedPageBreak/>
        <w:t>DISCUSSÃO</w:t>
      </w:r>
    </w:p>
    <w:p w14:paraId="39295B99" w14:textId="58853AAF" w:rsidR="00F25658" w:rsidRDefault="00F25658" w:rsidP="00E8004E">
      <w:pPr>
        <w:spacing w:line="360" w:lineRule="auto"/>
        <w:ind w:firstLine="708"/>
        <w:jc w:val="both"/>
        <w:rPr>
          <w:rFonts w:ascii="Arial" w:eastAsia="Arial" w:hAnsi="Arial" w:cs="Arial"/>
          <w:sz w:val="24"/>
          <w:szCs w:val="24"/>
        </w:rPr>
      </w:pPr>
    </w:p>
    <w:p w14:paraId="2EC77496" w14:textId="77777777" w:rsidR="00D309CE" w:rsidRPr="00D309CE" w:rsidRDefault="00D309CE" w:rsidP="00D309CE">
      <w:pPr>
        <w:spacing w:line="360" w:lineRule="auto"/>
        <w:ind w:firstLine="708"/>
        <w:jc w:val="both"/>
        <w:rPr>
          <w:rFonts w:ascii="Arial" w:eastAsia="Arial" w:hAnsi="Arial" w:cs="Arial"/>
          <w:sz w:val="24"/>
          <w:szCs w:val="24"/>
        </w:rPr>
      </w:pPr>
      <w:r w:rsidRPr="00D309CE">
        <w:rPr>
          <w:rFonts w:ascii="Arial" w:eastAsia="Arial" w:hAnsi="Arial" w:cs="Arial"/>
          <w:sz w:val="24"/>
          <w:szCs w:val="24"/>
        </w:rPr>
        <w:t>Os estudos analisados permitem compreender a relação entre a influência midiática e as escolhas alimentares na adolescência, revelando, ao mesmo tempo, coesões e contradições que ajudam a pensar criticamente o seu objetivo. Assis et al. (2020) mostram que, ao longo de 25 anos, a adolescência se tornou uma categoria central na saúde coletiva, com cerca de 348 artigos produzidos, mas ainda pouco integrados a políticas públicas de saúde integral. Isso sugere que, embora exista produção científica abundante, há fragilidade na tradução desse conhecimento em ações práticas que protejam, de forma efetiva, a saúde alimentar e a imagem corporal dos adolescentes.</w:t>
      </w:r>
    </w:p>
    <w:p w14:paraId="34D07A21" w14:textId="77777777" w:rsidR="00D309CE" w:rsidRPr="00D309CE" w:rsidRDefault="00D309CE" w:rsidP="00D309CE">
      <w:pPr>
        <w:spacing w:line="360" w:lineRule="auto"/>
        <w:ind w:firstLine="708"/>
        <w:jc w:val="both"/>
        <w:rPr>
          <w:rFonts w:ascii="Arial" w:eastAsia="Arial" w:hAnsi="Arial" w:cs="Arial"/>
          <w:sz w:val="24"/>
          <w:szCs w:val="24"/>
        </w:rPr>
      </w:pPr>
      <w:r w:rsidRPr="00D309CE">
        <w:rPr>
          <w:rFonts w:ascii="Arial" w:eastAsia="Arial" w:hAnsi="Arial" w:cs="Arial"/>
          <w:sz w:val="24"/>
          <w:szCs w:val="24"/>
        </w:rPr>
        <w:t>Nesse contexto, Marques et al. (2020) trazem dados preocupantes: apenas 4,7% dos meninos e 4,4% das meninas de 11 anos apresentavam estilo de vida saudável completo, e esse percentual cai para 1,5–3% aos 15 anos, evidenciando que, com a idade, há piora progressiva de hábitos, especialmente em alimentação, atividade física e uso de mídia. Esses achados dialogam com Barbalho et al. (2020), que, em estudo com 572 adolescentes escolares de 12 a 17 anos, encontram 90% de consumo inadequado de alimentos, associados a comportamento sedentário, fatores de risco independentes para sobrepeso e obesidade. A crítica que se impõe é que a adolescência é, muitas vezes, tratada como sujeito de escolha individual, mas os dados mostram que a maioria dos adolescentes está inserida em contextos de risco estrutural, em que a alimentação saudável não é prioridade na rotina familiar, escolar e na própria oferta de mercado.</w:t>
      </w:r>
    </w:p>
    <w:p w14:paraId="3CEA2373" w14:textId="77777777" w:rsidR="00D309CE" w:rsidRPr="00D309CE" w:rsidRDefault="00D309CE" w:rsidP="00D309CE">
      <w:pPr>
        <w:spacing w:line="360" w:lineRule="auto"/>
        <w:ind w:firstLine="708"/>
        <w:jc w:val="both"/>
        <w:rPr>
          <w:rFonts w:ascii="Arial" w:eastAsia="Arial" w:hAnsi="Arial" w:cs="Arial"/>
          <w:sz w:val="24"/>
          <w:szCs w:val="24"/>
        </w:rPr>
      </w:pPr>
      <w:r w:rsidRPr="00D309CE">
        <w:rPr>
          <w:rFonts w:ascii="Arial" w:eastAsia="Arial" w:hAnsi="Arial" w:cs="Arial"/>
          <w:sz w:val="24"/>
          <w:szCs w:val="24"/>
        </w:rPr>
        <w:t>A influência da mídia aparece diretamente conectada a esse cenário. Silva et al. (2022), usando dados da PeNSE</w:t>
      </w:r>
      <w:r w:rsidRPr="00D309CE">
        <w:rPr>
          <w:rFonts w:ascii="Arial" w:eastAsia="Arial" w:hAnsi="Arial" w:cs="Arial"/>
          <w:sz w:val="24"/>
          <w:szCs w:val="24"/>
        </w:rPr>
        <w:noBreakHyphen/>
        <w:t>2015 com adolescentes de 13 a 17 anos, mostram que 75,4% deles consomem em excesso ultraprocessados, sendo esse consumo associado a maior tempo de tela e exposição a propaganda de alimentos. De forma complementar, Micheletti &amp; Melo (2020) e Cruz et al. (2021) evidenciam que a mídia, especialmente a publicidade em programas infantis e a publicidade global, promove a padronização de hábitos alimentares não saudáveis, com preferência por fast</w:t>
      </w:r>
      <w:r w:rsidRPr="00D309CE">
        <w:rPr>
          <w:rFonts w:ascii="Arial" w:eastAsia="Arial" w:hAnsi="Arial" w:cs="Arial"/>
          <w:sz w:val="24"/>
          <w:szCs w:val="24"/>
        </w:rPr>
        <w:noBreakHyphen/>
        <w:t>food e produtos industrializados. A crítica aqui é que a indústria e a mídia operam de forma articulada, vendendo não apenas alimentos, mas um estilo de vida que valoriza a conveniência e o prazer imediato, em detrimento da saúde a longo prazo.</w:t>
      </w:r>
    </w:p>
    <w:p w14:paraId="7D5EB5FC" w14:textId="77777777" w:rsidR="00D309CE" w:rsidRPr="00D309CE" w:rsidRDefault="00D309CE" w:rsidP="00D309CE">
      <w:pPr>
        <w:spacing w:line="360" w:lineRule="auto"/>
        <w:ind w:firstLine="708"/>
        <w:jc w:val="both"/>
        <w:rPr>
          <w:rFonts w:ascii="Arial" w:eastAsia="Arial" w:hAnsi="Arial" w:cs="Arial"/>
          <w:sz w:val="24"/>
          <w:szCs w:val="24"/>
        </w:rPr>
      </w:pPr>
      <w:r w:rsidRPr="00D309CE">
        <w:rPr>
          <w:rFonts w:ascii="Arial" w:eastAsia="Arial" w:hAnsi="Arial" w:cs="Arial"/>
          <w:sz w:val="24"/>
          <w:szCs w:val="24"/>
        </w:rPr>
        <w:t xml:space="preserve">Ao mesmo tempo, parte da literatura discute a outra face da mesma moeda: a pressão estética. Bittar &amp; Soares (2020) e Lopes &amp; Trajano (2021) apontam que a mídia, sobretudo as redes sociais, reforça padrões de magreza extrema, associando corpos muito magros a beleza, sucesso e aceitação social. Essa lógica aumenta a insatisfação corporal e o risco de transtornos alimentares, como anorexia, bulimia e compulsão. Vieira et al. (2022) reforçam esse ponto ao mostrar que 35,9% de estudantes de ensino médio (em geral de 15 a 18 anos) </w:t>
      </w:r>
      <w:r w:rsidRPr="00D309CE">
        <w:rPr>
          <w:rFonts w:ascii="Arial" w:eastAsia="Arial" w:hAnsi="Arial" w:cs="Arial"/>
          <w:sz w:val="24"/>
          <w:szCs w:val="24"/>
        </w:rPr>
        <w:lastRenderedPageBreak/>
        <w:t>utilizam redes sociais mais de cinco horas diárias, o que se associa a sintomas de depressão, ansiedade, estresse e risco de suicídio. A crítica central é que a mídia, ao mesmo tempo em que divulga ideal de magreza, expõe adolescentes a conteúdos que os fragilizam psicologicamente, colocando</w:t>
      </w:r>
      <w:r w:rsidRPr="00D309CE">
        <w:rPr>
          <w:rFonts w:ascii="Arial" w:eastAsia="Arial" w:hAnsi="Arial" w:cs="Arial"/>
          <w:sz w:val="24"/>
          <w:szCs w:val="24"/>
        </w:rPr>
        <w:noBreakHyphen/>
        <w:t>os em um campo contraditório: precisam ser magros, mas vivem em um ambiente que estimula o consumo de alimentos altamente calóricos e que, muitas vezes, não oferece condições reais de alcançar esse padrão de forma saudável.</w:t>
      </w:r>
    </w:p>
    <w:p w14:paraId="35788221" w14:textId="77777777" w:rsidR="00D309CE" w:rsidRPr="00D309CE" w:rsidRDefault="00D309CE" w:rsidP="00D309CE">
      <w:pPr>
        <w:spacing w:line="360" w:lineRule="auto"/>
        <w:ind w:firstLine="708"/>
        <w:jc w:val="both"/>
        <w:rPr>
          <w:rFonts w:ascii="Arial" w:eastAsia="Arial" w:hAnsi="Arial" w:cs="Arial"/>
          <w:sz w:val="24"/>
          <w:szCs w:val="24"/>
        </w:rPr>
      </w:pPr>
      <w:r w:rsidRPr="00D309CE">
        <w:rPr>
          <w:rFonts w:ascii="Arial" w:eastAsia="Arial" w:hAnsi="Arial" w:cs="Arial"/>
          <w:sz w:val="24"/>
          <w:szCs w:val="24"/>
        </w:rPr>
        <w:t>Em meio a esse cenário, D’Avila et al. (2020) mostram que já existem instrumentos válidos para avaliar o comportamento alimentar de crianças e adolescentes, com boa confiabilidade interna (Cronbach &gt; 0,80), o que seria um ponto de apoio para intervenções precoces. No entanto, a crítica é que a presença desses instrumentos não se traduz, em grande parte, em políticas de saúde pública que usem esses dados para ações contínuas de promoção e de regulamentação de publicidade alimentar. Da mesma forma, CGI.br (2022) revela que 93% dos jovens de 9 a 17 anos acessam a internet e 78% usam redes sociais, o que amplia a exposição a conteúdos de marketing e a padrões corporais midiáticos, sem que haja uma estrutura de proteção educativa e normativa proporcional a esse nível de conexão.</w:t>
      </w:r>
    </w:p>
    <w:p w14:paraId="6B24EFF2" w14:textId="42B40A06" w:rsidR="00D309CE" w:rsidRDefault="00D309CE" w:rsidP="00D309CE">
      <w:pPr>
        <w:spacing w:line="360" w:lineRule="auto"/>
        <w:ind w:firstLine="708"/>
        <w:jc w:val="both"/>
        <w:rPr>
          <w:rFonts w:ascii="Arial" w:eastAsia="Arial" w:hAnsi="Arial" w:cs="Arial"/>
          <w:color w:val="EE0000"/>
          <w:sz w:val="24"/>
          <w:szCs w:val="24"/>
        </w:rPr>
      </w:pPr>
      <w:r w:rsidRPr="00D309CE">
        <w:rPr>
          <w:rFonts w:ascii="Arial" w:eastAsia="Arial" w:hAnsi="Arial" w:cs="Arial"/>
          <w:sz w:val="24"/>
          <w:szCs w:val="24"/>
        </w:rPr>
        <w:t xml:space="preserve">A partir desses dados, é possível articular uma discussão crítica com </w:t>
      </w:r>
      <w:r w:rsidR="00B67A67">
        <w:rPr>
          <w:rFonts w:ascii="Arial" w:eastAsia="Arial" w:hAnsi="Arial" w:cs="Arial"/>
          <w:sz w:val="24"/>
          <w:szCs w:val="24"/>
        </w:rPr>
        <w:t xml:space="preserve">este trabalho </w:t>
      </w:r>
      <w:r w:rsidRPr="00D309CE">
        <w:rPr>
          <w:rFonts w:ascii="Arial" w:eastAsia="Arial" w:hAnsi="Arial" w:cs="Arial"/>
          <w:sz w:val="24"/>
          <w:szCs w:val="24"/>
        </w:rPr>
        <w:t>analisar a relação entre a influência midiática e as escolhas alimentares, considerando os impactos sobre a imagem corporal e o possível desenvolvimento de transtornos alimentares nessa faixa etária. Os estudos mostram que a adolescência é marcada por aumento de sobrepeso e obesidade, associado a alto consumo de ultraprocessados e baixa atividade física, ao passo que a mídia, via internet e redes sociais, reforça insatisfação corporal e riscos de transtornos alimentares. A contradição fica clara: enquanto a sociedade se preocupa com a “obesidade” e com os “corpos gordos”, aceita, em grande medida, uma indústria e uma mídia que vendem, em escala, hábitos alimentares não saudáveis voltados exatamente para esse público.</w:t>
      </w:r>
      <w:r w:rsidR="007A2DAA">
        <w:rPr>
          <w:rFonts w:ascii="Arial" w:eastAsia="Arial" w:hAnsi="Arial" w:cs="Arial"/>
          <w:color w:val="EE0000"/>
          <w:sz w:val="24"/>
          <w:szCs w:val="24"/>
        </w:rPr>
        <w:t xml:space="preserve"> </w:t>
      </w:r>
    </w:p>
    <w:p w14:paraId="33BD666F" w14:textId="41201A36" w:rsidR="00D50536" w:rsidRPr="00D50536" w:rsidRDefault="00D50536" w:rsidP="00D309CE">
      <w:pPr>
        <w:spacing w:line="360" w:lineRule="auto"/>
        <w:ind w:firstLine="708"/>
        <w:jc w:val="both"/>
        <w:rPr>
          <w:rFonts w:ascii="Arial" w:eastAsia="Arial" w:hAnsi="Arial" w:cs="Arial"/>
          <w:sz w:val="24"/>
          <w:szCs w:val="24"/>
        </w:rPr>
      </w:pPr>
      <w:r w:rsidRPr="00D50536">
        <w:rPr>
          <w:rFonts w:ascii="Arial" w:eastAsia="Arial" w:hAnsi="Arial" w:cs="Arial"/>
          <w:sz w:val="24"/>
          <w:szCs w:val="24"/>
        </w:rPr>
        <w:t>Além disso, os transtornos alimentares na adolescência não devem ser vistos só como escolha individual, mas como reflexo de um contexto social e emocional. Nessa fase, o corpo ganha muita importância na aceitação social, e a alimentação passa a ter um significado além do biológico. A comparação constante com padrões irreais, principalmente nas redes sociais, aumenta a insatisfação corporal e pode levar a comportamentos como restrição alimentar ou compulsão. Isso mostra que o problema vai além da mídia em si, envolvendo também falta de orientação, apoio emocional e um ambiente que ao mesmo tempo estimula o consumo exagerado e cobra um corpo “ideal”.</w:t>
      </w:r>
    </w:p>
    <w:p w14:paraId="6F384700" w14:textId="77777777" w:rsidR="00D309CE" w:rsidRDefault="00D309CE" w:rsidP="00D309CE">
      <w:pPr>
        <w:spacing w:line="360" w:lineRule="auto"/>
        <w:ind w:firstLine="708"/>
        <w:jc w:val="both"/>
        <w:rPr>
          <w:rFonts w:ascii="Arial" w:eastAsia="Arial" w:hAnsi="Arial" w:cs="Arial"/>
          <w:sz w:val="24"/>
          <w:szCs w:val="24"/>
        </w:rPr>
      </w:pPr>
      <w:r w:rsidRPr="00D309CE">
        <w:rPr>
          <w:rFonts w:ascii="Arial" w:eastAsia="Arial" w:hAnsi="Arial" w:cs="Arial"/>
          <w:sz w:val="24"/>
          <w:szCs w:val="24"/>
        </w:rPr>
        <w:t xml:space="preserve">A crítica que se impõe, portanto, é que muitas das propostas de Educação Alimentar e Nutricional (EAN), embora necessárias, ainda se limitam a intervenções de orientação individual, sem que se articulem com regulação de publicidade, limites à exposição de </w:t>
      </w:r>
      <w:r w:rsidRPr="00D309CE">
        <w:rPr>
          <w:rFonts w:ascii="Arial" w:eastAsia="Arial" w:hAnsi="Arial" w:cs="Arial"/>
          <w:sz w:val="24"/>
          <w:szCs w:val="24"/>
        </w:rPr>
        <w:lastRenderedPageBreak/>
        <w:t xml:space="preserve">anúncios para crianças e adolescentes e políticas de cibersegurança. Ainda que haja instrumentos de avaliação, estudos de consumo, revisões sobre mídia e dados de uso de redes sociais, a discussão permanece fragmentada, sem uma crítica unificada à responsabilidade social da indústria alimentar e da mídia ante a saúde física e mental dos adolescentes. </w:t>
      </w:r>
    </w:p>
    <w:p w14:paraId="03160D74" w14:textId="71B43AF5" w:rsidR="00D309CE" w:rsidRDefault="00D309CE" w:rsidP="00D309CE">
      <w:pPr>
        <w:spacing w:line="360" w:lineRule="auto"/>
        <w:ind w:firstLine="708"/>
        <w:jc w:val="both"/>
        <w:rPr>
          <w:rFonts w:ascii="Arial" w:eastAsia="Arial" w:hAnsi="Arial" w:cs="Arial"/>
          <w:sz w:val="24"/>
          <w:szCs w:val="24"/>
        </w:rPr>
      </w:pPr>
      <w:r w:rsidRPr="00D309CE">
        <w:rPr>
          <w:rFonts w:ascii="Arial" w:eastAsia="Arial" w:hAnsi="Arial" w:cs="Arial"/>
          <w:sz w:val="24"/>
          <w:szCs w:val="24"/>
        </w:rPr>
        <w:t xml:space="preserve">Nesse sentido, </w:t>
      </w:r>
      <w:r w:rsidR="00AC2CC6">
        <w:rPr>
          <w:rFonts w:ascii="Arial" w:eastAsia="Arial" w:hAnsi="Arial" w:cs="Arial"/>
          <w:sz w:val="24"/>
          <w:szCs w:val="24"/>
        </w:rPr>
        <w:t xml:space="preserve">este </w:t>
      </w:r>
      <w:r w:rsidRPr="00D309CE">
        <w:rPr>
          <w:rFonts w:ascii="Arial" w:eastAsia="Arial" w:hAnsi="Arial" w:cs="Arial"/>
          <w:sz w:val="24"/>
          <w:szCs w:val="24"/>
        </w:rPr>
        <w:t xml:space="preserve"> estudo contribui ao tentar aproximar esses fragmentos, ao analisar concretamente como a influência midiática se traduz em escolhas alimentares, imagem corporal distorcida e possibilidade de transtornos alimentares, oferecendo uma visão mais integrada do problema e reforçando a necessidade de intervenções que vão além da sala de aula, atingindo as estruturas de mercado e mídia que moldam a adolescência contemporânea.</w:t>
      </w:r>
    </w:p>
    <w:p w14:paraId="2B91762A" w14:textId="066EFB29" w:rsidR="00FF3150" w:rsidRDefault="00FF3150" w:rsidP="00D309CE">
      <w:pPr>
        <w:spacing w:line="360" w:lineRule="auto"/>
        <w:ind w:firstLine="708"/>
        <w:jc w:val="both"/>
        <w:rPr>
          <w:rFonts w:ascii="Arial" w:eastAsia="Arial" w:hAnsi="Arial" w:cs="Arial"/>
          <w:sz w:val="24"/>
          <w:szCs w:val="24"/>
        </w:rPr>
      </w:pPr>
    </w:p>
    <w:p w14:paraId="7D7FD43D" w14:textId="60C85113" w:rsidR="00FF3150" w:rsidRDefault="00FF3150" w:rsidP="00FF3150">
      <w:pPr>
        <w:pStyle w:val="Ttulo1"/>
        <w:spacing w:line="360" w:lineRule="auto"/>
        <w:ind w:left="0"/>
        <w:rPr>
          <w:color w:val="1F4081"/>
          <w:spacing w:val="-2"/>
          <w:w w:val="95"/>
        </w:rPr>
      </w:pPr>
      <w:r>
        <w:rPr>
          <w:color w:val="1F4081"/>
          <w:spacing w:val="-2"/>
          <w:w w:val="95"/>
        </w:rPr>
        <w:t>CONCLUSÃO</w:t>
      </w:r>
    </w:p>
    <w:p w14:paraId="0A7EE90B" w14:textId="77777777" w:rsidR="00FF3150" w:rsidRPr="00A720CA" w:rsidRDefault="00FF3150" w:rsidP="00FF3150">
      <w:pPr>
        <w:pStyle w:val="Ttulo1"/>
        <w:spacing w:line="360" w:lineRule="auto"/>
        <w:ind w:left="0"/>
        <w:rPr>
          <w:color w:val="1F4081"/>
          <w:spacing w:val="-2"/>
          <w:w w:val="95"/>
        </w:rPr>
      </w:pPr>
    </w:p>
    <w:p w14:paraId="59E26680" w14:textId="77777777" w:rsidR="004175F2" w:rsidRPr="004175F2" w:rsidRDefault="004175F2" w:rsidP="004175F2">
      <w:pPr>
        <w:spacing w:line="360" w:lineRule="auto"/>
        <w:ind w:firstLine="708"/>
        <w:jc w:val="both"/>
        <w:rPr>
          <w:rFonts w:ascii="Arial" w:eastAsia="Arial" w:hAnsi="Arial" w:cs="Arial"/>
          <w:sz w:val="24"/>
          <w:szCs w:val="24"/>
        </w:rPr>
      </w:pPr>
      <w:r w:rsidRPr="004175F2">
        <w:rPr>
          <w:rFonts w:ascii="Arial" w:eastAsia="Arial" w:hAnsi="Arial" w:cs="Arial"/>
          <w:sz w:val="24"/>
          <w:szCs w:val="24"/>
        </w:rPr>
        <w:t>Diante dos resultados analisados, este trabalho atingiu o objetivo proposto ao demonstrar que a influência da mídia está diretamente associada ao comportamento alimentar e à percepção corporal de adolescentes. Evidenciou-se que a exposição a conteúdos midiáticos altera preferências alimentares em 72% dos casos (Micheletti; Melo, 2020), ao mesmo tempo em que se observa elevada prevalência de consumo alimentar inadequado (90%) e ingestão excessiva de ultraprocessados (75,4%), associados ao tempo de tela (Barbalho et al., 2020; Silva et al., 2022).</w:t>
      </w:r>
    </w:p>
    <w:p w14:paraId="5D831510" w14:textId="77777777" w:rsidR="004175F2" w:rsidRPr="004175F2" w:rsidRDefault="004175F2" w:rsidP="004175F2">
      <w:pPr>
        <w:spacing w:line="360" w:lineRule="auto"/>
        <w:ind w:firstLine="708"/>
        <w:jc w:val="both"/>
        <w:rPr>
          <w:rFonts w:ascii="Arial" w:eastAsia="Arial" w:hAnsi="Arial" w:cs="Arial"/>
          <w:sz w:val="24"/>
          <w:szCs w:val="24"/>
        </w:rPr>
      </w:pPr>
      <w:r w:rsidRPr="004175F2">
        <w:rPr>
          <w:rFonts w:ascii="Arial" w:eastAsia="Arial" w:hAnsi="Arial" w:cs="Arial"/>
          <w:sz w:val="24"/>
          <w:szCs w:val="24"/>
        </w:rPr>
        <w:t>Além disso, este trabalho demonstrou que a mídia também impacta a imagem corporal, contribuindo para a insatisfação e aumento do risco de transtornos alimentares (Bittar; Soares, 2020; Lopes; Trajano, 2021), cenário intensificado pelo uso excessivo de redes sociais, presente em 35,9% dos adolescentes (Vieira et al., 2022).</w:t>
      </w:r>
    </w:p>
    <w:p w14:paraId="08CBFB7B" w14:textId="77777777" w:rsidR="004175F2" w:rsidRPr="004175F2" w:rsidRDefault="004175F2" w:rsidP="004175F2">
      <w:pPr>
        <w:spacing w:line="360" w:lineRule="auto"/>
        <w:ind w:firstLine="708"/>
        <w:jc w:val="both"/>
        <w:rPr>
          <w:rFonts w:ascii="Arial" w:eastAsia="Arial" w:hAnsi="Arial" w:cs="Arial"/>
          <w:sz w:val="24"/>
          <w:szCs w:val="24"/>
        </w:rPr>
      </w:pPr>
      <w:r w:rsidRPr="004175F2">
        <w:rPr>
          <w:rFonts w:ascii="Arial" w:eastAsia="Arial" w:hAnsi="Arial" w:cs="Arial"/>
          <w:sz w:val="24"/>
          <w:szCs w:val="24"/>
        </w:rPr>
        <w:t>Dessa forma, este trabalho evidencia que a mídia não atua apenas como influência secundária, mas como elemento ativo na formação de comportamentos alimentares de risco na adolescência.</w:t>
      </w:r>
    </w:p>
    <w:p w14:paraId="147B4A0B" w14:textId="77777777" w:rsidR="004175F2" w:rsidRPr="004175F2" w:rsidRDefault="004175F2" w:rsidP="004175F2">
      <w:pPr>
        <w:spacing w:line="360" w:lineRule="auto"/>
        <w:ind w:firstLine="708"/>
        <w:jc w:val="both"/>
        <w:rPr>
          <w:rFonts w:ascii="Arial" w:eastAsia="Arial" w:hAnsi="Arial" w:cs="Arial"/>
          <w:sz w:val="24"/>
          <w:szCs w:val="24"/>
        </w:rPr>
      </w:pPr>
      <w:r w:rsidRPr="004175F2">
        <w:rPr>
          <w:rFonts w:ascii="Arial" w:eastAsia="Arial" w:hAnsi="Arial" w:cs="Arial"/>
          <w:sz w:val="24"/>
          <w:szCs w:val="24"/>
        </w:rPr>
        <w:t>No contexto da prática clínica, este trabalho direciona a atuação do nutricionista ao demonstrar que a avaliação do adolescente deve incluir, de forma sistemática, o tempo de exposição às mídias, o contato com publicidade alimentar e a percepção da imagem corporal. Esses elementos permitem identificar padrões de risco que não são detectados apenas pela avaliação alimentar tradicional, possibilitando intervenções mais precisas.</w:t>
      </w:r>
    </w:p>
    <w:p w14:paraId="58D44FDA" w14:textId="77777777" w:rsidR="004175F2" w:rsidRPr="004175F2" w:rsidRDefault="004175F2" w:rsidP="004175F2">
      <w:pPr>
        <w:spacing w:line="360" w:lineRule="auto"/>
        <w:ind w:firstLine="708"/>
        <w:jc w:val="both"/>
        <w:rPr>
          <w:rFonts w:ascii="Arial" w:eastAsia="Arial" w:hAnsi="Arial" w:cs="Arial"/>
          <w:sz w:val="24"/>
          <w:szCs w:val="24"/>
        </w:rPr>
      </w:pPr>
      <w:r w:rsidRPr="004175F2">
        <w:rPr>
          <w:rFonts w:ascii="Arial" w:eastAsia="Arial" w:hAnsi="Arial" w:cs="Arial"/>
          <w:sz w:val="24"/>
          <w:szCs w:val="24"/>
        </w:rPr>
        <w:t>Assim, este trabalho reforça que a atuação do nutricionista deve ir além da prescrição dietética, incorporando a análise dos fatores midiáticos como parte essencial do cuidado, tornando a intervenção mais efetiva frente às condições reais que influenciam o comportamento alimentar dos adolescentes.</w:t>
      </w:r>
    </w:p>
    <w:p w14:paraId="0A293C0C" w14:textId="77777777" w:rsidR="00D309CE" w:rsidRPr="00D309CE" w:rsidRDefault="00D309CE" w:rsidP="00E8004E">
      <w:pPr>
        <w:spacing w:line="360" w:lineRule="auto"/>
        <w:ind w:firstLine="708"/>
        <w:jc w:val="both"/>
        <w:rPr>
          <w:rFonts w:ascii="Arial" w:eastAsia="Arial" w:hAnsi="Arial" w:cs="Arial"/>
          <w:sz w:val="24"/>
          <w:szCs w:val="24"/>
          <w:lang w:val="pt-BR"/>
        </w:rPr>
      </w:pPr>
    </w:p>
    <w:p w14:paraId="57D20D9C" w14:textId="4C3C22B9" w:rsidR="00BC51D0" w:rsidRPr="00A720CA" w:rsidRDefault="00BC51D0" w:rsidP="003A6C47">
      <w:pPr>
        <w:pStyle w:val="Ttulo1"/>
        <w:spacing w:line="360" w:lineRule="auto"/>
        <w:ind w:left="0"/>
        <w:rPr>
          <w:color w:val="1F4081"/>
          <w:spacing w:val="-2"/>
          <w:w w:val="95"/>
        </w:rPr>
      </w:pPr>
      <w:r w:rsidRPr="00A720CA">
        <w:rPr>
          <w:color w:val="1F4081"/>
          <w:spacing w:val="-2"/>
          <w:w w:val="95"/>
        </w:rPr>
        <w:t>REFERÊNCIAS</w:t>
      </w:r>
    </w:p>
    <w:p w14:paraId="58CAB0C8" w14:textId="77777777" w:rsidR="00E8004E" w:rsidRDefault="00E8004E" w:rsidP="0003531F">
      <w:pPr>
        <w:ind w:firstLine="708"/>
        <w:jc w:val="both"/>
        <w:rPr>
          <w:rFonts w:ascii="Arial" w:eastAsia="Arial" w:hAnsi="Arial" w:cs="Arial"/>
          <w:sz w:val="24"/>
          <w:szCs w:val="24"/>
        </w:rPr>
      </w:pPr>
    </w:p>
    <w:p w14:paraId="1B736011" w14:textId="77777777" w:rsidR="00A876E0" w:rsidRPr="00BF4B75" w:rsidRDefault="00A876E0" w:rsidP="00A876E0">
      <w:pPr>
        <w:jc w:val="both"/>
        <w:rPr>
          <w:rFonts w:ascii="Arial" w:eastAsia="helvetica neue" w:hAnsi="Arial" w:cs="Arial"/>
          <w:sz w:val="24"/>
          <w:szCs w:val="24"/>
        </w:rPr>
      </w:pPr>
      <w:r w:rsidRPr="00BF4B75">
        <w:rPr>
          <w:rFonts w:ascii="Arial" w:eastAsia="Georgia" w:hAnsi="Arial" w:cs="Arial"/>
          <w:color w:val="000000"/>
          <w:sz w:val="24"/>
          <w:szCs w:val="24"/>
        </w:rPr>
        <w:t xml:space="preserve">Aprelini, C. M. O., Cattafesta, M., Zandonade, E., Abreu, M. N. S., &amp; Sichieri, R. (2021). Tendência da prevalência do sobrepeso e obesidade no Espírito Santo: estudo ecológico, 2009–2018. </w:t>
      </w:r>
      <w:r w:rsidRPr="00BF4B75">
        <w:rPr>
          <w:rFonts w:ascii="Arial" w:eastAsia="Georgia" w:hAnsi="Arial" w:cs="Arial"/>
          <w:i/>
          <w:color w:val="000000"/>
          <w:sz w:val="24"/>
          <w:szCs w:val="24"/>
        </w:rPr>
        <w:t>Epidemiologia e Serviços de Saúde, 30</w:t>
      </w:r>
      <w:r w:rsidRPr="00BF4B75">
        <w:rPr>
          <w:rFonts w:ascii="Arial" w:eastAsia="Georgia" w:hAnsi="Arial" w:cs="Arial"/>
          <w:color w:val="000000"/>
          <w:sz w:val="24"/>
          <w:szCs w:val="24"/>
        </w:rPr>
        <w:t xml:space="preserve">(3), e2020961. </w:t>
      </w:r>
      <w:hyperlink r:id="rId15">
        <w:r w:rsidRPr="00BF4B75">
          <w:rPr>
            <w:rFonts w:ascii="Arial" w:eastAsia="helvetica neue" w:hAnsi="Arial" w:cs="Arial"/>
            <w:sz w:val="24"/>
            <w:szCs w:val="24"/>
          </w:rPr>
          <w:t>https://doi.org/10.1590/S1679-49742021000300017</w:t>
        </w:r>
      </w:hyperlink>
    </w:p>
    <w:p w14:paraId="34393AA0" w14:textId="77777777" w:rsidR="00A876E0" w:rsidRPr="00BF4B75" w:rsidRDefault="00A876E0" w:rsidP="00A876E0">
      <w:pPr>
        <w:jc w:val="both"/>
        <w:rPr>
          <w:rFonts w:ascii="Arial" w:eastAsia="helvetica neue" w:hAnsi="Arial" w:cs="Arial"/>
          <w:sz w:val="24"/>
          <w:szCs w:val="24"/>
        </w:rPr>
      </w:pPr>
    </w:p>
    <w:p w14:paraId="128AECC9" w14:textId="77777777" w:rsidR="00A876E0" w:rsidRPr="00BF4B75" w:rsidRDefault="00A876E0" w:rsidP="00A876E0">
      <w:pPr>
        <w:jc w:val="both"/>
        <w:rPr>
          <w:rFonts w:ascii="Arial" w:hAnsi="Arial" w:cs="Arial"/>
          <w:sz w:val="24"/>
          <w:szCs w:val="24"/>
        </w:rPr>
      </w:pPr>
      <w:r w:rsidRPr="00BF4B75">
        <w:rPr>
          <w:rFonts w:ascii="Arial" w:eastAsia="Georgia" w:hAnsi="Arial" w:cs="Arial"/>
          <w:color w:val="000000"/>
          <w:sz w:val="24"/>
          <w:szCs w:val="24"/>
          <w:lang w:val="en-US"/>
        </w:rPr>
        <w:t xml:space="preserve">Assis, M. L. et al. </w:t>
      </w:r>
      <w:r w:rsidRPr="00BF4B75">
        <w:rPr>
          <w:rFonts w:ascii="Arial" w:eastAsia="Georgia" w:hAnsi="Arial" w:cs="Arial"/>
          <w:color w:val="000000"/>
          <w:sz w:val="24"/>
          <w:szCs w:val="24"/>
        </w:rPr>
        <w:t xml:space="preserve">(2020). O tema da adolescência na saúde coletiva – revisitando 25 anos de publicações. </w:t>
      </w:r>
      <w:r w:rsidRPr="00BF4B75">
        <w:rPr>
          <w:rFonts w:ascii="Arial" w:eastAsia="Georgia" w:hAnsi="Arial" w:cs="Arial"/>
          <w:i/>
          <w:color w:val="000000"/>
          <w:sz w:val="24"/>
          <w:szCs w:val="24"/>
        </w:rPr>
        <w:t>Ciência &amp; Saúde Coletiva, 25</w:t>
      </w:r>
      <w:r w:rsidRPr="00BF4B75">
        <w:rPr>
          <w:rFonts w:ascii="Arial" w:eastAsia="Georgia" w:hAnsi="Arial" w:cs="Arial"/>
          <w:color w:val="000000"/>
          <w:sz w:val="24"/>
          <w:szCs w:val="24"/>
        </w:rPr>
        <w:t xml:space="preserve">(12), 4831–4842. </w:t>
      </w:r>
      <w:hyperlink r:id="rId16">
        <w:r w:rsidRPr="00BF4B75">
          <w:rPr>
            <w:rFonts w:ascii="Arial" w:eastAsia="helvetica neue" w:hAnsi="Arial" w:cs="Arial"/>
            <w:sz w:val="24"/>
            <w:szCs w:val="24"/>
          </w:rPr>
          <w:t>https://doi.org/10.1590/1413-812320202512.17652</w:t>
        </w:r>
      </w:hyperlink>
    </w:p>
    <w:p w14:paraId="76AA9AA1" w14:textId="77777777" w:rsidR="00A876E0" w:rsidRPr="00BF4B75" w:rsidRDefault="00A876E0" w:rsidP="00A876E0">
      <w:pPr>
        <w:jc w:val="both"/>
        <w:rPr>
          <w:rFonts w:ascii="Arial" w:eastAsia="Georgia" w:hAnsi="Arial" w:cs="Arial"/>
          <w:color w:val="000000"/>
          <w:sz w:val="24"/>
          <w:szCs w:val="24"/>
        </w:rPr>
      </w:pPr>
    </w:p>
    <w:p w14:paraId="09FB1ADD" w14:textId="77777777" w:rsidR="00A876E0" w:rsidRPr="00A876E0" w:rsidRDefault="00A876E0" w:rsidP="00A876E0">
      <w:pPr>
        <w:jc w:val="both"/>
        <w:rPr>
          <w:rFonts w:ascii="Arial" w:eastAsia="Georgia" w:hAnsi="Arial" w:cs="Arial"/>
          <w:color w:val="000000"/>
          <w:sz w:val="24"/>
          <w:szCs w:val="24"/>
          <w:lang w:val="en-US"/>
        </w:rPr>
      </w:pPr>
      <w:r w:rsidRPr="00BF4B75">
        <w:rPr>
          <w:rFonts w:ascii="Arial" w:eastAsia="Georgia" w:hAnsi="Arial" w:cs="Arial"/>
          <w:color w:val="000000"/>
          <w:sz w:val="24"/>
          <w:szCs w:val="24"/>
        </w:rPr>
        <w:t xml:space="preserve">Barbalho, E. V., Bandeira, L. M., Mota, J. A. P., Gentil, P., &amp; Brito, C. J. (2020). Influência do consumo alimentar e da prática de atividade física na prevalência do sobrepeso/obesidade em adolescentes escolares. Cadernos Saúde Coletiva, 28(1), 12–23. </w:t>
      </w:r>
      <w:hyperlink r:id="rId17">
        <w:r w:rsidRPr="00BF4B75">
          <w:rPr>
            <w:rFonts w:ascii="Arial" w:eastAsia="helvetica neue" w:hAnsi="Arial" w:cs="Arial"/>
            <w:sz w:val="24"/>
            <w:szCs w:val="24"/>
          </w:rPr>
          <w:t>https://doi.org/10.1590/1414-462X202028010181</w:t>
        </w:r>
      </w:hyperlink>
      <w:r w:rsidRPr="00BF4B75">
        <w:rPr>
          <w:rFonts w:ascii="Arial" w:eastAsia="Georgia" w:hAnsi="Arial" w:cs="Arial"/>
          <w:color w:val="000000"/>
          <w:sz w:val="24"/>
          <w:szCs w:val="24"/>
        </w:rPr>
        <w:br/>
        <w:t> </w:t>
      </w:r>
      <w:r w:rsidRPr="00BF4B75">
        <w:rPr>
          <w:rFonts w:ascii="Arial" w:eastAsia="Georgia" w:hAnsi="Arial" w:cs="Arial"/>
          <w:color w:val="000000"/>
          <w:sz w:val="24"/>
          <w:szCs w:val="24"/>
        </w:rPr>
        <w:br/>
        <w:t xml:space="preserve">Bittar, C., &amp; Soares, A. (2020). Mídia e comportamento alimentar na adolescência. DEMETRA: Alimentação, Nutrição &amp; Saúde, 15, e43161. </w:t>
      </w:r>
      <w:hyperlink r:id="rId18">
        <w:r w:rsidRPr="00BF4B75">
          <w:rPr>
            <w:rFonts w:ascii="Arial" w:eastAsia="helvetica neue" w:hAnsi="Arial" w:cs="Arial"/>
            <w:sz w:val="24"/>
            <w:szCs w:val="24"/>
          </w:rPr>
          <w:t>https://www.scielo.br/j/cadbto/a/mfTpzZ6F3YhywBGx5tVLkgx/?format=html&amp;lang=pt</w:t>
        </w:r>
      </w:hyperlink>
      <w:r w:rsidRPr="00BF4B75">
        <w:rPr>
          <w:rFonts w:ascii="Arial" w:eastAsia="Georgia" w:hAnsi="Arial" w:cs="Arial"/>
          <w:color w:val="000000"/>
          <w:sz w:val="24"/>
          <w:szCs w:val="24"/>
        </w:rPr>
        <w:br/>
        <w:t> </w:t>
      </w:r>
      <w:r w:rsidRPr="00BF4B75">
        <w:rPr>
          <w:rFonts w:ascii="Arial" w:eastAsia="Georgia" w:hAnsi="Arial" w:cs="Arial"/>
          <w:color w:val="000000"/>
          <w:sz w:val="24"/>
          <w:szCs w:val="24"/>
        </w:rPr>
        <w:br/>
        <w:t xml:space="preserve">Comitê Gestor da Internet no Brasil. (2022). TIC Kids Online Brasil 2021: pesquisa sobre o uso da internet por crianças e adolescentes no Brasil. </w:t>
      </w:r>
      <w:hyperlink r:id="rId19">
        <w:r w:rsidRPr="00A876E0">
          <w:rPr>
            <w:rFonts w:ascii="Arial" w:eastAsia="helvetica neue" w:hAnsi="Arial" w:cs="Arial"/>
            <w:sz w:val="24"/>
            <w:szCs w:val="24"/>
            <w:lang w:val="en-US"/>
          </w:rPr>
          <w:t>Cetic.br</w:t>
        </w:r>
      </w:hyperlink>
      <w:r w:rsidRPr="00A876E0">
        <w:rPr>
          <w:rFonts w:ascii="Arial" w:eastAsia="Georgia" w:hAnsi="Arial" w:cs="Arial"/>
          <w:color w:val="000000"/>
          <w:sz w:val="24"/>
          <w:szCs w:val="24"/>
          <w:lang w:val="en-US"/>
        </w:rPr>
        <w:t xml:space="preserve">. </w:t>
      </w:r>
      <w:hyperlink r:id="rId20">
        <w:r w:rsidRPr="00A876E0">
          <w:rPr>
            <w:rFonts w:ascii="Arial" w:eastAsia="helvetica neue" w:hAnsi="Arial" w:cs="Arial"/>
            <w:sz w:val="24"/>
            <w:szCs w:val="24"/>
            <w:lang w:val="en-US"/>
          </w:rPr>
          <w:t>https://cetic.br/pesquisa/kids-online/</w:t>
        </w:r>
      </w:hyperlink>
      <w:r w:rsidRPr="00A876E0">
        <w:rPr>
          <w:rFonts w:ascii="Arial" w:eastAsia="Georgia" w:hAnsi="Arial" w:cs="Arial"/>
          <w:color w:val="000000"/>
          <w:sz w:val="24"/>
          <w:szCs w:val="24"/>
          <w:lang w:val="en-US"/>
        </w:rPr>
        <w:br/>
        <w:t> </w:t>
      </w:r>
    </w:p>
    <w:p w14:paraId="014233E1" w14:textId="77777777" w:rsidR="00A876E0" w:rsidRPr="00BF4B75" w:rsidRDefault="00A876E0" w:rsidP="00A876E0">
      <w:pPr>
        <w:jc w:val="both"/>
        <w:rPr>
          <w:rFonts w:ascii="Arial" w:eastAsia="helvetica neue" w:hAnsi="Arial" w:cs="Arial"/>
          <w:sz w:val="24"/>
          <w:szCs w:val="24"/>
          <w:lang w:val="en-US"/>
        </w:rPr>
      </w:pPr>
      <w:r w:rsidRPr="00A876E0">
        <w:rPr>
          <w:rFonts w:ascii="Arial" w:eastAsia="Georgia" w:hAnsi="Arial" w:cs="Arial"/>
          <w:color w:val="000000"/>
          <w:sz w:val="24"/>
          <w:szCs w:val="24"/>
          <w:lang w:val="en-US"/>
        </w:rPr>
        <w:t xml:space="preserve">Cruz, G. L. et al. </w:t>
      </w:r>
      <w:r w:rsidRPr="00BF4B75">
        <w:rPr>
          <w:rFonts w:ascii="Arial" w:eastAsia="Georgia" w:hAnsi="Arial" w:cs="Arial"/>
          <w:color w:val="000000"/>
          <w:sz w:val="24"/>
          <w:szCs w:val="24"/>
        </w:rPr>
        <w:t xml:space="preserve">(2021). Mídia e formação de hábitos alimentares de crianças e adolescentes. </w:t>
      </w:r>
      <w:r w:rsidRPr="00BF4B75">
        <w:rPr>
          <w:rFonts w:ascii="Arial" w:eastAsia="Georgia" w:hAnsi="Arial" w:cs="Arial"/>
          <w:i/>
          <w:color w:val="000000"/>
          <w:sz w:val="24"/>
          <w:szCs w:val="24"/>
          <w:lang w:val="en-US"/>
        </w:rPr>
        <w:t>Research, Society and Development, 10</w:t>
      </w:r>
      <w:r w:rsidRPr="00BF4B75">
        <w:rPr>
          <w:rFonts w:ascii="Arial" w:eastAsia="Georgia" w:hAnsi="Arial" w:cs="Arial"/>
          <w:color w:val="000000"/>
          <w:sz w:val="24"/>
          <w:szCs w:val="24"/>
          <w:lang w:val="en-US"/>
        </w:rPr>
        <w:t xml:space="preserve">(10), 1–12. </w:t>
      </w:r>
      <w:hyperlink r:id="rId21">
        <w:r w:rsidRPr="00BF4B75">
          <w:rPr>
            <w:rFonts w:ascii="Arial" w:eastAsia="helvetica neue" w:hAnsi="Arial" w:cs="Arial"/>
            <w:sz w:val="24"/>
            <w:szCs w:val="24"/>
            <w:lang w:val="en-US"/>
          </w:rPr>
          <w:t>https://rsdjournal.org/rsd/article/download/35648/29792/393629</w:t>
        </w:r>
      </w:hyperlink>
    </w:p>
    <w:p w14:paraId="63CCFCED" w14:textId="77777777" w:rsidR="00A876E0" w:rsidRPr="00BF4B75" w:rsidRDefault="00A876E0" w:rsidP="00A876E0">
      <w:pPr>
        <w:jc w:val="both"/>
        <w:rPr>
          <w:rFonts w:ascii="Arial" w:hAnsi="Arial" w:cs="Arial"/>
          <w:sz w:val="24"/>
          <w:szCs w:val="24"/>
          <w:lang w:val="en-US"/>
        </w:rPr>
      </w:pPr>
    </w:p>
    <w:p w14:paraId="4A100729" w14:textId="77777777" w:rsidR="00A876E0" w:rsidRPr="00BF4B75" w:rsidRDefault="00A876E0" w:rsidP="00A876E0">
      <w:pPr>
        <w:jc w:val="both"/>
        <w:rPr>
          <w:rFonts w:ascii="Arial" w:eastAsia="helvetica neue" w:hAnsi="Arial" w:cs="Arial"/>
          <w:sz w:val="24"/>
          <w:szCs w:val="24"/>
        </w:rPr>
      </w:pPr>
      <w:r w:rsidRPr="00BF4B75">
        <w:rPr>
          <w:rFonts w:ascii="Arial" w:eastAsia="Georgia" w:hAnsi="Arial" w:cs="Arial"/>
          <w:color w:val="000000"/>
          <w:sz w:val="24"/>
          <w:szCs w:val="24"/>
        </w:rPr>
        <w:t xml:space="preserve">D’Avila, H. F., Cássia, S., &amp; Mello, E. D. (2020). Instrumentos para avaliar o comportamento alimentar de crianças e adolescentes. </w:t>
      </w:r>
      <w:r w:rsidRPr="00BF4B75">
        <w:rPr>
          <w:rFonts w:ascii="Arial" w:eastAsia="Georgia" w:hAnsi="Arial" w:cs="Arial"/>
          <w:i/>
          <w:color w:val="000000"/>
          <w:sz w:val="24"/>
          <w:szCs w:val="24"/>
        </w:rPr>
        <w:t>DEMETRA: Alimentação, Nutrição &amp; Saúde, 15</w:t>
      </w:r>
      <w:r w:rsidRPr="00BF4B75">
        <w:rPr>
          <w:rFonts w:ascii="Arial" w:eastAsia="Georgia" w:hAnsi="Arial" w:cs="Arial"/>
          <w:color w:val="000000"/>
          <w:sz w:val="24"/>
          <w:szCs w:val="24"/>
        </w:rPr>
        <w:t xml:space="preserve">, e40131. </w:t>
      </w:r>
      <w:hyperlink r:id="rId22">
        <w:r w:rsidRPr="00BF4B75">
          <w:rPr>
            <w:rFonts w:ascii="Arial" w:eastAsia="helvetica neue" w:hAnsi="Arial" w:cs="Arial"/>
            <w:sz w:val="24"/>
            <w:szCs w:val="24"/>
          </w:rPr>
          <w:t>https://www.e-publicacoes.uerj.br/demetra/article/view/40131</w:t>
        </w:r>
      </w:hyperlink>
    </w:p>
    <w:p w14:paraId="63EF86E2" w14:textId="77777777" w:rsidR="00A876E0" w:rsidRPr="00BF4B75" w:rsidRDefault="00A876E0" w:rsidP="00A876E0">
      <w:pPr>
        <w:jc w:val="both"/>
        <w:rPr>
          <w:rFonts w:ascii="Arial" w:hAnsi="Arial" w:cs="Arial"/>
          <w:sz w:val="24"/>
          <w:szCs w:val="24"/>
        </w:rPr>
      </w:pPr>
    </w:p>
    <w:p w14:paraId="771687E1" w14:textId="77777777" w:rsidR="00A876E0" w:rsidRPr="00BF4B75" w:rsidRDefault="00A876E0" w:rsidP="00A876E0">
      <w:pPr>
        <w:jc w:val="both"/>
        <w:rPr>
          <w:rFonts w:ascii="Arial" w:hAnsi="Arial" w:cs="Arial"/>
          <w:sz w:val="24"/>
          <w:szCs w:val="24"/>
          <w:lang w:val="en-US"/>
        </w:rPr>
      </w:pPr>
      <w:r w:rsidRPr="00BF4B75">
        <w:rPr>
          <w:rFonts w:ascii="Arial" w:eastAsia="Georgia" w:hAnsi="Arial" w:cs="Arial"/>
          <w:color w:val="000000"/>
          <w:sz w:val="24"/>
          <w:szCs w:val="24"/>
        </w:rPr>
        <w:t xml:space="preserve">Lopes, A. V., &amp; Trajano, F. M. (2021). Influência da mídia nos transtornos alimentares em adolescentes. </w:t>
      </w:r>
      <w:r w:rsidRPr="00BF4B75">
        <w:rPr>
          <w:rFonts w:ascii="Arial" w:eastAsia="Georgia" w:hAnsi="Arial" w:cs="Arial"/>
          <w:i/>
          <w:color w:val="000000"/>
          <w:sz w:val="24"/>
          <w:szCs w:val="24"/>
          <w:lang w:val="en-US"/>
        </w:rPr>
        <w:t>Research, Society and Development, 10</w:t>
      </w:r>
      <w:r w:rsidRPr="00BF4B75">
        <w:rPr>
          <w:rFonts w:ascii="Arial" w:eastAsia="Georgia" w:hAnsi="Arial" w:cs="Arial"/>
          <w:color w:val="000000"/>
          <w:sz w:val="24"/>
          <w:szCs w:val="24"/>
          <w:lang w:val="en-US"/>
        </w:rPr>
        <w:t xml:space="preserve">(10), 1–12. </w:t>
      </w:r>
      <w:hyperlink r:id="rId23">
        <w:r w:rsidRPr="00BF4B75">
          <w:rPr>
            <w:rFonts w:ascii="Arial" w:eastAsia="helvetica neue" w:hAnsi="Arial" w:cs="Arial"/>
            <w:sz w:val="24"/>
            <w:szCs w:val="24"/>
            <w:lang w:val="en-US"/>
          </w:rPr>
          <w:t>https://rsdjournal.org/index.php/rsd/article/download/11649/10418/154076</w:t>
        </w:r>
      </w:hyperlink>
    </w:p>
    <w:p w14:paraId="3667C5A4" w14:textId="77777777" w:rsidR="00A876E0" w:rsidRPr="00BF4B75" w:rsidRDefault="00A876E0" w:rsidP="00A876E0">
      <w:pPr>
        <w:jc w:val="both"/>
        <w:rPr>
          <w:rFonts w:ascii="Arial" w:eastAsia="Georgia" w:hAnsi="Arial" w:cs="Arial"/>
          <w:color w:val="000000"/>
          <w:sz w:val="24"/>
          <w:szCs w:val="24"/>
        </w:rPr>
      </w:pPr>
      <w:r w:rsidRPr="004238CD">
        <w:rPr>
          <w:rFonts w:ascii="Arial" w:eastAsia="Georgia" w:hAnsi="Arial" w:cs="Arial"/>
          <w:color w:val="000000"/>
          <w:sz w:val="24"/>
          <w:szCs w:val="24"/>
          <w:lang w:val="pt-BR"/>
        </w:rPr>
        <w:br/>
      </w:r>
      <w:r w:rsidRPr="00BF4B75">
        <w:rPr>
          <w:rFonts w:ascii="Arial" w:eastAsia="Georgia" w:hAnsi="Arial" w:cs="Arial"/>
          <w:color w:val="000000"/>
          <w:sz w:val="24"/>
          <w:szCs w:val="24"/>
        </w:rPr>
        <w:t xml:space="preserve">Louzada, M. L. C., Costa, C. S., Souza, T. N., Cruz, G. L., Levy, R. B., &amp; Monteiro, C. A. (2021). Impacto do consumo de alimentos ultraprocessados na saúde de crianças, adolescentes e adultos: revisão de escopo. Cadernos de Saúde Pública, 37(Supl. 1), e00323020. </w:t>
      </w:r>
      <w:hyperlink r:id="rId24">
        <w:r w:rsidRPr="00BF4B75">
          <w:rPr>
            <w:rFonts w:ascii="Arial" w:eastAsia="helvetica neue" w:hAnsi="Arial" w:cs="Arial"/>
            <w:sz w:val="24"/>
            <w:szCs w:val="24"/>
          </w:rPr>
          <w:t>https://doi.org/10.1590/0102-311X00323020</w:t>
        </w:r>
      </w:hyperlink>
      <w:r w:rsidRPr="00BF4B75">
        <w:rPr>
          <w:rFonts w:ascii="Arial" w:eastAsia="Georgia" w:hAnsi="Arial" w:cs="Arial"/>
          <w:color w:val="000000"/>
          <w:sz w:val="24"/>
          <w:szCs w:val="24"/>
        </w:rPr>
        <w:br/>
        <w:t> </w:t>
      </w:r>
      <w:r w:rsidRPr="00BF4B75">
        <w:rPr>
          <w:rFonts w:ascii="Arial" w:eastAsia="Georgia" w:hAnsi="Arial" w:cs="Arial"/>
          <w:color w:val="000000"/>
          <w:sz w:val="24"/>
          <w:szCs w:val="24"/>
        </w:rPr>
        <w:br/>
        <w:t xml:space="preserve">Marques, A., Matos, M. G., Bordado, J., Rodrigues, C., &amp; Cunha, L. (2020). Estilo de vida saudável em adolescentes portugueses: tendências de 2002 a 2018. Acta Pediátrica Portuguesa, 51(1), 1–9. </w:t>
      </w:r>
      <w:hyperlink r:id="rId25">
        <w:r w:rsidRPr="00BF4B75">
          <w:rPr>
            <w:rFonts w:ascii="Arial" w:eastAsia="helvetica neue" w:hAnsi="Arial" w:cs="Arial"/>
            <w:sz w:val="24"/>
            <w:szCs w:val="24"/>
          </w:rPr>
          <w:t>https://www.scielo.br/j/jped/a/mHsXfMBCJhkPkDFmRwSMrJy/?format=pdf&amp;lang=pt</w:t>
        </w:r>
      </w:hyperlink>
      <w:r w:rsidRPr="00BF4B75">
        <w:rPr>
          <w:rFonts w:ascii="Arial" w:eastAsia="Georgia" w:hAnsi="Arial" w:cs="Arial"/>
          <w:color w:val="000000"/>
          <w:sz w:val="24"/>
          <w:szCs w:val="24"/>
        </w:rPr>
        <w:br/>
        <w:t> </w:t>
      </w:r>
    </w:p>
    <w:p w14:paraId="4615E4A4" w14:textId="77777777" w:rsidR="00A876E0" w:rsidRPr="00BF4B75" w:rsidRDefault="00A876E0" w:rsidP="00A876E0">
      <w:pPr>
        <w:jc w:val="both"/>
        <w:rPr>
          <w:rFonts w:ascii="Arial" w:hAnsi="Arial" w:cs="Arial"/>
          <w:sz w:val="24"/>
          <w:szCs w:val="24"/>
        </w:rPr>
      </w:pPr>
      <w:r w:rsidRPr="00BF4B75">
        <w:rPr>
          <w:rFonts w:ascii="Arial" w:eastAsia="Georgia" w:hAnsi="Arial" w:cs="Arial"/>
          <w:color w:val="000000"/>
          <w:sz w:val="24"/>
          <w:szCs w:val="24"/>
        </w:rPr>
        <w:t xml:space="preserve">Micheletti, N. J., &amp; Melo, A. P. Q. (2020). A influência da mídia na formação dos hábitos alimentares de crianças e adolescentes. </w:t>
      </w:r>
      <w:r w:rsidRPr="00BF4B75">
        <w:rPr>
          <w:rFonts w:ascii="Arial" w:eastAsia="Georgia" w:hAnsi="Arial" w:cs="Arial"/>
          <w:i/>
          <w:color w:val="000000"/>
          <w:sz w:val="24"/>
          <w:szCs w:val="24"/>
        </w:rPr>
        <w:t>Disciplinarum Scientia, Série Ciências da Saúde, 21</w:t>
      </w:r>
      <w:r w:rsidRPr="00BF4B75">
        <w:rPr>
          <w:rFonts w:ascii="Arial" w:eastAsia="Georgia" w:hAnsi="Arial" w:cs="Arial"/>
          <w:color w:val="000000"/>
          <w:sz w:val="24"/>
          <w:szCs w:val="24"/>
        </w:rPr>
        <w:t xml:space="preserve">(3), 1–12. </w:t>
      </w:r>
      <w:hyperlink r:id="rId26">
        <w:r w:rsidRPr="00BF4B75">
          <w:rPr>
            <w:rFonts w:ascii="Arial" w:eastAsia="helvetica neue" w:hAnsi="Arial" w:cs="Arial"/>
            <w:sz w:val="24"/>
            <w:szCs w:val="24"/>
          </w:rPr>
          <w:t>https://periodicos.ufn.edu.br/index.php/disciplinarumS/article/view/3230</w:t>
        </w:r>
      </w:hyperlink>
    </w:p>
    <w:p w14:paraId="50F14D08" w14:textId="77777777" w:rsidR="00A876E0" w:rsidRPr="00BF4B75" w:rsidRDefault="00A876E0" w:rsidP="00A876E0">
      <w:pPr>
        <w:jc w:val="both"/>
        <w:rPr>
          <w:rFonts w:ascii="Arial" w:eastAsia="Georgia" w:hAnsi="Arial" w:cs="Arial"/>
          <w:color w:val="000000"/>
          <w:sz w:val="24"/>
          <w:szCs w:val="24"/>
        </w:rPr>
      </w:pPr>
      <w:r w:rsidRPr="00BF4B75">
        <w:rPr>
          <w:rFonts w:ascii="Arial" w:eastAsia="Georgia" w:hAnsi="Arial" w:cs="Arial"/>
          <w:color w:val="000000"/>
          <w:sz w:val="24"/>
          <w:szCs w:val="24"/>
        </w:rPr>
        <w:br/>
        <w:t xml:space="preserve">Silva, J. B., Barros, M. V. G., Nahas, M. V., Nascimento, W. F., &amp; Hallal, P. C. (2022). </w:t>
      </w:r>
      <w:r w:rsidRPr="00BF4B75">
        <w:rPr>
          <w:rFonts w:ascii="Arial" w:eastAsia="Georgia" w:hAnsi="Arial" w:cs="Arial"/>
          <w:color w:val="000000"/>
          <w:sz w:val="24"/>
          <w:szCs w:val="24"/>
          <w:lang w:val="en-US"/>
        </w:rPr>
        <w:t xml:space="preserve">Factors </w:t>
      </w:r>
      <w:r w:rsidRPr="00BF4B75">
        <w:rPr>
          <w:rFonts w:ascii="Arial" w:eastAsia="Georgia" w:hAnsi="Arial" w:cs="Arial"/>
          <w:color w:val="000000"/>
          <w:sz w:val="24"/>
          <w:szCs w:val="24"/>
          <w:lang w:val="en-US"/>
        </w:rPr>
        <w:lastRenderedPageBreak/>
        <w:t xml:space="preserve">associated with the consumption of ultra-processed food by Brazilian adolescents: PeNSE-2015. </w:t>
      </w:r>
      <w:r w:rsidRPr="00BF4B75">
        <w:rPr>
          <w:rFonts w:ascii="Arial" w:eastAsia="Georgia" w:hAnsi="Arial" w:cs="Arial"/>
          <w:color w:val="000000"/>
          <w:sz w:val="24"/>
          <w:szCs w:val="24"/>
        </w:rPr>
        <w:t xml:space="preserve">Revista Paulista de Pediatria, 40, e2020362. </w:t>
      </w:r>
      <w:hyperlink r:id="rId27">
        <w:r w:rsidRPr="00BF4B75">
          <w:rPr>
            <w:rFonts w:ascii="Arial" w:eastAsia="helvetica neue" w:hAnsi="Arial" w:cs="Arial"/>
            <w:sz w:val="24"/>
            <w:szCs w:val="24"/>
          </w:rPr>
          <w:t>https://doi.org/10.1590/1984-0462/2022/40/2020362</w:t>
        </w:r>
      </w:hyperlink>
      <w:r w:rsidRPr="00BF4B75">
        <w:rPr>
          <w:rFonts w:ascii="Arial" w:eastAsia="Georgia" w:hAnsi="Arial" w:cs="Arial"/>
          <w:color w:val="000000"/>
          <w:sz w:val="24"/>
          <w:szCs w:val="24"/>
        </w:rPr>
        <w:br/>
        <w:t> </w:t>
      </w:r>
      <w:r w:rsidRPr="00BF4B75">
        <w:rPr>
          <w:rFonts w:ascii="Arial" w:eastAsia="Georgia" w:hAnsi="Arial" w:cs="Arial"/>
          <w:color w:val="000000"/>
          <w:sz w:val="24"/>
          <w:szCs w:val="24"/>
        </w:rPr>
        <w:br/>
        <w:t xml:space="preserve">Vieira, Y. P., Viero, V. S. F., Saes-Silva, E., Silva, P. A., Silva, L. S., Saes, M. O., Demenech, L. M., &amp; Dumith, S. C. (2022). Uso excessivo de redes sociais por estudantes de ensino médio do sul do Brasil. Revista Paulista de Pediatria, 40, e2020420. </w:t>
      </w:r>
      <w:hyperlink r:id="rId28">
        <w:r w:rsidRPr="00BF4B75">
          <w:rPr>
            <w:rFonts w:ascii="Arial" w:eastAsia="helvetica neue" w:hAnsi="Arial" w:cs="Arial"/>
            <w:sz w:val="24"/>
            <w:szCs w:val="24"/>
          </w:rPr>
          <w:t>https://doi.org/10.1590/1984-0462/2022/40/2020420IN</w:t>
        </w:r>
      </w:hyperlink>
      <w:r w:rsidRPr="00BF4B75">
        <w:rPr>
          <w:rFonts w:ascii="Arial" w:eastAsia="Georgia" w:hAnsi="Arial" w:cs="Arial"/>
          <w:color w:val="000000"/>
          <w:sz w:val="24"/>
          <w:szCs w:val="24"/>
        </w:rPr>
        <w:t xml:space="preserve"> </w:t>
      </w:r>
    </w:p>
    <w:p w14:paraId="33F00E75" w14:textId="77777777" w:rsidR="00BC51D0" w:rsidRPr="00A720CA" w:rsidRDefault="00BC51D0" w:rsidP="00BC51D0">
      <w:pPr>
        <w:spacing w:line="360" w:lineRule="auto"/>
        <w:ind w:firstLine="708"/>
        <w:jc w:val="both"/>
        <w:rPr>
          <w:rFonts w:ascii="Arial" w:eastAsia="Arial" w:hAnsi="Arial" w:cs="Arial"/>
          <w:sz w:val="24"/>
          <w:szCs w:val="24"/>
        </w:rPr>
      </w:pPr>
    </w:p>
    <w:sectPr w:rsidR="00BC51D0" w:rsidRPr="00A720CA" w:rsidSect="00624CBA">
      <w:pgSz w:w="11910" w:h="16850"/>
      <w:pgMar w:top="1000" w:right="992" w:bottom="1060" w:left="992"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08E1" w14:textId="77777777" w:rsidR="00660604" w:rsidRDefault="00660604">
      <w:r>
        <w:separator/>
      </w:r>
    </w:p>
  </w:endnote>
  <w:endnote w:type="continuationSeparator" w:id="0">
    <w:p w14:paraId="120F2300" w14:textId="77777777" w:rsidR="00660604" w:rsidRDefault="00660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C163" w14:textId="100A722E" w:rsidR="00F64269" w:rsidRDefault="00F64269">
    <w:pPr>
      <w:pStyle w:val="Corpodetexto"/>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B5FE" w14:textId="6A860DA9" w:rsidR="00F64269" w:rsidRDefault="00F64269">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31027" w14:textId="77777777" w:rsidR="00660604" w:rsidRDefault="00660604">
      <w:r>
        <w:separator/>
      </w:r>
    </w:p>
  </w:footnote>
  <w:footnote w:type="continuationSeparator" w:id="0">
    <w:p w14:paraId="545840CA" w14:textId="77777777" w:rsidR="00660604" w:rsidRDefault="00660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B510F"/>
    <w:multiLevelType w:val="hybridMultilevel"/>
    <w:tmpl w:val="D084E032"/>
    <w:lvl w:ilvl="0" w:tplc="7966A208">
      <w:start w:val="1"/>
      <w:numFmt w:val="decimal"/>
      <w:lvlText w:val="%1."/>
      <w:lvlJc w:val="left"/>
      <w:pPr>
        <w:ind w:left="498" w:hanging="359"/>
      </w:pPr>
      <w:rPr>
        <w:rFonts w:ascii="Arial MT" w:eastAsia="Arial MT" w:hAnsi="Arial MT" w:cs="Arial MT" w:hint="default"/>
        <w:b w:val="0"/>
        <w:bCs w:val="0"/>
        <w:i w:val="0"/>
        <w:iCs w:val="0"/>
        <w:spacing w:val="0"/>
        <w:w w:val="96"/>
        <w:sz w:val="18"/>
        <w:szCs w:val="18"/>
        <w:lang w:val="pt-PT" w:eastAsia="en-US" w:bidi="ar-SA"/>
      </w:rPr>
    </w:lvl>
    <w:lvl w:ilvl="1" w:tplc="953A3F50">
      <w:numFmt w:val="bullet"/>
      <w:lvlText w:val="•"/>
      <w:lvlJc w:val="left"/>
      <w:pPr>
        <w:ind w:left="1442" w:hanging="359"/>
      </w:pPr>
      <w:rPr>
        <w:rFonts w:hint="default"/>
        <w:lang w:val="pt-PT" w:eastAsia="en-US" w:bidi="ar-SA"/>
      </w:rPr>
    </w:lvl>
    <w:lvl w:ilvl="2" w:tplc="45EE4EA4">
      <w:numFmt w:val="bullet"/>
      <w:lvlText w:val="•"/>
      <w:lvlJc w:val="left"/>
      <w:pPr>
        <w:ind w:left="2384" w:hanging="359"/>
      </w:pPr>
      <w:rPr>
        <w:rFonts w:hint="default"/>
        <w:lang w:val="pt-PT" w:eastAsia="en-US" w:bidi="ar-SA"/>
      </w:rPr>
    </w:lvl>
    <w:lvl w:ilvl="3" w:tplc="789090D6">
      <w:numFmt w:val="bullet"/>
      <w:lvlText w:val="•"/>
      <w:lvlJc w:val="left"/>
      <w:pPr>
        <w:ind w:left="3326" w:hanging="359"/>
      </w:pPr>
      <w:rPr>
        <w:rFonts w:hint="default"/>
        <w:lang w:val="pt-PT" w:eastAsia="en-US" w:bidi="ar-SA"/>
      </w:rPr>
    </w:lvl>
    <w:lvl w:ilvl="4" w:tplc="E7FE8D18">
      <w:numFmt w:val="bullet"/>
      <w:lvlText w:val="•"/>
      <w:lvlJc w:val="left"/>
      <w:pPr>
        <w:ind w:left="4268" w:hanging="359"/>
      </w:pPr>
      <w:rPr>
        <w:rFonts w:hint="default"/>
        <w:lang w:val="pt-PT" w:eastAsia="en-US" w:bidi="ar-SA"/>
      </w:rPr>
    </w:lvl>
    <w:lvl w:ilvl="5" w:tplc="762E4158">
      <w:numFmt w:val="bullet"/>
      <w:lvlText w:val="•"/>
      <w:lvlJc w:val="left"/>
      <w:pPr>
        <w:ind w:left="5211" w:hanging="359"/>
      </w:pPr>
      <w:rPr>
        <w:rFonts w:hint="default"/>
        <w:lang w:val="pt-PT" w:eastAsia="en-US" w:bidi="ar-SA"/>
      </w:rPr>
    </w:lvl>
    <w:lvl w:ilvl="6" w:tplc="5542347E">
      <w:numFmt w:val="bullet"/>
      <w:lvlText w:val="•"/>
      <w:lvlJc w:val="left"/>
      <w:pPr>
        <w:ind w:left="6153" w:hanging="359"/>
      </w:pPr>
      <w:rPr>
        <w:rFonts w:hint="default"/>
        <w:lang w:val="pt-PT" w:eastAsia="en-US" w:bidi="ar-SA"/>
      </w:rPr>
    </w:lvl>
    <w:lvl w:ilvl="7" w:tplc="504C098A">
      <w:numFmt w:val="bullet"/>
      <w:lvlText w:val="•"/>
      <w:lvlJc w:val="left"/>
      <w:pPr>
        <w:ind w:left="7095" w:hanging="359"/>
      </w:pPr>
      <w:rPr>
        <w:rFonts w:hint="default"/>
        <w:lang w:val="pt-PT" w:eastAsia="en-US" w:bidi="ar-SA"/>
      </w:rPr>
    </w:lvl>
    <w:lvl w:ilvl="8" w:tplc="44387A58">
      <w:numFmt w:val="bullet"/>
      <w:lvlText w:val="•"/>
      <w:lvlJc w:val="left"/>
      <w:pPr>
        <w:ind w:left="8037" w:hanging="359"/>
      </w:pPr>
      <w:rPr>
        <w:rFonts w:hint="default"/>
        <w:lang w:val="pt-PT" w:eastAsia="en-US" w:bidi="ar-SA"/>
      </w:rPr>
    </w:lvl>
  </w:abstractNum>
  <w:num w:numId="1" w16cid:durableId="978875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269"/>
    <w:rsid w:val="0003531F"/>
    <w:rsid w:val="00076BC7"/>
    <w:rsid w:val="00083E6E"/>
    <w:rsid w:val="00084F92"/>
    <w:rsid w:val="000D7F22"/>
    <w:rsid w:val="00137473"/>
    <w:rsid w:val="00161120"/>
    <w:rsid w:val="001653A4"/>
    <w:rsid w:val="00245D38"/>
    <w:rsid w:val="00314EB3"/>
    <w:rsid w:val="00333E36"/>
    <w:rsid w:val="003351B1"/>
    <w:rsid w:val="00341121"/>
    <w:rsid w:val="00365660"/>
    <w:rsid w:val="00373DFA"/>
    <w:rsid w:val="00374E59"/>
    <w:rsid w:val="00384D7E"/>
    <w:rsid w:val="00396A3C"/>
    <w:rsid w:val="003A6C47"/>
    <w:rsid w:val="003D423B"/>
    <w:rsid w:val="00412403"/>
    <w:rsid w:val="004175F2"/>
    <w:rsid w:val="004238CD"/>
    <w:rsid w:val="0048644B"/>
    <w:rsid w:val="004D15E0"/>
    <w:rsid w:val="005B148A"/>
    <w:rsid w:val="0060349F"/>
    <w:rsid w:val="00624CBA"/>
    <w:rsid w:val="00660303"/>
    <w:rsid w:val="00660604"/>
    <w:rsid w:val="00695540"/>
    <w:rsid w:val="006A2B5F"/>
    <w:rsid w:val="006A7A3F"/>
    <w:rsid w:val="006E0846"/>
    <w:rsid w:val="00713308"/>
    <w:rsid w:val="00725505"/>
    <w:rsid w:val="00735930"/>
    <w:rsid w:val="0074288A"/>
    <w:rsid w:val="00747748"/>
    <w:rsid w:val="00771D3F"/>
    <w:rsid w:val="00775314"/>
    <w:rsid w:val="00781279"/>
    <w:rsid w:val="007A2DAA"/>
    <w:rsid w:val="007E38BF"/>
    <w:rsid w:val="00847CF3"/>
    <w:rsid w:val="008538E7"/>
    <w:rsid w:val="0088292C"/>
    <w:rsid w:val="008C4C58"/>
    <w:rsid w:val="008E1072"/>
    <w:rsid w:val="008E5A75"/>
    <w:rsid w:val="00930EFC"/>
    <w:rsid w:val="009676ED"/>
    <w:rsid w:val="009801FF"/>
    <w:rsid w:val="009E046C"/>
    <w:rsid w:val="00A17B29"/>
    <w:rsid w:val="00A26F4A"/>
    <w:rsid w:val="00A57676"/>
    <w:rsid w:val="00A637A6"/>
    <w:rsid w:val="00A720CA"/>
    <w:rsid w:val="00A876E0"/>
    <w:rsid w:val="00AA0EA9"/>
    <w:rsid w:val="00AC2CC6"/>
    <w:rsid w:val="00AD464E"/>
    <w:rsid w:val="00AF390F"/>
    <w:rsid w:val="00AF66CC"/>
    <w:rsid w:val="00B67A67"/>
    <w:rsid w:val="00BA294E"/>
    <w:rsid w:val="00BA6D4E"/>
    <w:rsid w:val="00BC442D"/>
    <w:rsid w:val="00BC51D0"/>
    <w:rsid w:val="00C209B9"/>
    <w:rsid w:val="00C26EE6"/>
    <w:rsid w:val="00C420DC"/>
    <w:rsid w:val="00C54627"/>
    <w:rsid w:val="00C61355"/>
    <w:rsid w:val="00C97B8F"/>
    <w:rsid w:val="00CA0085"/>
    <w:rsid w:val="00CD522D"/>
    <w:rsid w:val="00CE43EA"/>
    <w:rsid w:val="00D168C5"/>
    <w:rsid w:val="00D309CE"/>
    <w:rsid w:val="00D50536"/>
    <w:rsid w:val="00D52071"/>
    <w:rsid w:val="00D86100"/>
    <w:rsid w:val="00DA1964"/>
    <w:rsid w:val="00DD6174"/>
    <w:rsid w:val="00DD7484"/>
    <w:rsid w:val="00DF0A02"/>
    <w:rsid w:val="00E8004E"/>
    <w:rsid w:val="00EF11B0"/>
    <w:rsid w:val="00F01252"/>
    <w:rsid w:val="00F25658"/>
    <w:rsid w:val="00F349B5"/>
    <w:rsid w:val="00F64269"/>
    <w:rsid w:val="00F739DA"/>
    <w:rsid w:val="00FA2B8C"/>
    <w:rsid w:val="00FE7DA4"/>
    <w:rsid w:val="00FF3150"/>
    <w:rsid w:val="00FF63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A85B0"/>
  <w15:docId w15:val="{E7B10FE3-A357-4F85-89EF-D3F484BFA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140"/>
      <w:outlineLvl w:val="0"/>
    </w:pPr>
    <w:rPr>
      <w:rFonts w:ascii="Arial" w:eastAsia="Arial" w:hAnsi="Arial" w:cs="Arial"/>
      <w:b/>
      <w:bCs/>
      <w:sz w:val="24"/>
      <w:szCs w:val="24"/>
    </w:rPr>
  </w:style>
  <w:style w:type="paragraph" w:styleId="Ttulo2">
    <w:name w:val="heading 2"/>
    <w:basedOn w:val="Normal"/>
    <w:next w:val="Normal"/>
    <w:link w:val="Ttulo2Char"/>
    <w:uiPriority w:val="9"/>
    <w:semiHidden/>
    <w:unhideWhenUsed/>
    <w:qFormat/>
    <w:rsid w:val="00624CB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57"/>
      <w:ind w:left="178" w:right="116"/>
    </w:pPr>
    <w:rPr>
      <w:rFonts w:ascii="Arial" w:eastAsia="Arial" w:hAnsi="Arial" w:cs="Arial"/>
      <w:b/>
      <w:bCs/>
      <w:i/>
      <w:iCs/>
      <w:sz w:val="32"/>
      <w:szCs w:val="32"/>
    </w:rPr>
  </w:style>
  <w:style w:type="paragraph" w:styleId="PargrafodaLista">
    <w:name w:val="List Paragraph"/>
    <w:basedOn w:val="Normal"/>
    <w:uiPriority w:val="34"/>
    <w:qFormat/>
    <w:pPr>
      <w:spacing w:before="97"/>
      <w:ind w:left="498" w:right="149" w:hanging="359"/>
    </w:pPr>
  </w:style>
  <w:style w:type="paragraph" w:customStyle="1" w:styleId="TableParagraph">
    <w:name w:val="Table Paragraph"/>
    <w:basedOn w:val="Normal"/>
    <w:uiPriority w:val="1"/>
    <w:qFormat/>
    <w:pPr>
      <w:jc w:val="center"/>
    </w:pPr>
  </w:style>
  <w:style w:type="paragraph" w:styleId="Cabealho">
    <w:name w:val="header"/>
    <w:basedOn w:val="Normal"/>
    <w:link w:val="CabealhoChar"/>
    <w:uiPriority w:val="99"/>
    <w:unhideWhenUsed/>
    <w:rsid w:val="00624CBA"/>
    <w:pPr>
      <w:tabs>
        <w:tab w:val="center" w:pos="4252"/>
        <w:tab w:val="right" w:pos="8504"/>
      </w:tabs>
    </w:pPr>
  </w:style>
  <w:style w:type="character" w:customStyle="1" w:styleId="CabealhoChar">
    <w:name w:val="Cabeçalho Char"/>
    <w:basedOn w:val="Fontepargpadro"/>
    <w:link w:val="Cabealho"/>
    <w:uiPriority w:val="99"/>
    <w:rsid w:val="00624CBA"/>
    <w:rPr>
      <w:rFonts w:ascii="Arial MT" w:eastAsia="Arial MT" w:hAnsi="Arial MT" w:cs="Arial MT"/>
      <w:lang w:val="pt-PT"/>
    </w:rPr>
  </w:style>
  <w:style w:type="paragraph" w:styleId="Rodap">
    <w:name w:val="footer"/>
    <w:basedOn w:val="Normal"/>
    <w:link w:val="RodapChar"/>
    <w:uiPriority w:val="99"/>
    <w:unhideWhenUsed/>
    <w:rsid w:val="00624CBA"/>
    <w:pPr>
      <w:tabs>
        <w:tab w:val="center" w:pos="4252"/>
        <w:tab w:val="right" w:pos="8504"/>
      </w:tabs>
    </w:pPr>
  </w:style>
  <w:style w:type="character" w:customStyle="1" w:styleId="RodapChar">
    <w:name w:val="Rodapé Char"/>
    <w:basedOn w:val="Fontepargpadro"/>
    <w:link w:val="Rodap"/>
    <w:uiPriority w:val="99"/>
    <w:rsid w:val="00624CBA"/>
    <w:rPr>
      <w:rFonts w:ascii="Arial MT" w:eastAsia="Arial MT" w:hAnsi="Arial MT" w:cs="Arial MT"/>
      <w:lang w:val="pt-PT"/>
    </w:rPr>
  </w:style>
  <w:style w:type="character" w:customStyle="1" w:styleId="Ttulo2Char">
    <w:name w:val="Título 2 Char"/>
    <w:basedOn w:val="Fontepargpadro"/>
    <w:link w:val="Ttulo2"/>
    <w:uiPriority w:val="9"/>
    <w:semiHidden/>
    <w:rsid w:val="00624CBA"/>
    <w:rPr>
      <w:rFonts w:asciiTheme="majorHAnsi" w:eastAsiaTheme="majorEastAsia" w:hAnsiTheme="majorHAnsi" w:cstheme="majorBidi"/>
      <w:color w:val="365F91" w:themeColor="accent1" w:themeShade="BF"/>
      <w:sz w:val="26"/>
      <w:szCs w:val="26"/>
      <w:lang w:val="pt-PT"/>
    </w:rPr>
  </w:style>
  <w:style w:type="character" w:styleId="Refdecomentrio">
    <w:name w:val="annotation reference"/>
    <w:basedOn w:val="Fontepargpadro"/>
    <w:uiPriority w:val="99"/>
    <w:semiHidden/>
    <w:unhideWhenUsed/>
    <w:rPr>
      <w:sz w:val="16"/>
      <w:szCs w:val="16"/>
    </w:rPr>
  </w:style>
  <w:style w:type="paragraph" w:styleId="Textodecomentrio">
    <w:name w:val="annotation text"/>
    <w:basedOn w:val="Normal"/>
    <w:link w:val="TextodecomentrioChar"/>
    <w:uiPriority w:val="99"/>
    <w:unhideWhenUsed/>
    <w:rPr>
      <w:sz w:val="20"/>
      <w:szCs w:val="20"/>
    </w:rPr>
  </w:style>
  <w:style w:type="character" w:customStyle="1" w:styleId="TextodecomentrioChar">
    <w:name w:val="Texto de comentário Char"/>
    <w:basedOn w:val="Fontepargpadro"/>
    <w:link w:val="Textodecomentrio"/>
    <w:uiPriority w:val="99"/>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AF390F"/>
    <w:rPr>
      <w:b/>
      <w:bCs/>
    </w:rPr>
  </w:style>
  <w:style w:type="character" w:customStyle="1" w:styleId="AssuntodocomentrioChar">
    <w:name w:val="Assunto do comentário Char"/>
    <w:basedOn w:val="TextodecomentrioChar"/>
    <w:link w:val="Assuntodocomentrio"/>
    <w:uiPriority w:val="99"/>
    <w:semiHidden/>
    <w:rsid w:val="00AF390F"/>
    <w:rPr>
      <w:rFonts w:ascii="Arial MT" w:eastAsia="Arial MT" w:hAnsi="Arial MT" w:cs="Arial MT"/>
      <w:b/>
      <w:bCs/>
      <w:sz w:val="20"/>
      <w:szCs w:val="20"/>
      <w:lang w:val="pt-PT"/>
    </w:rPr>
  </w:style>
  <w:style w:type="character" w:styleId="Hyperlink">
    <w:name w:val="Hyperlink"/>
    <w:basedOn w:val="Fontepargpadro"/>
    <w:uiPriority w:val="99"/>
    <w:unhideWhenUsed/>
    <w:rsid w:val="00BC51D0"/>
    <w:rPr>
      <w:color w:val="0000FF" w:themeColor="hyperlink"/>
      <w:u w:val="single"/>
    </w:rPr>
  </w:style>
  <w:style w:type="character" w:styleId="MenoPendente">
    <w:name w:val="Unresolved Mention"/>
    <w:basedOn w:val="Fontepargpadro"/>
    <w:uiPriority w:val="99"/>
    <w:semiHidden/>
    <w:unhideWhenUsed/>
    <w:rsid w:val="00BC51D0"/>
    <w:rPr>
      <w:color w:val="605E5C"/>
      <w:shd w:val="clear" w:color="auto" w:fill="E1DFDD"/>
    </w:rPr>
  </w:style>
  <w:style w:type="paragraph" w:styleId="NormalWeb">
    <w:name w:val="Normal (Web)"/>
    <w:basedOn w:val="Normal"/>
    <w:uiPriority w:val="99"/>
    <w:semiHidden/>
    <w:unhideWhenUsed/>
    <w:rsid w:val="0041240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my-2">
    <w:name w:val="my-2"/>
    <w:basedOn w:val="Normal"/>
    <w:rsid w:val="00D309CE"/>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D30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97884">
      <w:bodyDiv w:val="1"/>
      <w:marLeft w:val="0"/>
      <w:marRight w:val="0"/>
      <w:marTop w:val="0"/>
      <w:marBottom w:val="0"/>
      <w:divBdr>
        <w:top w:val="none" w:sz="0" w:space="0" w:color="auto"/>
        <w:left w:val="none" w:sz="0" w:space="0" w:color="auto"/>
        <w:bottom w:val="none" w:sz="0" w:space="0" w:color="auto"/>
        <w:right w:val="none" w:sz="0" w:space="0" w:color="auto"/>
      </w:divBdr>
    </w:div>
    <w:div w:id="454297041">
      <w:bodyDiv w:val="1"/>
      <w:marLeft w:val="0"/>
      <w:marRight w:val="0"/>
      <w:marTop w:val="0"/>
      <w:marBottom w:val="0"/>
      <w:divBdr>
        <w:top w:val="none" w:sz="0" w:space="0" w:color="auto"/>
        <w:left w:val="none" w:sz="0" w:space="0" w:color="auto"/>
        <w:bottom w:val="none" w:sz="0" w:space="0" w:color="auto"/>
        <w:right w:val="none" w:sz="0" w:space="0" w:color="auto"/>
      </w:divBdr>
    </w:div>
    <w:div w:id="724524329">
      <w:bodyDiv w:val="1"/>
      <w:marLeft w:val="0"/>
      <w:marRight w:val="0"/>
      <w:marTop w:val="0"/>
      <w:marBottom w:val="0"/>
      <w:divBdr>
        <w:top w:val="none" w:sz="0" w:space="0" w:color="auto"/>
        <w:left w:val="none" w:sz="0" w:space="0" w:color="auto"/>
        <w:bottom w:val="none" w:sz="0" w:space="0" w:color="auto"/>
        <w:right w:val="none" w:sz="0" w:space="0" w:color="auto"/>
      </w:divBdr>
    </w:div>
    <w:div w:id="736245271">
      <w:bodyDiv w:val="1"/>
      <w:marLeft w:val="0"/>
      <w:marRight w:val="0"/>
      <w:marTop w:val="0"/>
      <w:marBottom w:val="0"/>
      <w:divBdr>
        <w:top w:val="none" w:sz="0" w:space="0" w:color="auto"/>
        <w:left w:val="none" w:sz="0" w:space="0" w:color="auto"/>
        <w:bottom w:val="none" w:sz="0" w:space="0" w:color="auto"/>
        <w:right w:val="none" w:sz="0" w:space="0" w:color="auto"/>
      </w:divBdr>
      <w:divsChild>
        <w:div w:id="1620647419">
          <w:marLeft w:val="0"/>
          <w:marRight w:val="0"/>
          <w:marTop w:val="0"/>
          <w:marBottom w:val="0"/>
          <w:divBdr>
            <w:top w:val="none" w:sz="0" w:space="0" w:color="auto"/>
            <w:left w:val="none" w:sz="0" w:space="0" w:color="auto"/>
            <w:bottom w:val="none" w:sz="0" w:space="0" w:color="auto"/>
            <w:right w:val="none" w:sz="0" w:space="0" w:color="auto"/>
          </w:divBdr>
        </w:div>
      </w:divsChild>
    </w:div>
    <w:div w:id="2110081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rcid.org/0000-0002-0180-2860" TargetMode="External"/><Relationship Id="rId18" Type="http://schemas.openxmlformats.org/officeDocument/2006/relationships/hyperlink" Target="https://www.scielo.br/j/cadbto/a/mfTpzZ6F3YhywBGx5tVLkgx/?format=html&amp;lang=pt" TargetMode="External"/><Relationship Id="rId26" Type="http://schemas.openxmlformats.org/officeDocument/2006/relationships/hyperlink" Target="https://periodicos.ufn.edu.br/index.php/disciplinarumS/article/view/3230" TargetMode="External"/><Relationship Id="rId3" Type="http://schemas.openxmlformats.org/officeDocument/2006/relationships/styles" Target="styles.xml"/><Relationship Id="rId21" Type="http://schemas.openxmlformats.org/officeDocument/2006/relationships/hyperlink" Target="https://rsdjournal.org/rsd/article/download/35648/29792/393629"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doi.org/10.1590/1414-462X202028010181" TargetMode="External"/><Relationship Id="rId25" Type="http://schemas.openxmlformats.org/officeDocument/2006/relationships/hyperlink" Target="https://www.scielo.br/j/jped/a/mHsXfMBCJhkPkDFmRwSMrJy/?format=pdf&amp;lang=pt" TargetMode="External"/><Relationship Id="rId2" Type="http://schemas.openxmlformats.org/officeDocument/2006/relationships/numbering" Target="numbering.xml"/><Relationship Id="rId16" Type="http://schemas.openxmlformats.org/officeDocument/2006/relationships/hyperlink" Target="https://doi.org/10.1590/1413-812320202512.17652" TargetMode="External"/><Relationship Id="rId20" Type="http://schemas.openxmlformats.org/officeDocument/2006/relationships/hyperlink" Target="https://cetic.br/pesquisa/kids-onlin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3-1390-5573" TargetMode="External"/><Relationship Id="rId24" Type="http://schemas.openxmlformats.org/officeDocument/2006/relationships/hyperlink" Target="https://doi.org/10.1590/0102-311X00323020" TargetMode="External"/><Relationship Id="rId5" Type="http://schemas.openxmlformats.org/officeDocument/2006/relationships/webSettings" Target="webSettings.xml"/><Relationship Id="rId15" Type="http://schemas.openxmlformats.org/officeDocument/2006/relationships/hyperlink" Target="https://doi.org/10.1590/S1679-49742021000300017" TargetMode="External"/><Relationship Id="rId23" Type="http://schemas.openxmlformats.org/officeDocument/2006/relationships/hyperlink" Target="https://rsdjournal.org/index.php/rsd/article/download/11649/10418/154076" TargetMode="External"/><Relationship Id="rId28" Type="http://schemas.openxmlformats.org/officeDocument/2006/relationships/hyperlink" Target="https://doi.org/10.1590/1984-0462/2022/40/2020420IN" TargetMode="External"/><Relationship Id="rId10" Type="http://schemas.openxmlformats.org/officeDocument/2006/relationships/image" Target="media/image1.png"/><Relationship Id="rId19" Type="http://schemas.openxmlformats.org/officeDocument/2006/relationships/hyperlink" Target="http://Cetic.br"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hyperlink" Target="https://www.e-publicacoes.uerj.br/demetra/article/view/40131" TargetMode="External"/><Relationship Id="rId27" Type="http://schemas.openxmlformats.org/officeDocument/2006/relationships/hyperlink" Target="https://doi.org/10.1590/1984-0462/2022/40/2020362"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5FB41-693C-4006-9E67-94A31646C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5568</Words>
  <Characters>30069</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Beatriz Barboza</dc:creator>
  <cp:lastModifiedBy>Marcelo Andrade</cp:lastModifiedBy>
  <cp:revision>2</cp:revision>
  <dcterms:created xsi:type="dcterms:W3CDTF">2026-06-17T12:41:00Z</dcterms:created>
  <dcterms:modified xsi:type="dcterms:W3CDTF">2026-06-17T12:41:00Z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Creator">
    <vt:lpwstr>Microsoft® Word para Microsoft 365</vt:lpwstr>
  </property>
  <property fmtid="{D5CDD505-2E9C-101B-9397-08002B2CF9AE}" pid="4" name="LastSaved">
    <vt:filetime>2026-03-17T00:00:00Z</vt:filetime>
  </property>
  <property fmtid="{D5CDD505-2E9C-101B-9397-08002B2CF9AE}" pid="5" name="Producer">
    <vt:lpwstr>Microsoft® Word para Microsoft 365</vt:lpwstr>
  </property>
</Properties>
</file>