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DB48B8" w:rsidRDefault="008D46EF" w14:paraId="708C52DE" w14:textId="77777777">
      <w:pPr>
        <w:spacing w:line="360" w:lineRule="auto"/>
        <w:jc w:val="center"/>
      </w:pPr>
      <w:r>
        <w:rPr>
          <w:noProof/>
        </w:rPr>
        <w:drawing>
          <wp:inline distT="0" distB="0" distL="0" distR="0" wp14:anchorId="708C53FE" wp14:editId="708C53FF">
            <wp:extent cx="904875" cy="1038225"/>
            <wp:effectExtent l="0" t="0" r="0" b="0"/>
            <wp:docPr id="1" name="Imagem 3" descr="Desenho de um cachorr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 descr="Desenho de um cachorro&#10;&#10;O conteúdo gerado por IA pode estar incorreto."/>
                    <pic:cNvPicPr>
                      <a:picLocks noChangeAspect="1" noChangeArrowheads="1"/>
                    </pic:cNvPicPr>
                  </pic:nvPicPr>
                  <pic:blipFill>
                    <a:blip r:embed="rId8"/>
                    <a:stretch>
                      <a:fillRect/>
                    </a:stretch>
                  </pic:blipFill>
                  <pic:spPr bwMode="auto">
                    <a:xfrm>
                      <a:off x="0" y="0"/>
                      <a:ext cx="904875" cy="1038225"/>
                    </a:xfrm>
                    <a:prstGeom prst="rect">
                      <a:avLst/>
                    </a:prstGeom>
                    <a:noFill/>
                  </pic:spPr>
                </pic:pic>
              </a:graphicData>
            </a:graphic>
          </wp:inline>
        </w:drawing>
      </w:r>
    </w:p>
    <w:p w:rsidR="00DB48B8" w:rsidP="00846BF2" w:rsidRDefault="008D46EF" w14:paraId="708C52DF" w14:textId="77777777">
      <w:pPr>
        <w:spacing w:line="360" w:lineRule="auto"/>
        <w:jc w:val="center"/>
      </w:pPr>
      <w:r>
        <w:t xml:space="preserve">PONTIFÍCIA UNIVERSIDADE CATÓLICA DE GOIÁS </w:t>
      </w:r>
    </w:p>
    <w:p w:rsidR="00DB48B8" w:rsidP="00846BF2" w:rsidRDefault="008D46EF" w14:paraId="708C52E0" w14:textId="77777777">
      <w:pPr>
        <w:spacing w:line="360" w:lineRule="auto"/>
        <w:jc w:val="center"/>
      </w:pPr>
      <w:r>
        <w:t>ESCOLA DE DIREITO, NEGÓCIOS E COMUNICAÇÃO</w:t>
      </w:r>
    </w:p>
    <w:p w:rsidR="00DB48B8" w:rsidP="00846BF2" w:rsidRDefault="008D46EF" w14:paraId="708C52E1" w14:textId="77777777">
      <w:pPr>
        <w:spacing w:line="360" w:lineRule="auto"/>
        <w:jc w:val="center"/>
      </w:pPr>
      <w:r>
        <w:t xml:space="preserve"> NÚCLEO DE PRÁTICA JURÍDICA </w:t>
      </w:r>
    </w:p>
    <w:p w:rsidR="00DB48B8" w:rsidP="00846BF2" w:rsidRDefault="008D46EF" w14:paraId="708C52E2" w14:textId="77777777">
      <w:pPr>
        <w:spacing w:line="360" w:lineRule="auto"/>
        <w:jc w:val="center"/>
      </w:pPr>
      <w:r>
        <w:t xml:space="preserve">COORDENAÇÃO ADJUNTA DE TRABALHO DE </w:t>
      </w:r>
    </w:p>
    <w:p w:rsidR="00DB48B8" w:rsidP="00846BF2" w:rsidRDefault="008D46EF" w14:paraId="708C52E3" w14:textId="77777777">
      <w:pPr>
        <w:spacing w:line="360" w:lineRule="auto"/>
        <w:jc w:val="center"/>
      </w:pPr>
      <w:r>
        <w:t xml:space="preserve">CONCLUSÃO DE CURSO </w:t>
      </w:r>
    </w:p>
    <w:p w:rsidR="00DB48B8" w:rsidP="00846BF2" w:rsidRDefault="008D46EF" w14:paraId="708C52E4" w14:textId="77777777">
      <w:pPr>
        <w:spacing w:line="360" w:lineRule="auto"/>
        <w:jc w:val="center"/>
      </w:pPr>
      <w:r>
        <w:t>MONOGRAFIA JURÍDICA</w:t>
      </w:r>
    </w:p>
    <w:p w:rsidR="00DB48B8" w:rsidRDefault="00DB48B8" w14:paraId="708C52E5" w14:textId="77777777">
      <w:pPr>
        <w:spacing w:line="360" w:lineRule="auto"/>
        <w:jc w:val="center"/>
      </w:pPr>
    </w:p>
    <w:p w:rsidR="00DB48B8" w:rsidRDefault="00DB48B8" w14:paraId="708C52E9" w14:textId="77777777">
      <w:pPr>
        <w:spacing w:line="360" w:lineRule="auto"/>
        <w:jc w:val="center"/>
      </w:pPr>
    </w:p>
    <w:p w:rsidR="00DB48B8" w:rsidRDefault="00DB48B8" w14:paraId="708C52EA" w14:textId="77777777">
      <w:pPr>
        <w:spacing w:line="360" w:lineRule="auto"/>
        <w:jc w:val="center"/>
      </w:pPr>
    </w:p>
    <w:p w:rsidR="00DB48B8" w:rsidRDefault="00DB48B8" w14:paraId="708C52EB" w14:textId="77777777">
      <w:pPr>
        <w:spacing w:line="360" w:lineRule="auto"/>
        <w:jc w:val="center"/>
      </w:pPr>
    </w:p>
    <w:p w:rsidR="00DB48B8" w:rsidRDefault="00DB48B8" w14:paraId="708C52EC" w14:textId="77777777">
      <w:pPr>
        <w:spacing w:line="360" w:lineRule="auto"/>
        <w:jc w:val="center"/>
      </w:pPr>
    </w:p>
    <w:p w:rsidR="00DB48B8" w:rsidRDefault="00DB48B8" w14:paraId="708C52ED" w14:textId="77777777">
      <w:pPr>
        <w:spacing w:line="360" w:lineRule="auto"/>
        <w:jc w:val="center"/>
      </w:pPr>
    </w:p>
    <w:p w:rsidR="00DB48B8" w:rsidRDefault="008D46EF" w14:paraId="708C52EE" w14:textId="77777777">
      <w:pPr>
        <w:spacing w:line="360" w:lineRule="auto"/>
        <w:jc w:val="center"/>
      </w:pPr>
      <w:r>
        <w:rPr>
          <w:b/>
          <w:bCs/>
          <w:lang w:val="pt-PT"/>
        </w:rPr>
        <w:t>O DIREITO AGRÁRIO COM FOCO NA SEGURANÇA ALIMENTAR E SUA RELAÇÃO COM A SOBERANIA DOS POVOS</w:t>
      </w:r>
    </w:p>
    <w:p w:rsidR="00DB48B8" w:rsidRDefault="00DB48B8" w14:paraId="708C52EF" w14:textId="77777777">
      <w:pPr>
        <w:spacing w:line="360" w:lineRule="auto"/>
        <w:jc w:val="center"/>
        <w:rPr>
          <w:lang w:val="pt-PT"/>
        </w:rPr>
      </w:pPr>
    </w:p>
    <w:p w:rsidR="00DB48B8" w:rsidRDefault="00DB48B8" w14:paraId="708C52F0" w14:textId="77777777">
      <w:pPr>
        <w:spacing w:line="360" w:lineRule="auto"/>
        <w:jc w:val="center"/>
      </w:pPr>
    </w:p>
    <w:p w:rsidR="00DB48B8" w:rsidRDefault="00DB48B8" w14:paraId="708C52F1" w14:textId="77777777">
      <w:pPr>
        <w:spacing w:line="360" w:lineRule="auto"/>
        <w:jc w:val="center"/>
      </w:pPr>
    </w:p>
    <w:p w:rsidR="00DB48B8" w:rsidRDefault="00DB48B8" w14:paraId="708C52F2" w14:textId="77777777">
      <w:pPr>
        <w:spacing w:line="360" w:lineRule="auto"/>
        <w:jc w:val="center"/>
      </w:pPr>
    </w:p>
    <w:p w:rsidR="00DB48B8" w:rsidRDefault="008D46EF" w14:paraId="708C52F3" w14:textId="77777777">
      <w:pPr>
        <w:spacing w:line="360" w:lineRule="auto"/>
        <w:jc w:val="center"/>
      </w:pPr>
      <w:r>
        <w:rPr>
          <w:lang w:val="pt-PT"/>
        </w:rPr>
        <w:t>ORIENTANDO (ª) – GIOVANNA SANTOS CARDOSO VALENTE ORIENTADOR (ª) - PROF.(ª) MESTRE MIRIAM MOEMA DE CASTRO MACHADO RORIZ</w:t>
      </w:r>
    </w:p>
    <w:p w:rsidR="00DB48B8" w:rsidRDefault="00DB48B8" w14:paraId="708C52F4" w14:textId="77777777">
      <w:pPr>
        <w:spacing w:line="360" w:lineRule="auto"/>
        <w:jc w:val="center"/>
        <w:rPr>
          <w:lang w:val="pt-PT"/>
        </w:rPr>
      </w:pPr>
    </w:p>
    <w:p w:rsidR="00DB48B8" w:rsidRDefault="00DB48B8" w14:paraId="708C52F5" w14:textId="77777777">
      <w:pPr>
        <w:spacing w:line="360" w:lineRule="auto"/>
        <w:jc w:val="center"/>
        <w:rPr>
          <w:lang w:val="pt-PT"/>
        </w:rPr>
      </w:pPr>
    </w:p>
    <w:p w:rsidR="00DB48B8" w:rsidP="00EB5B97" w:rsidRDefault="00DB48B8" w14:paraId="708C52F8" w14:textId="77777777">
      <w:pPr>
        <w:spacing w:line="360" w:lineRule="auto"/>
        <w:rPr>
          <w:lang w:val="pt-PT"/>
        </w:rPr>
      </w:pPr>
    </w:p>
    <w:p w:rsidR="00846BF2" w:rsidP="00EB5B97" w:rsidRDefault="00846BF2" w14:paraId="1DF699CF" w14:textId="77777777">
      <w:pPr>
        <w:spacing w:line="360" w:lineRule="auto"/>
        <w:rPr>
          <w:lang w:val="pt-PT"/>
        </w:rPr>
      </w:pPr>
    </w:p>
    <w:p w:rsidR="00846BF2" w:rsidP="00EB5B97" w:rsidRDefault="00846BF2" w14:paraId="33929B88" w14:textId="77777777">
      <w:pPr>
        <w:spacing w:line="360" w:lineRule="auto"/>
        <w:rPr>
          <w:lang w:val="pt-PT"/>
        </w:rPr>
      </w:pPr>
    </w:p>
    <w:p w:rsidR="00DB48B8" w:rsidP="00846BF2" w:rsidRDefault="00DB48B8" w14:paraId="708C52F9" w14:textId="77777777">
      <w:pPr>
        <w:spacing w:line="360" w:lineRule="auto"/>
        <w:rPr>
          <w:lang w:val="pt-PT"/>
        </w:rPr>
      </w:pPr>
    </w:p>
    <w:p w:rsidR="00DB48B8" w:rsidRDefault="008D46EF" w14:paraId="708C52FA" w14:textId="77777777">
      <w:pPr>
        <w:spacing w:line="360" w:lineRule="auto"/>
        <w:jc w:val="center"/>
      </w:pPr>
      <w:r>
        <w:rPr>
          <w:lang w:val="pt-PT"/>
        </w:rPr>
        <w:t xml:space="preserve">GOIÂNIA </w:t>
      </w:r>
    </w:p>
    <w:p w:rsidR="001C3BAB" w:rsidRDefault="008D46EF" w14:paraId="708C52FB" w14:textId="143DE211">
      <w:pPr>
        <w:spacing w:line="360" w:lineRule="auto"/>
        <w:jc w:val="center"/>
        <w:rPr>
          <w:lang w:val="pt-PT"/>
        </w:rPr>
      </w:pPr>
      <w:r>
        <w:rPr>
          <w:lang w:val="pt-PT"/>
        </w:rPr>
        <w:t>2025</w:t>
      </w:r>
    </w:p>
    <w:p w:rsidRPr="001C3BAB" w:rsidR="00DB48B8" w:rsidP="001C3BAB" w:rsidRDefault="001C3BAB" w14:paraId="3A8B7CC2" w14:textId="19326251">
      <w:pPr>
        <w:suppressAutoHyphens/>
        <w:rPr>
          <w:lang w:val="pt-PT"/>
        </w:rPr>
      </w:pPr>
      <w:r>
        <w:rPr>
          <w:lang w:val="pt-PT"/>
        </w:rPr>
        <w:br w:type="page"/>
      </w:r>
    </w:p>
    <w:p w:rsidR="00DB48B8" w:rsidRDefault="008D46EF" w14:paraId="708C52FC" w14:textId="77777777">
      <w:pPr>
        <w:spacing w:line="360" w:lineRule="auto"/>
        <w:jc w:val="center"/>
      </w:pPr>
      <w:r>
        <w:rPr>
          <w:lang w:val="pt-PT"/>
        </w:rPr>
        <w:t>GIOVANNA SANTOS CARDOSO VALENTE</w:t>
      </w:r>
    </w:p>
    <w:p w:rsidR="00DB48B8" w:rsidRDefault="00DB48B8" w14:paraId="708C52FD" w14:textId="77777777">
      <w:pPr>
        <w:spacing w:line="360" w:lineRule="auto"/>
        <w:jc w:val="center"/>
        <w:rPr>
          <w:b/>
          <w:bCs/>
          <w:lang w:val="pt-PT"/>
        </w:rPr>
      </w:pPr>
    </w:p>
    <w:p w:rsidR="00DB48B8" w:rsidRDefault="00DB48B8" w14:paraId="708C52FE" w14:textId="77777777">
      <w:pPr>
        <w:spacing w:line="360" w:lineRule="auto"/>
        <w:jc w:val="center"/>
        <w:rPr>
          <w:b/>
          <w:bCs/>
          <w:lang w:val="pt-PT"/>
        </w:rPr>
      </w:pPr>
    </w:p>
    <w:p w:rsidR="00DB48B8" w:rsidRDefault="00DB48B8" w14:paraId="708C52FF" w14:textId="77777777">
      <w:pPr>
        <w:spacing w:line="360" w:lineRule="auto"/>
        <w:jc w:val="center"/>
        <w:rPr>
          <w:b/>
          <w:bCs/>
          <w:lang w:val="pt-PT"/>
        </w:rPr>
      </w:pPr>
    </w:p>
    <w:p w:rsidR="00DB48B8" w:rsidRDefault="00DB48B8" w14:paraId="708C5300" w14:textId="77777777">
      <w:pPr>
        <w:spacing w:line="360" w:lineRule="auto"/>
        <w:jc w:val="center"/>
        <w:rPr>
          <w:b/>
          <w:bCs/>
          <w:lang w:val="pt-PT"/>
        </w:rPr>
      </w:pPr>
    </w:p>
    <w:p w:rsidR="00DB48B8" w:rsidRDefault="00DB48B8" w14:paraId="708C5301" w14:textId="77777777">
      <w:pPr>
        <w:spacing w:line="360" w:lineRule="auto"/>
        <w:jc w:val="center"/>
        <w:rPr>
          <w:b/>
          <w:bCs/>
          <w:lang w:val="pt-PT"/>
        </w:rPr>
      </w:pPr>
    </w:p>
    <w:p w:rsidR="00DB48B8" w:rsidRDefault="008D46EF" w14:paraId="708C5302" w14:textId="77777777">
      <w:pPr>
        <w:spacing w:line="360" w:lineRule="auto"/>
        <w:jc w:val="center"/>
      </w:pPr>
      <w:r>
        <w:rPr>
          <w:b/>
          <w:bCs/>
          <w:lang w:val="pt-PT"/>
        </w:rPr>
        <w:t>O DIREITO AGRÁRIO COM FOCO NA SEGURANÇA ALIMENTAR E SUA RELAÇÃO COM A SOBERANIA DOS POVOS</w:t>
      </w:r>
    </w:p>
    <w:p w:rsidR="00DB48B8" w:rsidRDefault="00DB48B8" w14:paraId="708C5303" w14:textId="77777777">
      <w:pPr>
        <w:spacing w:line="360" w:lineRule="auto"/>
        <w:jc w:val="center"/>
        <w:rPr>
          <w:b/>
          <w:bCs/>
          <w:lang w:val="pt-PT"/>
        </w:rPr>
      </w:pPr>
    </w:p>
    <w:p w:rsidR="00DB48B8" w:rsidRDefault="00DB48B8" w14:paraId="708C5304" w14:textId="77777777">
      <w:pPr>
        <w:spacing w:line="360" w:lineRule="auto"/>
        <w:jc w:val="center"/>
        <w:rPr>
          <w:b/>
          <w:bCs/>
          <w:lang w:val="pt-PT"/>
        </w:rPr>
      </w:pPr>
    </w:p>
    <w:p w:rsidR="00DB48B8" w:rsidRDefault="00DB48B8" w14:paraId="708C5305" w14:textId="77777777">
      <w:pPr>
        <w:spacing w:line="360" w:lineRule="auto"/>
        <w:jc w:val="center"/>
        <w:rPr>
          <w:b/>
          <w:bCs/>
          <w:lang w:val="pt-PT"/>
        </w:rPr>
      </w:pPr>
    </w:p>
    <w:p w:rsidR="00DB48B8" w:rsidRDefault="00DB48B8" w14:paraId="708C5306" w14:textId="77777777">
      <w:pPr>
        <w:spacing w:line="360" w:lineRule="auto"/>
        <w:jc w:val="center"/>
        <w:rPr>
          <w:b/>
          <w:bCs/>
          <w:lang w:val="pt-PT"/>
        </w:rPr>
      </w:pPr>
    </w:p>
    <w:p w:rsidR="005A7483" w:rsidRDefault="005A7483" w14:paraId="0040C2E6" w14:textId="77777777">
      <w:pPr>
        <w:spacing w:line="360" w:lineRule="auto"/>
        <w:ind w:left="3402"/>
        <w:jc w:val="both"/>
      </w:pPr>
      <w:r w:rsidRPr="005A7483">
        <w:t>Monografia Jurídica apresentada à disciplina Trabalho de Curso II, da Escola de Direito, Negócios e Comunicação da Pontifícia Universidade Católica de Goiás (PUCGOIÁS).</w:t>
      </w:r>
    </w:p>
    <w:p w:rsidR="00DB48B8" w:rsidRDefault="008D46EF" w14:paraId="708C5308" w14:textId="25065D94">
      <w:pPr>
        <w:spacing w:line="360" w:lineRule="auto"/>
        <w:ind w:left="3402"/>
        <w:jc w:val="both"/>
      </w:pPr>
      <w:r>
        <w:rPr>
          <w:lang w:val="pt-PT"/>
        </w:rPr>
        <w:t>Prof. (ª) Orientador (ª) – MESTRE MIRIAM MOEMA DE CASTRO MACHADO RORIZ</w:t>
      </w:r>
    </w:p>
    <w:p w:rsidR="00DB48B8" w:rsidRDefault="00DB48B8" w14:paraId="708C5309" w14:textId="77777777">
      <w:pPr>
        <w:spacing w:line="360" w:lineRule="auto"/>
        <w:jc w:val="center"/>
        <w:rPr>
          <w:b/>
          <w:bCs/>
          <w:lang w:val="pt-PT"/>
        </w:rPr>
      </w:pPr>
    </w:p>
    <w:p w:rsidR="00DB48B8" w:rsidRDefault="00DB48B8" w14:paraId="708C530A" w14:textId="77777777">
      <w:pPr>
        <w:spacing w:line="360" w:lineRule="auto"/>
        <w:jc w:val="center"/>
        <w:rPr>
          <w:b/>
          <w:bCs/>
          <w:lang w:val="pt-PT"/>
        </w:rPr>
      </w:pPr>
    </w:p>
    <w:p w:rsidR="00DB48B8" w:rsidRDefault="00DB48B8" w14:paraId="708C530B" w14:textId="77777777">
      <w:pPr>
        <w:spacing w:line="360" w:lineRule="auto"/>
        <w:jc w:val="center"/>
        <w:rPr>
          <w:b/>
          <w:bCs/>
          <w:lang w:val="pt-PT"/>
        </w:rPr>
      </w:pPr>
    </w:p>
    <w:p w:rsidR="00DB48B8" w:rsidRDefault="00DB48B8" w14:paraId="708C530C" w14:textId="77777777">
      <w:pPr>
        <w:spacing w:line="360" w:lineRule="auto"/>
        <w:jc w:val="center"/>
        <w:rPr>
          <w:b/>
          <w:bCs/>
          <w:lang w:val="pt-PT"/>
        </w:rPr>
      </w:pPr>
    </w:p>
    <w:p w:rsidR="00DB48B8" w:rsidRDefault="00DB48B8" w14:paraId="708C530D" w14:textId="77777777">
      <w:pPr>
        <w:spacing w:line="360" w:lineRule="auto"/>
        <w:jc w:val="center"/>
        <w:rPr>
          <w:b/>
          <w:bCs/>
          <w:lang w:val="pt-PT"/>
        </w:rPr>
      </w:pPr>
    </w:p>
    <w:p w:rsidR="00DB48B8" w:rsidRDefault="00DB48B8" w14:paraId="708C530E" w14:textId="77777777">
      <w:pPr>
        <w:spacing w:line="360" w:lineRule="auto"/>
        <w:jc w:val="center"/>
        <w:rPr>
          <w:b/>
          <w:bCs/>
          <w:lang w:val="pt-PT"/>
        </w:rPr>
      </w:pPr>
    </w:p>
    <w:p w:rsidR="00DB48B8" w:rsidRDefault="00DB48B8" w14:paraId="708C530F" w14:textId="77777777">
      <w:pPr>
        <w:spacing w:line="360" w:lineRule="auto"/>
        <w:jc w:val="center"/>
        <w:rPr>
          <w:b/>
          <w:bCs/>
          <w:lang w:val="pt-PT"/>
        </w:rPr>
      </w:pPr>
    </w:p>
    <w:p w:rsidR="00DB48B8" w:rsidRDefault="00DB48B8" w14:paraId="708C5310" w14:textId="77777777">
      <w:pPr>
        <w:spacing w:line="360" w:lineRule="auto"/>
        <w:jc w:val="center"/>
        <w:rPr>
          <w:b/>
          <w:bCs/>
          <w:lang w:val="pt-PT"/>
        </w:rPr>
      </w:pPr>
    </w:p>
    <w:p w:rsidR="00DB48B8" w:rsidRDefault="00DB48B8" w14:paraId="708C5311" w14:textId="77777777">
      <w:pPr>
        <w:spacing w:line="360" w:lineRule="auto"/>
        <w:jc w:val="center"/>
        <w:rPr>
          <w:b/>
          <w:bCs/>
          <w:lang w:val="pt-PT"/>
        </w:rPr>
      </w:pPr>
    </w:p>
    <w:p w:rsidR="001C3BAB" w:rsidP="001C3BAB" w:rsidRDefault="001C3BAB" w14:paraId="12CA4766" w14:textId="77777777">
      <w:pPr>
        <w:spacing w:line="360" w:lineRule="auto"/>
        <w:rPr>
          <w:b/>
          <w:bCs/>
          <w:lang w:val="pt-PT"/>
        </w:rPr>
      </w:pPr>
    </w:p>
    <w:p w:rsidR="00DB48B8" w:rsidRDefault="00DB48B8" w14:paraId="708C5315" w14:textId="77777777">
      <w:pPr>
        <w:spacing w:line="360" w:lineRule="auto"/>
        <w:jc w:val="center"/>
        <w:rPr>
          <w:b/>
          <w:bCs/>
          <w:lang w:val="pt-PT"/>
        </w:rPr>
      </w:pPr>
    </w:p>
    <w:p w:rsidR="00DB48B8" w:rsidRDefault="00DB48B8" w14:paraId="708C5316" w14:textId="77777777">
      <w:pPr>
        <w:spacing w:line="360" w:lineRule="auto"/>
        <w:jc w:val="center"/>
        <w:rPr>
          <w:b/>
          <w:bCs/>
          <w:lang w:val="pt-PT"/>
        </w:rPr>
      </w:pPr>
    </w:p>
    <w:p w:rsidR="00DB48B8" w:rsidRDefault="008D46EF" w14:paraId="708C5317" w14:textId="77777777">
      <w:pPr>
        <w:spacing w:line="360" w:lineRule="auto"/>
        <w:jc w:val="center"/>
      </w:pPr>
      <w:r>
        <w:rPr>
          <w:lang w:val="pt-PT"/>
        </w:rPr>
        <w:t xml:space="preserve">GOIÂNIA-GO </w:t>
      </w:r>
    </w:p>
    <w:p w:rsidR="001C3BAB" w:rsidRDefault="008D46EF" w14:paraId="708C5318" w14:textId="7F222A6E">
      <w:pPr>
        <w:spacing w:line="360" w:lineRule="auto"/>
        <w:jc w:val="center"/>
        <w:rPr>
          <w:lang w:val="pt-PT"/>
        </w:rPr>
      </w:pPr>
      <w:r>
        <w:rPr>
          <w:lang w:val="pt-PT"/>
        </w:rPr>
        <w:t>2025</w:t>
      </w:r>
    </w:p>
    <w:p w:rsidRPr="001C3BAB" w:rsidR="00DB48B8" w:rsidP="001C3BAB" w:rsidRDefault="001C3BAB" w14:paraId="2C6378E8" w14:textId="32DE676C">
      <w:pPr>
        <w:suppressAutoHyphens/>
        <w:rPr>
          <w:lang w:val="pt-PT"/>
        </w:rPr>
      </w:pPr>
      <w:r>
        <w:rPr>
          <w:lang w:val="pt-PT"/>
        </w:rPr>
        <w:br w:type="page"/>
      </w:r>
    </w:p>
    <w:p w:rsidRPr="005713C0" w:rsidR="00846BF2" w:rsidRDefault="005713C0" w14:paraId="2A67C65A" w14:textId="398100B9">
      <w:pPr>
        <w:spacing w:line="360" w:lineRule="auto"/>
        <w:jc w:val="center"/>
      </w:pPr>
      <w:r w:rsidRPr="005713C0">
        <w:t>GIOVANNA SANTOS CARDOSO VALENTE</w:t>
      </w:r>
    </w:p>
    <w:p w:rsidR="00846BF2" w:rsidRDefault="00846BF2" w14:paraId="7B19FBBD" w14:textId="77777777">
      <w:pPr>
        <w:spacing w:line="360" w:lineRule="auto"/>
        <w:jc w:val="center"/>
        <w:rPr>
          <w:b/>
          <w:bCs/>
        </w:rPr>
      </w:pPr>
    </w:p>
    <w:p w:rsidR="00846BF2" w:rsidRDefault="00846BF2" w14:paraId="32E171C3" w14:textId="77777777">
      <w:pPr>
        <w:spacing w:line="360" w:lineRule="auto"/>
        <w:jc w:val="center"/>
        <w:rPr>
          <w:b/>
          <w:bCs/>
        </w:rPr>
      </w:pPr>
    </w:p>
    <w:p w:rsidR="00846BF2" w:rsidRDefault="00846BF2" w14:paraId="68AFDD38" w14:textId="77777777">
      <w:pPr>
        <w:spacing w:line="360" w:lineRule="auto"/>
        <w:jc w:val="center"/>
        <w:rPr>
          <w:b/>
          <w:bCs/>
        </w:rPr>
      </w:pPr>
    </w:p>
    <w:p w:rsidR="00846BF2" w:rsidRDefault="00846BF2" w14:paraId="0856188C" w14:textId="77777777">
      <w:pPr>
        <w:spacing w:line="360" w:lineRule="auto"/>
        <w:jc w:val="center"/>
        <w:rPr>
          <w:b/>
          <w:bCs/>
        </w:rPr>
      </w:pPr>
    </w:p>
    <w:p w:rsidR="00846BF2" w:rsidRDefault="00846BF2" w14:paraId="7835F186" w14:textId="77777777">
      <w:pPr>
        <w:spacing w:line="360" w:lineRule="auto"/>
        <w:jc w:val="center"/>
        <w:rPr>
          <w:b/>
          <w:bCs/>
        </w:rPr>
      </w:pPr>
    </w:p>
    <w:p w:rsidR="00846BF2" w:rsidRDefault="00846BF2" w14:paraId="642D045E" w14:textId="77777777">
      <w:pPr>
        <w:spacing w:line="360" w:lineRule="auto"/>
        <w:jc w:val="center"/>
        <w:rPr>
          <w:b/>
          <w:bCs/>
        </w:rPr>
      </w:pPr>
    </w:p>
    <w:p w:rsidR="00846BF2" w:rsidRDefault="00846BF2" w14:paraId="52CA5231" w14:textId="77777777">
      <w:pPr>
        <w:spacing w:line="360" w:lineRule="auto"/>
        <w:jc w:val="center"/>
        <w:rPr>
          <w:b/>
          <w:bCs/>
        </w:rPr>
      </w:pPr>
    </w:p>
    <w:p w:rsidR="00846BF2" w:rsidRDefault="00846BF2" w14:paraId="01F9C827" w14:textId="77777777">
      <w:pPr>
        <w:spacing w:line="360" w:lineRule="auto"/>
        <w:jc w:val="center"/>
        <w:rPr>
          <w:b/>
          <w:bCs/>
        </w:rPr>
      </w:pPr>
    </w:p>
    <w:p w:rsidR="005713C0" w:rsidP="005713C0" w:rsidRDefault="005713C0" w14:paraId="244A0F5F" w14:textId="77777777">
      <w:pPr>
        <w:spacing w:line="360" w:lineRule="auto"/>
        <w:jc w:val="center"/>
      </w:pPr>
      <w:r>
        <w:rPr>
          <w:b/>
          <w:bCs/>
          <w:lang w:val="pt-PT"/>
        </w:rPr>
        <w:t>O DIREITO AGRÁRIO COM FOCO NA SEGURANÇA ALIMENTAR E SUA RELAÇÃO COM A SOBERANIA DOS POVOS</w:t>
      </w:r>
    </w:p>
    <w:p w:rsidR="00846BF2" w:rsidP="00846BF2" w:rsidRDefault="00846BF2" w14:paraId="03E62B9E" w14:textId="77777777">
      <w:pPr>
        <w:spacing w:line="360" w:lineRule="auto"/>
        <w:jc w:val="center"/>
        <w:rPr>
          <w:b/>
          <w:bCs/>
        </w:rPr>
      </w:pPr>
    </w:p>
    <w:p w:rsidR="00846BF2" w:rsidP="00846BF2" w:rsidRDefault="00846BF2" w14:paraId="72524C91" w14:textId="77777777">
      <w:pPr>
        <w:spacing w:line="360" w:lineRule="auto"/>
        <w:jc w:val="center"/>
        <w:rPr>
          <w:b/>
          <w:bCs/>
        </w:rPr>
      </w:pPr>
    </w:p>
    <w:p w:rsidR="00846BF2" w:rsidP="00846BF2" w:rsidRDefault="00846BF2" w14:paraId="5621F312" w14:textId="77777777">
      <w:pPr>
        <w:spacing w:line="360" w:lineRule="auto"/>
        <w:jc w:val="center"/>
        <w:rPr>
          <w:b/>
          <w:bCs/>
        </w:rPr>
      </w:pPr>
    </w:p>
    <w:p w:rsidR="00846BF2" w:rsidP="00846BF2" w:rsidRDefault="00846BF2" w14:paraId="3C16A7BB" w14:textId="77777777">
      <w:pPr>
        <w:spacing w:line="360" w:lineRule="auto"/>
        <w:jc w:val="center"/>
        <w:rPr>
          <w:b/>
          <w:bCs/>
        </w:rPr>
      </w:pPr>
    </w:p>
    <w:p w:rsidRPr="005713C0" w:rsidR="00846BF2" w:rsidP="00846BF2" w:rsidRDefault="00846BF2" w14:paraId="092EEB3F" w14:textId="77777777">
      <w:pPr>
        <w:spacing w:line="360" w:lineRule="auto"/>
        <w:jc w:val="center"/>
      </w:pPr>
    </w:p>
    <w:p w:rsidRPr="005713C0" w:rsidR="005713C0" w:rsidP="005713C0" w:rsidRDefault="00846BF2" w14:paraId="26F17BDE" w14:textId="4AAC5A4A">
      <w:pPr>
        <w:spacing w:line="360" w:lineRule="auto"/>
        <w:jc w:val="center"/>
      </w:pPr>
      <w:r w:rsidRPr="005713C0">
        <w:t xml:space="preserve">Data da Defesa: </w:t>
      </w:r>
      <w:r w:rsidR="005713C0">
        <w:t xml:space="preserve">_____ </w:t>
      </w:r>
      <w:r w:rsidRPr="005713C0">
        <w:t>de</w:t>
      </w:r>
      <w:r w:rsidR="005713C0">
        <w:t xml:space="preserve"> _____</w:t>
      </w:r>
      <w:r w:rsidRPr="005713C0">
        <w:t xml:space="preserve"> de </w:t>
      </w:r>
      <w:r w:rsidR="005713C0">
        <w:t>_____</w:t>
      </w:r>
    </w:p>
    <w:p w:rsidR="005713C0" w:rsidP="005713C0" w:rsidRDefault="005713C0" w14:paraId="73C5A5B1" w14:textId="77777777">
      <w:pPr>
        <w:spacing w:line="360" w:lineRule="auto"/>
        <w:jc w:val="center"/>
      </w:pPr>
    </w:p>
    <w:p w:rsidRPr="005713C0" w:rsidR="005713C0" w:rsidP="005713C0" w:rsidRDefault="005713C0" w14:paraId="054B0FE0" w14:textId="77777777">
      <w:pPr>
        <w:spacing w:line="360" w:lineRule="auto"/>
        <w:jc w:val="center"/>
      </w:pPr>
    </w:p>
    <w:p w:rsidRPr="005713C0" w:rsidR="005713C0" w:rsidP="005713C0" w:rsidRDefault="005713C0" w14:paraId="4073D7A6" w14:textId="77777777">
      <w:pPr>
        <w:spacing w:line="360" w:lineRule="auto"/>
        <w:jc w:val="center"/>
      </w:pPr>
    </w:p>
    <w:p w:rsidRPr="005713C0" w:rsidR="00846BF2" w:rsidP="005713C0" w:rsidRDefault="00846BF2" w14:paraId="1D3E1AC7" w14:textId="00726AB2">
      <w:pPr>
        <w:spacing w:line="360" w:lineRule="auto"/>
        <w:jc w:val="center"/>
      </w:pPr>
      <w:r w:rsidRPr="005713C0">
        <w:t>BANCA EXAMINADORA</w:t>
      </w:r>
    </w:p>
    <w:p w:rsidRPr="005713C0" w:rsidR="005713C0" w:rsidP="005713C0" w:rsidRDefault="005713C0" w14:paraId="1D1FD1EA" w14:textId="77777777">
      <w:pPr>
        <w:spacing w:line="360" w:lineRule="auto"/>
        <w:jc w:val="center"/>
      </w:pPr>
    </w:p>
    <w:p w:rsidRPr="005713C0" w:rsidR="005713C0" w:rsidP="005713C0" w:rsidRDefault="005713C0" w14:paraId="5D8BEBB3" w14:textId="77777777">
      <w:pPr>
        <w:spacing w:line="360" w:lineRule="auto"/>
        <w:jc w:val="center"/>
      </w:pPr>
    </w:p>
    <w:p w:rsidRPr="005713C0" w:rsidR="005713C0" w:rsidP="005713C0" w:rsidRDefault="005713C0" w14:paraId="725CFF97" w14:textId="77777777">
      <w:pPr>
        <w:spacing w:line="360" w:lineRule="auto"/>
        <w:jc w:val="center"/>
      </w:pPr>
    </w:p>
    <w:p w:rsidRPr="005713C0" w:rsidR="00846BF2" w:rsidP="00846BF2" w:rsidRDefault="005713C0" w14:paraId="7F4926FC" w14:textId="588E3E56">
      <w:pPr>
        <w:spacing w:line="360" w:lineRule="auto"/>
        <w:jc w:val="center"/>
      </w:pPr>
      <w:r>
        <w:t>_______________________________________________________</w:t>
      </w:r>
    </w:p>
    <w:p w:rsidR="005713C0" w:rsidP="00846BF2" w:rsidRDefault="00846BF2" w14:paraId="1CC54FFB" w14:textId="77777777">
      <w:pPr>
        <w:spacing w:line="360" w:lineRule="auto"/>
        <w:jc w:val="center"/>
      </w:pPr>
      <w:r w:rsidRPr="005713C0">
        <w:t>Orientador (a): Prof. (a) Titulação e Nome Completo Nota</w:t>
      </w:r>
    </w:p>
    <w:p w:rsidR="005713C0" w:rsidP="00846BF2" w:rsidRDefault="005713C0" w14:paraId="2A0C3F3A" w14:textId="77777777">
      <w:pPr>
        <w:spacing w:line="360" w:lineRule="auto"/>
        <w:jc w:val="center"/>
      </w:pPr>
    </w:p>
    <w:p w:rsidR="005713C0" w:rsidP="00846BF2" w:rsidRDefault="005713C0" w14:paraId="33D0331E" w14:textId="6FA88398">
      <w:pPr>
        <w:spacing w:line="360" w:lineRule="auto"/>
        <w:jc w:val="center"/>
      </w:pPr>
      <w:r>
        <w:t>_______________________________________________________________</w:t>
      </w:r>
    </w:p>
    <w:p w:rsidRPr="005713C0" w:rsidR="00846BF2" w:rsidP="00846BF2" w:rsidRDefault="00846BF2" w14:paraId="30101EA8" w14:textId="32E26F2F">
      <w:pPr>
        <w:spacing w:line="360" w:lineRule="auto"/>
        <w:jc w:val="center"/>
      </w:pPr>
      <w:r w:rsidRPr="005713C0">
        <w:t xml:space="preserve"> Examinador (a) Convidado (a): Prof. (a): Titulação e Nome Completo Nota</w:t>
      </w:r>
    </w:p>
    <w:p w:rsidR="00846BF2" w:rsidRDefault="00846BF2" w14:paraId="227C0F81" w14:textId="77777777">
      <w:pPr>
        <w:spacing w:line="360" w:lineRule="auto"/>
        <w:jc w:val="center"/>
        <w:rPr>
          <w:b/>
          <w:bCs/>
        </w:rPr>
      </w:pPr>
    </w:p>
    <w:p w:rsidR="00846BF2" w:rsidP="005713C0" w:rsidRDefault="00846BF2" w14:paraId="2DB4C83E" w14:textId="77777777">
      <w:pPr>
        <w:spacing w:line="360" w:lineRule="auto"/>
        <w:rPr>
          <w:b/>
          <w:bCs/>
        </w:rPr>
      </w:pPr>
    </w:p>
    <w:p w:rsidR="00846BF2" w:rsidRDefault="00846BF2" w14:paraId="4A84C695" w14:textId="77777777">
      <w:pPr>
        <w:spacing w:line="360" w:lineRule="auto"/>
        <w:jc w:val="center"/>
        <w:rPr>
          <w:b/>
          <w:bCs/>
        </w:rPr>
      </w:pPr>
    </w:p>
    <w:p w:rsidRPr="007559CE" w:rsidR="007559CE" w:rsidP="007559CE" w:rsidRDefault="0096705A" w14:paraId="472CC449" w14:textId="3A987314">
      <w:pPr>
        <w:suppressAutoHyphens/>
        <w:rPr>
          <w:b/>
          <w:bCs/>
        </w:rPr>
      </w:pPr>
      <w:r>
        <w:rPr>
          <w:b/>
          <w:bCs/>
        </w:rPr>
        <w:br w:type="page"/>
      </w:r>
    </w:p>
    <w:p w:rsidRPr="007559CE" w:rsidR="007559CE" w:rsidP="007559CE" w:rsidRDefault="007559CE" w14:paraId="23BA966F" w14:textId="34E46F8E">
      <w:pPr>
        <w:suppressAutoHyphens/>
        <w:spacing w:after="140" w:line="360" w:lineRule="auto"/>
        <w:jc w:val="center"/>
        <w:rPr>
          <w:b/>
          <w:bCs/>
        </w:rPr>
      </w:pPr>
      <w:r w:rsidRPr="007559CE">
        <w:rPr>
          <w:b/>
          <w:bCs/>
        </w:rPr>
        <w:t>DEDICATÓRIA</w:t>
      </w:r>
    </w:p>
    <w:p w:rsidR="007559CE" w:rsidP="007559CE" w:rsidRDefault="007559CE" w14:paraId="4E3BE09D" w14:textId="77777777">
      <w:pPr>
        <w:suppressAutoHyphens/>
        <w:spacing w:after="140" w:line="360" w:lineRule="auto"/>
        <w:jc w:val="both"/>
      </w:pPr>
    </w:p>
    <w:p w:rsidR="007559CE" w:rsidP="007559CE" w:rsidRDefault="007559CE" w14:paraId="0BC861F2" w14:textId="77777777">
      <w:pPr>
        <w:suppressAutoHyphens/>
        <w:spacing w:after="140" w:line="360" w:lineRule="auto"/>
        <w:jc w:val="both"/>
      </w:pPr>
    </w:p>
    <w:p w:rsidR="00D166B5" w:rsidP="007559CE" w:rsidRDefault="002270EB" w14:paraId="4B20D508" w14:textId="4829EF26">
      <w:pPr>
        <w:suppressAutoHyphens/>
        <w:spacing w:after="140" w:line="360" w:lineRule="auto"/>
        <w:jc w:val="both"/>
      </w:pPr>
      <w:r w:rsidRPr="00D166B5">
        <w:t xml:space="preserve">Dedico este trabalho à minha família, minha base e meus alicerces, que sempre me deram amor, muito amor. Aos meus pais, que sempre sacrificaram tudo por nossa família. À minha mãe, uma das mulheres mais fortes e inteligentes que conheço, e ao meu pai, um homem amoroso e sábio, que me introduziu à política e ao pensamento. Foram eles que me incentivaram desde as minhas primeiras palavras, quando bebê, até o último ponto final desta monografia. </w:t>
      </w:r>
    </w:p>
    <w:p w:rsidRPr="00D166B5" w:rsidR="002270EB" w:rsidP="007559CE" w:rsidRDefault="002270EB" w14:paraId="5AB63B10" w14:textId="2F715B7C">
      <w:pPr>
        <w:suppressAutoHyphens/>
        <w:spacing w:after="140" w:line="360" w:lineRule="auto"/>
        <w:jc w:val="both"/>
      </w:pPr>
      <w:r w:rsidRPr="00D166B5">
        <w:t xml:space="preserve">Aos meus irmãos Breno e José Pedro, por serem anestesia na vida, alívio nos dias difíceis e presença que conforta. Aos meus avós, José Odemir, Zenobia e Alaides, minha maior inspiração de resiliência, amor, ternura e trabalho duro, especialmente por terem me ensinado a enxergar, mesmo em meio às adversidades, a beleza que habita o mundo, seja no infinito de um campo na fazenda, nas tarefas simples de casa ou em uma bela pintura. Aos meus tios, tias e primos, que me embriagaram com amor e me mostraram, tantas vezes, do que sou capaz, entre eles principalmente meus tios Thiago, Giovanni e Marcelo, e minhas tias </w:t>
      </w:r>
      <w:r w:rsidRPr="003A37FE" w:rsidR="003A37FE">
        <w:t>Patrícia</w:t>
      </w:r>
      <w:r w:rsidRPr="00D166B5">
        <w:t xml:space="preserve"> e Daiana, dentre todos os outros.</w:t>
      </w:r>
    </w:p>
    <w:p w:rsidRPr="002270EB" w:rsidR="002270EB" w:rsidP="007559CE" w:rsidRDefault="002270EB" w14:paraId="1C04B912" w14:textId="77777777">
      <w:pPr>
        <w:suppressAutoHyphens/>
        <w:spacing w:after="140" w:line="360" w:lineRule="auto"/>
        <w:jc w:val="both"/>
      </w:pPr>
      <w:r w:rsidRPr="002270EB">
        <w:t>Dedico também àqueles que infelizmente já não estão mais aqui, mas que estariam orgulhosos de onde estou, e que de forma profunda me moldaram e permanecem vivos em tudo o que sou. Meu avô Giovanni, meus bisavós Tico, Lili e Odalha, meu tio Beto e minha tia Giselda. A vocês, que me incentivaram a ser autêntica, a pensar e a construir minha própria jornada, deixo minha eterna gratidão. Foi por meio do amor e do carinho que desenvolvi a empatia, e sem esse olhar voltado ao outro este trabalho jamais teria sido escrito.</w:t>
      </w:r>
    </w:p>
    <w:p w:rsidRPr="002270EB" w:rsidR="002270EB" w:rsidP="007559CE" w:rsidRDefault="002270EB" w14:paraId="7C3C9C5C" w14:textId="77777777">
      <w:pPr>
        <w:suppressAutoHyphens/>
        <w:spacing w:after="140" w:line="360" w:lineRule="auto"/>
        <w:jc w:val="both"/>
      </w:pPr>
      <w:r w:rsidRPr="002270EB">
        <w:t>Dedico ainda às vítimas, às populações e às crianças que tiveram o presente e o futuro afetados, e tantas vezes ceifados, pela violência e pela instrumentalização da fome. Que esta pesquisa seja também uma forma de memória, de denúncia e de humanidade diante de existências marcadas pela dor e pela injustiça.</w:t>
      </w:r>
    </w:p>
    <w:p w:rsidRPr="002270EB" w:rsidR="002270EB" w:rsidP="007559CE" w:rsidRDefault="002270EB" w14:paraId="3C4777CC" w14:textId="77777777">
      <w:pPr>
        <w:suppressAutoHyphens/>
        <w:spacing w:after="140" w:line="360" w:lineRule="auto"/>
        <w:jc w:val="both"/>
      </w:pPr>
      <w:r w:rsidRPr="002270EB">
        <w:t>Dedico também àqueles lá de cima que me guardam e me acompanham, e principalmente a Ela, mãe, colo e amparo nos dias em que a fé foi abrigo e direção.</w:t>
      </w:r>
    </w:p>
    <w:p w:rsidRPr="002270EB" w:rsidR="002270EB" w:rsidP="007559CE" w:rsidRDefault="002270EB" w14:paraId="1CCBA90D" w14:textId="54D74714">
      <w:pPr>
        <w:suppressAutoHyphens/>
        <w:spacing w:after="140" w:line="360" w:lineRule="auto"/>
        <w:jc w:val="both"/>
        <w:rPr>
          <w:color w:val="27251E"/>
        </w:rPr>
      </w:pPr>
      <w:r w:rsidRPr="002270EB">
        <w:t>E nas entrelinhas, a quem caminhou comigo em silêncio, sustentando ausências, acolhendo excessos e tornando os dias mais possíveis,</w:t>
      </w:r>
      <w:r w:rsidRPr="00D166B5">
        <w:t xml:space="preserve"> </w:t>
      </w:r>
      <w:r w:rsidRPr="00D166B5">
        <w:rPr>
          <w:color w:val="27251E"/>
        </w:rPr>
        <w:t xml:space="preserve">por estar presente de forma tão especial neste caminho, </w:t>
      </w:r>
      <w:r w:rsidRPr="002270EB">
        <w:t>minha gratidão por ser amor</w:t>
      </w:r>
      <w:r w:rsidRPr="00D166B5">
        <w:t>.</w:t>
      </w:r>
    </w:p>
    <w:p w:rsidRPr="002270EB" w:rsidR="002270EB" w:rsidP="007559CE" w:rsidRDefault="002270EB" w14:paraId="4C210654" w14:textId="50693AD8">
      <w:pPr>
        <w:suppressAutoHyphens/>
        <w:spacing w:after="140" w:line="360" w:lineRule="auto"/>
        <w:jc w:val="both"/>
      </w:pPr>
      <w:r w:rsidRPr="002270EB">
        <w:t>Aos meus amigos, por cada risada, por cada choro, por serem alegria, por sempre reconhecerem e apoiarem minha capacidade. A Ana, Augusto e Maria Fernanda, e aos amigos da faculdade, por dividirem o fardo e trazerem leveza aos meus dias, com boa companhia e risadas. A todas essas pessoas, dedico este trabalho</w:t>
      </w:r>
      <w:r w:rsidR="00D166B5">
        <w:t>, e este ciclo.</w:t>
      </w:r>
    </w:p>
    <w:p w:rsidR="005713C0" w:rsidP="0096705A" w:rsidRDefault="005713C0" w14:paraId="0AD75FE7" w14:textId="29FC9D9B">
      <w:pPr>
        <w:suppressAutoHyphens/>
        <w:rPr>
          <w:b/>
          <w:bCs/>
        </w:rPr>
      </w:pPr>
    </w:p>
    <w:p w:rsidR="005713C0" w:rsidRDefault="005713C0" w14:paraId="66DF74BD" w14:textId="77777777">
      <w:pPr>
        <w:spacing w:line="360" w:lineRule="auto"/>
        <w:jc w:val="center"/>
        <w:rPr>
          <w:b/>
          <w:bCs/>
        </w:rPr>
      </w:pPr>
    </w:p>
    <w:p w:rsidR="005713C0" w:rsidRDefault="005713C0" w14:paraId="65560F40" w14:textId="77777777">
      <w:pPr>
        <w:spacing w:line="360" w:lineRule="auto"/>
        <w:jc w:val="center"/>
        <w:rPr>
          <w:b/>
          <w:bCs/>
        </w:rPr>
      </w:pPr>
    </w:p>
    <w:p w:rsidR="005713C0" w:rsidRDefault="005713C0" w14:paraId="11FE13E4" w14:textId="77777777">
      <w:pPr>
        <w:spacing w:line="360" w:lineRule="auto"/>
        <w:jc w:val="center"/>
        <w:rPr>
          <w:b/>
          <w:bCs/>
        </w:rPr>
      </w:pPr>
    </w:p>
    <w:p w:rsidR="005713C0" w:rsidRDefault="005713C0" w14:paraId="54C1AE89" w14:textId="77777777">
      <w:pPr>
        <w:spacing w:line="360" w:lineRule="auto"/>
        <w:jc w:val="center"/>
        <w:rPr>
          <w:b/>
          <w:bCs/>
        </w:rPr>
      </w:pPr>
    </w:p>
    <w:p w:rsidR="005713C0" w:rsidRDefault="005713C0" w14:paraId="4A315F4E" w14:textId="77777777">
      <w:pPr>
        <w:spacing w:line="360" w:lineRule="auto"/>
        <w:jc w:val="center"/>
        <w:rPr>
          <w:b/>
          <w:bCs/>
        </w:rPr>
      </w:pPr>
    </w:p>
    <w:p w:rsidR="005713C0" w:rsidRDefault="005713C0" w14:paraId="2AEA99D5" w14:textId="77777777">
      <w:pPr>
        <w:spacing w:line="360" w:lineRule="auto"/>
        <w:jc w:val="center"/>
        <w:rPr>
          <w:b/>
          <w:bCs/>
        </w:rPr>
      </w:pPr>
    </w:p>
    <w:p w:rsidR="005713C0" w:rsidRDefault="005713C0" w14:paraId="2B78EB1F" w14:textId="77777777">
      <w:pPr>
        <w:spacing w:line="360" w:lineRule="auto"/>
        <w:jc w:val="center"/>
        <w:rPr>
          <w:b/>
          <w:bCs/>
        </w:rPr>
      </w:pPr>
    </w:p>
    <w:p w:rsidR="005713C0" w:rsidRDefault="005713C0" w14:paraId="433739D4" w14:textId="77777777">
      <w:pPr>
        <w:spacing w:line="360" w:lineRule="auto"/>
        <w:jc w:val="center"/>
        <w:rPr>
          <w:b/>
          <w:bCs/>
        </w:rPr>
      </w:pPr>
    </w:p>
    <w:p w:rsidR="005713C0" w:rsidRDefault="005713C0" w14:paraId="2B565518" w14:textId="77777777">
      <w:pPr>
        <w:spacing w:line="360" w:lineRule="auto"/>
        <w:jc w:val="center"/>
        <w:rPr>
          <w:b/>
          <w:bCs/>
        </w:rPr>
      </w:pPr>
    </w:p>
    <w:p w:rsidR="005713C0" w:rsidRDefault="005713C0" w14:paraId="0FA2A5D9" w14:textId="77777777">
      <w:pPr>
        <w:spacing w:line="360" w:lineRule="auto"/>
        <w:jc w:val="center"/>
        <w:rPr>
          <w:b/>
          <w:bCs/>
        </w:rPr>
      </w:pPr>
    </w:p>
    <w:p w:rsidR="005713C0" w:rsidRDefault="005713C0" w14:paraId="2854769D" w14:textId="77777777">
      <w:pPr>
        <w:spacing w:line="360" w:lineRule="auto"/>
        <w:jc w:val="center"/>
        <w:rPr>
          <w:b/>
          <w:bCs/>
        </w:rPr>
      </w:pPr>
    </w:p>
    <w:p w:rsidR="005713C0" w:rsidRDefault="005713C0" w14:paraId="67D2A592" w14:textId="77777777">
      <w:pPr>
        <w:spacing w:line="360" w:lineRule="auto"/>
        <w:jc w:val="center"/>
        <w:rPr>
          <w:b/>
          <w:bCs/>
        </w:rPr>
      </w:pPr>
    </w:p>
    <w:p w:rsidR="005713C0" w:rsidRDefault="005713C0" w14:paraId="431DD715" w14:textId="77777777">
      <w:pPr>
        <w:spacing w:line="360" w:lineRule="auto"/>
        <w:jc w:val="center"/>
        <w:rPr>
          <w:b/>
          <w:bCs/>
        </w:rPr>
      </w:pPr>
    </w:p>
    <w:p w:rsidR="005713C0" w:rsidRDefault="005713C0" w14:paraId="709B5A2A" w14:textId="77777777">
      <w:pPr>
        <w:spacing w:line="360" w:lineRule="auto"/>
        <w:jc w:val="center"/>
        <w:rPr>
          <w:b/>
          <w:bCs/>
        </w:rPr>
      </w:pPr>
    </w:p>
    <w:p w:rsidR="005713C0" w:rsidRDefault="005713C0" w14:paraId="0BDD1597" w14:textId="77777777">
      <w:pPr>
        <w:spacing w:line="360" w:lineRule="auto"/>
        <w:jc w:val="center"/>
        <w:rPr>
          <w:b/>
          <w:bCs/>
        </w:rPr>
      </w:pPr>
    </w:p>
    <w:p w:rsidR="005713C0" w:rsidRDefault="005713C0" w14:paraId="67BA43DA" w14:textId="77777777">
      <w:pPr>
        <w:spacing w:line="360" w:lineRule="auto"/>
        <w:jc w:val="center"/>
        <w:rPr>
          <w:b/>
          <w:bCs/>
        </w:rPr>
      </w:pPr>
    </w:p>
    <w:p w:rsidR="005713C0" w:rsidRDefault="005713C0" w14:paraId="32F33E6D" w14:textId="77777777">
      <w:pPr>
        <w:spacing w:line="360" w:lineRule="auto"/>
        <w:jc w:val="center"/>
        <w:rPr>
          <w:b/>
          <w:bCs/>
        </w:rPr>
      </w:pPr>
    </w:p>
    <w:p w:rsidR="005713C0" w:rsidRDefault="005713C0" w14:paraId="21B85842" w14:textId="77777777">
      <w:pPr>
        <w:spacing w:line="360" w:lineRule="auto"/>
        <w:jc w:val="center"/>
        <w:rPr>
          <w:b/>
          <w:bCs/>
        </w:rPr>
      </w:pPr>
    </w:p>
    <w:p w:rsidR="005713C0" w:rsidRDefault="005713C0" w14:paraId="09CDCBA8" w14:textId="77777777">
      <w:pPr>
        <w:spacing w:line="360" w:lineRule="auto"/>
        <w:jc w:val="center"/>
        <w:rPr>
          <w:b/>
          <w:bCs/>
        </w:rPr>
      </w:pPr>
    </w:p>
    <w:p w:rsidR="005713C0" w:rsidRDefault="005713C0" w14:paraId="300E7373" w14:textId="77777777">
      <w:pPr>
        <w:spacing w:line="360" w:lineRule="auto"/>
        <w:jc w:val="center"/>
        <w:rPr>
          <w:b/>
          <w:bCs/>
        </w:rPr>
      </w:pPr>
    </w:p>
    <w:p w:rsidR="005713C0" w:rsidRDefault="005713C0" w14:paraId="1BBAD5C0" w14:textId="77777777">
      <w:pPr>
        <w:spacing w:line="360" w:lineRule="auto"/>
        <w:jc w:val="center"/>
        <w:rPr>
          <w:b/>
          <w:bCs/>
        </w:rPr>
      </w:pPr>
    </w:p>
    <w:p w:rsidR="005713C0" w:rsidRDefault="005713C0" w14:paraId="439297C6" w14:textId="77777777">
      <w:pPr>
        <w:spacing w:line="360" w:lineRule="auto"/>
        <w:jc w:val="center"/>
        <w:rPr>
          <w:b/>
          <w:bCs/>
        </w:rPr>
      </w:pPr>
    </w:p>
    <w:p w:rsidR="005713C0" w:rsidP="007559CE" w:rsidRDefault="005713C0" w14:paraId="16AF48F1" w14:textId="77777777">
      <w:pPr>
        <w:spacing w:line="360" w:lineRule="auto"/>
        <w:rPr>
          <w:b/>
          <w:bCs/>
        </w:rPr>
      </w:pPr>
    </w:p>
    <w:p w:rsidR="0096705A" w:rsidP="007559CE" w:rsidRDefault="0096705A" w14:paraId="688789D6" w14:textId="77777777">
      <w:pPr>
        <w:spacing w:line="360" w:lineRule="auto"/>
        <w:rPr>
          <w:b/>
          <w:bCs/>
        </w:rPr>
      </w:pPr>
    </w:p>
    <w:p w:rsidR="0096705A" w:rsidP="00251127" w:rsidRDefault="0096705A" w14:paraId="637C585F" w14:textId="6DDD4C24">
      <w:pPr>
        <w:suppressAutoHyphens/>
        <w:rPr>
          <w:b/>
          <w:bCs/>
        </w:rPr>
      </w:pPr>
      <w:r>
        <w:rPr>
          <w:b/>
          <w:bCs/>
        </w:rPr>
        <w:br w:type="page"/>
      </w:r>
    </w:p>
    <w:p w:rsidR="00251127" w:rsidP="00251127" w:rsidRDefault="00251127" w14:paraId="261808AB" w14:textId="77777777">
      <w:pPr>
        <w:spacing w:line="360" w:lineRule="auto"/>
        <w:jc w:val="center"/>
      </w:pPr>
      <w:r>
        <w:rPr>
          <w:b/>
          <w:bCs/>
          <w:lang w:val="pt-PT"/>
        </w:rPr>
        <w:t>O DIREITO AGRÁRIO COM FOCO NA SEGURANÇA ALIMENTAR E SUA RELAÇÃO COM A SOBERANIA DOS POVOS</w:t>
      </w:r>
    </w:p>
    <w:p w:rsidR="00251127" w:rsidRDefault="00251127" w14:paraId="02C96288" w14:textId="77777777">
      <w:pPr>
        <w:spacing w:line="360" w:lineRule="auto"/>
        <w:jc w:val="center"/>
        <w:rPr>
          <w:b/>
          <w:bCs/>
        </w:rPr>
      </w:pPr>
    </w:p>
    <w:p w:rsidR="00251127" w:rsidRDefault="00251127" w14:paraId="5AE502CD" w14:textId="77777777">
      <w:pPr>
        <w:spacing w:line="360" w:lineRule="auto"/>
        <w:jc w:val="center"/>
        <w:rPr>
          <w:b/>
          <w:bCs/>
        </w:rPr>
      </w:pPr>
    </w:p>
    <w:p w:rsidR="00251127" w:rsidP="00251127" w:rsidRDefault="00251127" w14:paraId="4CC28DB8" w14:textId="7B403838">
      <w:pPr>
        <w:spacing w:line="360" w:lineRule="auto"/>
        <w:jc w:val="right"/>
        <w:rPr>
          <w:b/>
          <w:bCs/>
        </w:rPr>
      </w:pPr>
      <w:r>
        <w:rPr>
          <w:b/>
          <w:bCs/>
        </w:rPr>
        <w:t>Giovanna Santos Cardoso Valente</w:t>
      </w:r>
    </w:p>
    <w:p w:rsidR="00251127" w:rsidP="00251127" w:rsidRDefault="00251127" w14:paraId="156C3092" w14:textId="77777777">
      <w:pPr>
        <w:spacing w:line="360" w:lineRule="auto"/>
        <w:jc w:val="right"/>
        <w:rPr>
          <w:b/>
          <w:bCs/>
        </w:rPr>
      </w:pPr>
    </w:p>
    <w:p w:rsidRPr="00251127" w:rsidR="00843FB2" w:rsidP="00251127" w:rsidRDefault="00843FB2" w14:paraId="0F267A1D" w14:textId="1B51EA98">
      <w:pPr>
        <w:jc w:val="both"/>
      </w:pPr>
      <w:r w:rsidRPr="00251127">
        <w:t>O estudo analisou o Direito Agrário em sua dimensão humanística, articulando-o à segurança alimentar e à soberania dos povos, para compreender como a forma de regular a terra e a produção rural definiu quem pôde produzir, comer e pertencer em distintos contextos históricos. Teve por objetivo demonstrar que o alimento, longe de ser apenas bem econômico, foi manejado como direito humano fundamental ou como instrumento de dominação política, com ênfase na instrumentalização da fome em cenários de bloqueios, sanções e conflitos armados, especialmente no caso Israel–Palestina. Adotou pesquisa essencialmente bibliográfica e documental, complementad</w:t>
      </w:r>
      <w:r w:rsidR="00542872">
        <w:t>a</w:t>
      </w:r>
      <w:r w:rsidRPr="00251127">
        <w:t xml:space="preserve"> pelos métodos histórico e comparativo, examinando marcos normativos nacionais e internacionais, relatórios de organismos multilaterais, documentos oficiais e literatura especializada sobre Direito Agrário, direitos humanos e Direito Humano à Alimentação Adequada. A investigação reconstruiu o desenvolvimento do Direito Agrário e da segurança alimentar, destacando a função social da propriedade, a centralidade do alimento para a dignidade e a ideia de que a fome pode ser produzida politicamente como tecnologia de poder, em chave de necropolítica e de racismo alimentar. Verificou que bloqueios e restrições deliberadas de acesso a alimentos e água geraram violações graves de direitos humanos, aproximando-se de práticas de genocídio, apartheid e genocídio alimentar silencioso. Concluiu que um Direito Agrário concebido como direito humano fundamental, comprometido com a função social da terra, com políticas estruturantes de segurança alimentar e com os marcos internacionais de proteção da dignidade, como no arranjo brasileiro, ofereceu base jurídico-política para afirmar a soberania alimentar dos povos e resistir à transformação do alimento em arma de guerra e de controle social.</w:t>
      </w:r>
    </w:p>
    <w:p w:rsidRPr="00843FB2" w:rsidR="00843FB2" w:rsidP="00843FB2" w:rsidRDefault="00843FB2" w14:paraId="52277157" w14:textId="77777777">
      <w:pPr>
        <w:spacing w:line="360" w:lineRule="auto"/>
        <w:jc w:val="center"/>
        <w:rPr>
          <w:b/>
          <w:bCs/>
        </w:rPr>
      </w:pPr>
    </w:p>
    <w:p w:rsidR="00251127" w:rsidP="00251127" w:rsidRDefault="00843FB2" w14:paraId="367C4F85" w14:textId="05838D9A">
      <w:pPr>
        <w:jc w:val="both"/>
      </w:pPr>
      <w:r w:rsidRPr="00843FB2">
        <w:rPr>
          <w:b/>
          <w:bCs/>
        </w:rPr>
        <w:t>Palavras-chave</w:t>
      </w:r>
      <w:r w:rsidRPr="00251127">
        <w:t>: Direito Agrário</w:t>
      </w:r>
      <w:r w:rsidRPr="00251127" w:rsidR="00251127">
        <w:t>;</w:t>
      </w:r>
      <w:r w:rsidRPr="00251127">
        <w:t xml:space="preserve"> Segurança alimentar</w:t>
      </w:r>
      <w:r w:rsidRPr="00251127" w:rsidR="00251127">
        <w:t>;</w:t>
      </w:r>
      <w:r w:rsidRPr="00251127">
        <w:t xml:space="preserve"> Soberania dos povos</w:t>
      </w:r>
      <w:r w:rsidRPr="00251127" w:rsidR="00251127">
        <w:t>;</w:t>
      </w:r>
      <w:r w:rsidR="007559CE">
        <w:t xml:space="preserve"> </w:t>
      </w:r>
      <w:r w:rsidRPr="00251127">
        <w:t>Fome como arma de guerra</w:t>
      </w:r>
      <w:r w:rsidRPr="00251127" w:rsidR="00251127">
        <w:t xml:space="preserve">; </w:t>
      </w:r>
      <w:r w:rsidRPr="00251127">
        <w:t>Direito Humano à Alimentação Adequada</w:t>
      </w:r>
      <w:r w:rsidRPr="00251127">
        <w:rPr>
          <w:b/>
          <w:bCs/>
        </w:rPr>
        <w:t>.</w:t>
      </w:r>
    </w:p>
    <w:p w:rsidRPr="00251127" w:rsidR="00251127" w:rsidP="00251127" w:rsidRDefault="00251127" w14:paraId="661D3727" w14:textId="77777777">
      <w:pPr>
        <w:jc w:val="both"/>
      </w:pPr>
    </w:p>
    <w:p w:rsidRPr="007559CE" w:rsidR="00251127" w:rsidP="005713C0" w:rsidRDefault="00251127" w14:paraId="51CC6862" w14:textId="77777777">
      <w:pPr>
        <w:spacing w:line="360" w:lineRule="auto"/>
        <w:jc w:val="both"/>
        <w:rPr>
          <w:b/>
          <w:bCs/>
        </w:rPr>
      </w:pPr>
    </w:p>
    <w:p w:rsidRPr="007559CE" w:rsidR="005713C0" w:rsidP="005713C0" w:rsidRDefault="005713C0" w14:paraId="2C310628" w14:textId="77777777">
      <w:pPr>
        <w:spacing w:line="360" w:lineRule="auto"/>
        <w:jc w:val="both"/>
        <w:rPr>
          <w:b/>
          <w:bCs/>
        </w:rPr>
      </w:pPr>
    </w:p>
    <w:p w:rsidRPr="007559CE" w:rsidR="00251127" w:rsidP="005713C0" w:rsidRDefault="00251127" w14:paraId="43FA223E" w14:textId="77777777">
      <w:pPr>
        <w:spacing w:line="360" w:lineRule="auto"/>
        <w:jc w:val="both"/>
        <w:rPr>
          <w:b/>
          <w:bCs/>
        </w:rPr>
      </w:pPr>
    </w:p>
    <w:p w:rsidRPr="007559CE" w:rsidR="00251127" w:rsidP="005713C0" w:rsidRDefault="00251127" w14:paraId="22C055AF" w14:textId="77777777">
      <w:pPr>
        <w:spacing w:line="360" w:lineRule="auto"/>
        <w:jc w:val="both"/>
        <w:rPr>
          <w:b/>
          <w:bCs/>
        </w:rPr>
      </w:pPr>
    </w:p>
    <w:p w:rsidRPr="007559CE" w:rsidR="00251127" w:rsidP="005713C0" w:rsidRDefault="00251127" w14:paraId="76C4E51C" w14:textId="77777777">
      <w:pPr>
        <w:spacing w:line="360" w:lineRule="auto"/>
        <w:jc w:val="both"/>
        <w:rPr>
          <w:b/>
          <w:bCs/>
        </w:rPr>
      </w:pPr>
    </w:p>
    <w:p w:rsidRPr="007559CE" w:rsidR="00251127" w:rsidP="005713C0" w:rsidRDefault="00251127" w14:paraId="74E27D77" w14:textId="77777777">
      <w:pPr>
        <w:spacing w:line="360" w:lineRule="auto"/>
        <w:jc w:val="both"/>
        <w:rPr>
          <w:b/>
          <w:bCs/>
        </w:rPr>
      </w:pPr>
    </w:p>
    <w:p w:rsidRPr="007559CE" w:rsidR="00251127" w:rsidRDefault="00251127" w14:paraId="321D8D4F" w14:textId="13FF4535">
      <w:pPr>
        <w:suppressAutoHyphens/>
        <w:rPr>
          <w:b/>
          <w:bCs/>
        </w:rPr>
      </w:pPr>
      <w:r w:rsidRPr="007559CE">
        <w:rPr>
          <w:b/>
          <w:bCs/>
        </w:rPr>
        <w:br w:type="page"/>
      </w:r>
    </w:p>
    <w:p w:rsidR="00251127" w:rsidP="00843FB2" w:rsidRDefault="00251127" w14:paraId="77C4A9D8" w14:textId="4F5F3730">
      <w:pPr>
        <w:spacing w:line="360" w:lineRule="auto"/>
        <w:jc w:val="center"/>
        <w:rPr>
          <w:b/>
          <w:bCs/>
          <w:lang w:val="en-US"/>
        </w:rPr>
      </w:pPr>
      <w:r w:rsidRPr="00251127">
        <w:rPr>
          <w:b/>
          <w:bCs/>
          <w:lang w:val="en-US"/>
        </w:rPr>
        <w:t xml:space="preserve">AGRICULTURAL LAW WITH A FOCUS ON FOOD SECURITY AND ITS RELATIONSHIP TO PEOPLE’S SOVEREIGNTY </w:t>
      </w:r>
    </w:p>
    <w:p w:rsidR="00251127" w:rsidP="00843FB2" w:rsidRDefault="00251127" w14:paraId="072DF5F6" w14:textId="77777777">
      <w:pPr>
        <w:spacing w:line="360" w:lineRule="auto"/>
        <w:jc w:val="center"/>
        <w:rPr>
          <w:b/>
          <w:bCs/>
          <w:lang w:val="en-US"/>
        </w:rPr>
      </w:pPr>
    </w:p>
    <w:p w:rsidR="00251127" w:rsidP="00843FB2" w:rsidRDefault="00251127" w14:paraId="5929DC02" w14:textId="77777777">
      <w:pPr>
        <w:spacing w:line="360" w:lineRule="auto"/>
        <w:jc w:val="center"/>
        <w:rPr>
          <w:b/>
          <w:bCs/>
          <w:lang w:val="en-US"/>
        </w:rPr>
      </w:pPr>
    </w:p>
    <w:p w:rsidR="00843FB2" w:rsidP="00251127" w:rsidRDefault="00843FB2" w14:paraId="2C691C08" w14:textId="4EB4BFC6">
      <w:pPr>
        <w:jc w:val="both"/>
        <w:rPr>
          <w:lang w:val="en-US"/>
        </w:rPr>
      </w:pPr>
      <w:r w:rsidRPr="00251127">
        <w:rPr>
          <w:lang w:val="en-US"/>
        </w:rPr>
        <w:t>The study analyzed Agrarian Law in its humanistic dimension, linking it to food security and the sovereignty of peoples, in order to understand how the regulation of land and rural production has defined who could produce, eat, and belong across different historical contexts. Its objective was to demonstrate that food, far from being merely an economic good, has been managed either as a fundamental human right or as an instrument of political domination, with emphasis on the instrumentalization of hunger in scenarios involving blockades, sanctions, and armed conflicts, especially in the case of Israel-Palestine. The research adopted a primarily bibliographic and documentary approach, using the deductive method, complemented by historical and comparative methods, examining national and international legal frameworks, reports from multilateral organizations, official documents, and specialized literature on Agrarian Law, human rights, and the Human Right to Adequate Food. The investigation reconstructed the development of Agrarian Law and food security, highlighting the social function of property, the centrality of food to human dignity, and the idea that hunger can be politically produced as a technology of power, within a framework of necropolitics and food racism. It found that blockades and deliberate restrictions on access to food and water have generated serious human rights violations, approaching practices of genocide, apartheid, and silent food genocide. The study concluded that an Agrarian Law conceived as a fundamental human right, committed to the social function of land, to structural food security policies, and to international frameworks for the protection of dignity, as in the Brazilian framework, provides a legal and political foundation to affirm the food sovereignty of peoples and to resist the transformation of food into a weapon of war and social control.</w:t>
      </w:r>
    </w:p>
    <w:p w:rsidRPr="00251127" w:rsidR="00251127" w:rsidP="00251127" w:rsidRDefault="00251127" w14:paraId="02AFF4AB" w14:textId="77777777">
      <w:pPr>
        <w:jc w:val="both"/>
        <w:rPr>
          <w:lang w:val="en-US"/>
        </w:rPr>
      </w:pPr>
    </w:p>
    <w:p w:rsidRPr="00251127" w:rsidR="00843FB2" w:rsidP="00251127" w:rsidRDefault="00843FB2" w14:paraId="57652BB5" w14:textId="19F37500">
      <w:pPr>
        <w:jc w:val="both"/>
        <w:rPr>
          <w:lang w:val="en-US"/>
        </w:rPr>
      </w:pPr>
      <w:r w:rsidRPr="00251127">
        <w:rPr>
          <w:b/>
          <w:bCs/>
          <w:lang w:val="en-US"/>
        </w:rPr>
        <w:t>Keywords:</w:t>
      </w:r>
      <w:r w:rsidRPr="00251127">
        <w:rPr>
          <w:lang w:val="en-US"/>
        </w:rPr>
        <w:t xml:space="preserve"> Agrarian Law</w:t>
      </w:r>
      <w:r w:rsidR="00251127">
        <w:rPr>
          <w:lang w:val="en-US"/>
        </w:rPr>
        <w:t xml:space="preserve">; </w:t>
      </w:r>
      <w:r w:rsidRPr="00251127">
        <w:rPr>
          <w:lang w:val="en-US"/>
        </w:rPr>
        <w:t>Food security</w:t>
      </w:r>
      <w:r w:rsidR="00251127">
        <w:rPr>
          <w:lang w:val="en-US"/>
        </w:rPr>
        <w:t>;</w:t>
      </w:r>
      <w:r w:rsidRPr="00251127">
        <w:rPr>
          <w:lang w:val="en-US"/>
        </w:rPr>
        <w:t xml:space="preserve"> Sovereignty of peoples</w:t>
      </w:r>
      <w:r w:rsidR="00251127">
        <w:rPr>
          <w:lang w:val="en-US"/>
        </w:rPr>
        <w:t>;</w:t>
      </w:r>
      <w:r w:rsidRPr="00251127">
        <w:rPr>
          <w:lang w:val="en-US"/>
        </w:rPr>
        <w:t xml:space="preserve"> Hunger as a weapon of war</w:t>
      </w:r>
      <w:r w:rsidR="00251127">
        <w:rPr>
          <w:lang w:val="en-US"/>
        </w:rPr>
        <w:t>;</w:t>
      </w:r>
      <w:r w:rsidRPr="00251127">
        <w:rPr>
          <w:lang w:val="en-US"/>
        </w:rPr>
        <w:t xml:space="preserve"> Human Right to Adequate Food.</w:t>
      </w:r>
    </w:p>
    <w:p w:rsidRPr="00251127" w:rsidR="005713C0" w:rsidP="00251127" w:rsidRDefault="005713C0" w14:paraId="751584B5" w14:textId="77777777">
      <w:pPr>
        <w:jc w:val="both"/>
        <w:rPr>
          <w:lang w:val="en-US"/>
        </w:rPr>
      </w:pPr>
    </w:p>
    <w:p w:rsidRPr="00251127" w:rsidR="005713C0" w:rsidP="005713C0" w:rsidRDefault="005713C0" w14:paraId="3813C2A2" w14:textId="77777777">
      <w:pPr>
        <w:spacing w:line="360" w:lineRule="auto"/>
        <w:jc w:val="center"/>
        <w:rPr>
          <w:b/>
          <w:bCs/>
          <w:lang w:val="en-US"/>
        </w:rPr>
      </w:pPr>
    </w:p>
    <w:p w:rsidR="005713C0" w:rsidRDefault="005713C0" w14:paraId="528D138A" w14:textId="77777777">
      <w:pPr>
        <w:spacing w:line="360" w:lineRule="auto"/>
        <w:jc w:val="center"/>
        <w:rPr>
          <w:b/>
          <w:bCs/>
          <w:lang w:val="en-US"/>
        </w:rPr>
      </w:pPr>
    </w:p>
    <w:p w:rsidR="00251127" w:rsidRDefault="00251127" w14:paraId="3F1DE2C3" w14:textId="77777777">
      <w:pPr>
        <w:spacing w:line="360" w:lineRule="auto"/>
        <w:jc w:val="center"/>
        <w:rPr>
          <w:b/>
          <w:bCs/>
          <w:lang w:val="en-US"/>
        </w:rPr>
      </w:pPr>
    </w:p>
    <w:p w:rsidR="00251127" w:rsidRDefault="00251127" w14:paraId="7429C3DB" w14:textId="77777777">
      <w:pPr>
        <w:spacing w:line="360" w:lineRule="auto"/>
        <w:jc w:val="center"/>
        <w:rPr>
          <w:b/>
          <w:bCs/>
          <w:lang w:val="en-US"/>
        </w:rPr>
      </w:pPr>
    </w:p>
    <w:p w:rsidR="00251127" w:rsidRDefault="00251127" w14:paraId="4B7CB648" w14:textId="77777777">
      <w:pPr>
        <w:spacing w:line="360" w:lineRule="auto"/>
        <w:jc w:val="center"/>
        <w:rPr>
          <w:b/>
          <w:bCs/>
          <w:lang w:val="en-US"/>
        </w:rPr>
      </w:pPr>
    </w:p>
    <w:p w:rsidR="00251127" w:rsidP="00251127" w:rsidRDefault="00251127" w14:paraId="6F083B3C" w14:textId="77777777">
      <w:pPr>
        <w:spacing w:line="360" w:lineRule="auto"/>
        <w:rPr>
          <w:b/>
          <w:bCs/>
          <w:lang w:val="en-US"/>
        </w:rPr>
      </w:pPr>
    </w:p>
    <w:p w:rsidR="00251127" w:rsidRDefault="00251127" w14:paraId="78AFCE2E" w14:textId="77777777">
      <w:pPr>
        <w:spacing w:line="360" w:lineRule="auto"/>
        <w:jc w:val="center"/>
        <w:rPr>
          <w:b/>
          <w:bCs/>
          <w:lang w:val="en-US"/>
        </w:rPr>
      </w:pPr>
    </w:p>
    <w:p w:rsidR="00251127" w:rsidRDefault="00251127" w14:paraId="2218EEEF" w14:textId="77777777">
      <w:pPr>
        <w:spacing w:line="360" w:lineRule="auto"/>
        <w:jc w:val="center"/>
        <w:rPr>
          <w:b/>
          <w:bCs/>
          <w:lang w:val="en-US"/>
        </w:rPr>
      </w:pPr>
    </w:p>
    <w:p w:rsidRPr="007559CE" w:rsidR="00251127" w:rsidP="00251127" w:rsidRDefault="00251127" w14:paraId="6DDE09BD" w14:textId="77777777">
      <w:pPr>
        <w:spacing w:line="360" w:lineRule="auto"/>
        <w:jc w:val="both"/>
        <w:rPr>
          <w:b/>
          <w:bCs/>
        </w:rPr>
      </w:pPr>
      <w:r w:rsidRPr="007559CE">
        <w:rPr>
          <w:b/>
          <w:bCs/>
        </w:rPr>
        <w:t>____________________</w:t>
      </w:r>
    </w:p>
    <w:p w:rsidRPr="007559CE" w:rsidR="00251127" w:rsidP="00251127" w:rsidRDefault="00251127" w14:paraId="7A289935" w14:textId="77777777">
      <w:pPr>
        <w:spacing w:line="360" w:lineRule="auto"/>
        <w:jc w:val="both"/>
        <w:rPr>
          <w:sz w:val="20"/>
          <w:szCs w:val="20"/>
        </w:rPr>
      </w:pPr>
      <w:r w:rsidRPr="00251127">
        <w:rPr>
          <w:sz w:val="20"/>
          <w:szCs w:val="20"/>
        </w:rPr>
        <w:t>Qualificação do autor.</w:t>
      </w:r>
    </w:p>
    <w:p w:rsidRPr="007559CE" w:rsidR="00251127" w:rsidRDefault="00251127" w14:paraId="4962C9A1" w14:textId="77777777">
      <w:pPr>
        <w:spacing w:line="360" w:lineRule="auto"/>
        <w:jc w:val="center"/>
        <w:rPr>
          <w:b/>
          <w:bCs/>
        </w:rPr>
      </w:pPr>
    </w:p>
    <w:p w:rsidRPr="007559CE" w:rsidR="005713C0" w:rsidP="0096705A" w:rsidRDefault="0096705A" w14:paraId="39785E08" w14:textId="4A780309">
      <w:pPr>
        <w:suppressAutoHyphens/>
        <w:rPr>
          <w:b/>
          <w:bCs/>
        </w:rPr>
      </w:pPr>
      <w:r w:rsidRPr="007559CE">
        <w:rPr>
          <w:b/>
          <w:bCs/>
        </w:rPr>
        <w:br w:type="page"/>
      </w:r>
    </w:p>
    <w:p w:rsidR="00DB48B8" w:rsidRDefault="008D46EF" w14:paraId="708C5319" w14:textId="388D3998">
      <w:pPr>
        <w:spacing w:line="360" w:lineRule="auto"/>
        <w:jc w:val="center"/>
      </w:pPr>
      <w:r>
        <w:rPr>
          <w:b/>
          <w:bCs/>
        </w:rPr>
        <w:t>S</w:t>
      </w:r>
      <w:r w:rsidR="00E014E5">
        <w:rPr>
          <w:b/>
          <w:bCs/>
        </w:rPr>
        <w:t>U</w:t>
      </w:r>
      <w:r>
        <w:rPr>
          <w:b/>
          <w:bCs/>
        </w:rPr>
        <w:t>M</w:t>
      </w:r>
      <w:r w:rsidR="00E014E5">
        <w:rPr>
          <w:b/>
          <w:bCs/>
        </w:rPr>
        <w:t>Á</w:t>
      </w:r>
      <w:r>
        <w:rPr>
          <w:b/>
          <w:bCs/>
        </w:rPr>
        <w:t>RIO</w:t>
      </w:r>
    </w:p>
    <w:p w:rsidR="00DB48B8" w:rsidRDefault="00DB48B8" w14:paraId="708C531A" w14:textId="77777777">
      <w:pPr>
        <w:spacing w:line="360" w:lineRule="auto"/>
        <w:jc w:val="center"/>
        <w:rPr>
          <w:b/>
          <w:bCs/>
        </w:rPr>
      </w:pPr>
    </w:p>
    <w:p w:rsidR="00DB48B8" w:rsidRDefault="00DB48B8" w14:paraId="708C531B" w14:textId="77777777">
      <w:pPr>
        <w:spacing w:line="360" w:lineRule="auto"/>
      </w:pPr>
    </w:p>
    <w:p w:rsidR="00DB48B8" w:rsidP="00842650" w:rsidRDefault="008D46EF" w14:paraId="708C531C" w14:textId="6C960614">
      <w:pPr>
        <w:spacing w:after="140" w:line="360" w:lineRule="auto"/>
        <w:jc w:val="both"/>
      </w:pPr>
      <w:r>
        <w:rPr>
          <w:b/>
          <w:bCs/>
        </w:rPr>
        <w:t>INTRODUÇÃO</w:t>
      </w:r>
      <w:r w:rsidR="0086076E">
        <w:rPr>
          <w:b/>
          <w:bCs/>
        </w:rPr>
        <w:t>........................................................................</w:t>
      </w:r>
      <w:r w:rsidR="006005BD">
        <w:rPr>
          <w:b/>
          <w:bCs/>
        </w:rPr>
        <w:t>..</w:t>
      </w:r>
      <w:r w:rsidR="0086076E">
        <w:rPr>
          <w:b/>
          <w:bCs/>
        </w:rPr>
        <w:t>.........</w:t>
      </w:r>
      <w:r w:rsidR="00842650">
        <w:rPr>
          <w:b/>
          <w:bCs/>
        </w:rPr>
        <w:t>..</w:t>
      </w:r>
      <w:r w:rsidR="0086076E">
        <w:rPr>
          <w:b/>
          <w:bCs/>
        </w:rPr>
        <w:t xml:space="preserve">..............PÁG. </w:t>
      </w:r>
      <w:r w:rsidR="006005BD">
        <w:rPr>
          <w:b/>
          <w:bCs/>
        </w:rPr>
        <w:t>10</w:t>
      </w:r>
    </w:p>
    <w:p w:rsidR="0086076E" w:rsidP="00842650" w:rsidRDefault="008D46EF" w14:paraId="486147D7" w14:textId="3D79D27D">
      <w:pPr>
        <w:widowControl w:val="0"/>
        <w:tabs>
          <w:tab w:val="left" w:pos="566"/>
          <w:tab w:val="left" w:pos="620"/>
          <w:tab w:val="left" w:pos="3686"/>
        </w:tabs>
        <w:spacing w:after="140" w:line="360" w:lineRule="auto"/>
        <w:ind w:right="138"/>
        <w:jc w:val="both"/>
        <w:rPr>
          <w:b/>
          <w:bCs/>
        </w:rPr>
      </w:pPr>
      <w:r>
        <w:rPr>
          <w:b/>
          <w:color w:val="000000"/>
          <w:lang w:val="pt-PT" w:eastAsia="en-US"/>
        </w:rPr>
        <w:t>CAPÍTULO 1 O</w:t>
      </w:r>
      <w:r>
        <w:rPr>
          <w:b/>
          <w:color w:val="000000"/>
          <w:spacing w:val="36"/>
          <w:lang w:val="pt-PT" w:eastAsia="en-US"/>
        </w:rPr>
        <w:t xml:space="preserve"> </w:t>
      </w:r>
      <w:r>
        <w:rPr>
          <w:b/>
          <w:color w:val="000000"/>
          <w:lang w:val="pt-PT" w:eastAsia="en-US"/>
        </w:rPr>
        <w:t>DIREITO</w:t>
      </w:r>
      <w:r>
        <w:rPr>
          <w:b/>
          <w:color w:val="000000"/>
          <w:spacing w:val="36"/>
          <w:lang w:val="pt-PT" w:eastAsia="en-US"/>
        </w:rPr>
        <w:t xml:space="preserve"> </w:t>
      </w:r>
      <w:r>
        <w:rPr>
          <w:b/>
          <w:color w:val="000000"/>
          <w:lang w:val="pt-PT" w:eastAsia="en-US"/>
        </w:rPr>
        <w:t>AGRÁRIO</w:t>
      </w:r>
      <w:r>
        <w:rPr>
          <w:b/>
          <w:color w:val="000000"/>
          <w:spacing w:val="36"/>
          <w:lang w:val="pt-PT" w:eastAsia="en-US"/>
        </w:rPr>
        <w:t xml:space="preserve"> </w:t>
      </w:r>
      <w:r>
        <w:rPr>
          <w:b/>
          <w:color w:val="000000"/>
          <w:lang w:val="pt-PT" w:eastAsia="en-US"/>
        </w:rPr>
        <w:t>COMO</w:t>
      </w:r>
      <w:r>
        <w:rPr>
          <w:b/>
          <w:color w:val="000000"/>
          <w:spacing w:val="36"/>
          <w:lang w:val="pt-PT" w:eastAsia="en-US"/>
        </w:rPr>
        <w:t xml:space="preserve"> </w:t>
      </w:r>
      <w:r>
        <w:rPr>
          <w:b/>
          <w:color w:val="000000"/>
          <w:lang w:val="pt-PT" w:eastAsia="en-US"/>
        </w:rPr>
        <w:t>DIREITO</w:t>
      </w:r>
      <w:r>
        <w:rPr>
          <w:b/>
          <w:color w:val="000000"/>
          <w:spacing w:val="36"/>
          <w:lang w:val="pt-PT" w:eastAsia="en-US"/>
        </w:rPr>
        <w:t xml:space="preserve"> </w:t>
      </w:r>
      <w:r>
        <w:rPr>
          <w:b/>
          <w:color w:val="000000"/>
          <w:lang w:val="pt-PT" w:eastAsia="en-US"/>
        </w:rPr>
        <w:t>HUMANO</w:t>
      </w:r>
      <w:r>
        <w:rPr>
          <w:b/>
          <w:color w:val="000000"/>
          <w:spacing w:val="36"/>
          <w:lang w:val="pt-PT" w:eastAsia="en-US"/>
        </w:rPr>
        <w:t xml:space="preserve"> </w:t>
      </w:r>
      <w:r>
        <w:rPr>
          <w:b/>
          <w:color w:val="000000"/>
          <w:lang w:val="pt-PT" w:eastAsia="en-US"/>
        </w:rPr>
        <w:t>FUNDAMENTAL</w:t>
      </w:r>
      <w:r>
        <w:rPr>
          <w:b/>
          <w:color w:val="000000"/>
          <w:spacing w:val="36"/>
          <w:lang w:val="pt-PT" w:eastAsia="en-US"/>
        </w:rPr>
        <w:t xml:space="preserve"> </w:t>
      </w:r>
      <w:r>
        <w:rPr>
          <w:b/>
          <w:color w:val="000000"/>
          <w:lang w:val="pt-PT" w:eastAsia="en-US"/>
        </w:rPr>
        <w:t>E DISCIPLINA MULTIDISCIPLINAR</w:t>
      </w:r>
      <w:r w:rsidR="0086076E">
        <w:rPr>
          <w:b/>
          <w:bCs/>
        </w:rPr>
        <w:t>........................PÁG.</w:t>
      </w:r>
      <w:r w:rsidR="006005BD">
        <w:rPr>
          <w:b/>
          <w:bCs/>
        </w:rPr>
        <w:t xml:space="preserve"> 13</w:t>
      </w:r>
    </w:p>
    <w:p w:rsidRPr="00D614A5" w:rsidR="00D614A5" w:rsidP="00842650" w:rsidRDefault="00D614A5" w14:paraId="5C67C6B1" w14:textId="71E7E308">
      <w:pPr>
        <w:pStyle w:val="Normal2"/>
        <w:suppressAutoHyphens w:val="0"/>
        <w:spacing w:after="140" w:line="360" w:lineRule="auto"/>
        <w:ind w:right="-1"/>
        <w:jc w:val="both"/>
        <w:textAlignment w:val="auto"/>
        <w:rPr>
          <w:rFonts w:ascii="Times New Roman" w:hAnsi="Times New Roman" w:eastAsia="Calibri" w:cs="Times New Roman"/>
        </w:rPr>
      </w:pPr>
      <w:r>
        <w:rPr>
          <w:rFonts w:ascii="Times New Roman" w:hAnsi="Times New Roman" w:eastAsia="Calibri" w:cs="Times New Roman"/>
        </w:rPr>
        <w:t>1.1 PANORAMA HISTÓRICO................................................</w:t>
      </w:r>
      <w:r w:rsidR="006005BD">
        <w:rPr>
          <w:rFonts w:ascii="Times New Roman" w:hAnsi="Times New Roman" w:eastAsia="Calibri" w:cs="Times New Roman"/>
        </w:rPr>
        <w:t>.</w:t>
      </w:r>
      <w:r>
        <w:rPr>
          <w:rFonts w:ascii="Times New Roman" w:hAnsi="Times New Roman" w:eastAsia="Calibri" w:cs="Times New Roman"/>
        </w:rPr>
        <w:t>........</w:t>
      </w:r>
      <w:r w:rsidR="00842650">
        <w:rPr>
          <w:rFonts w:ascii="Times New Roman" w:hAnsi="Times New Roman" w:eastAsia="Calibri" w:cs="Times New Roman"/>
        </w:rPr>
        <w:t>...</w:t>
      </w:r>
      <w:r>
        <w:rPr>
          <w:rFonts w:ascii="Times New Roman" w:hAnsi="Times New Roman" w:eastAsia="Calibri" w:cs="Times New Roman"/>
        </w:rPr>
        <w:t>.....</w:t>
      </w:r>
      <w:r w:rsidR="006005BD">
        <w:rPr>
          <w:rFonts w:ascii="Times New Roman" w:hAnsi="Times New Roman" w:eastAsia="Calibri" w:cs="Times New Roman"/>
        </w:rPr>
        <w:t>...</w:t>
      </w:r>
      <w:r>
        <w:rPr>
          <w:rFonts w:ascii="Times New Roman" w:hAnsi="Times New Roman" w:eastAsia="Calibri" w:cs="Times New Roman"/>
        </w:rPr>
        <w:t>.......</w:t>
      </w:r>
      <w:r w:rsidR="006005BD">
        <w:rPr>
          <w:rFonts w:ascii="Times New Roman" w:hAnsi="Times New Roman" w:eastAsia="Calibri" w:cs="Times New Roman"/>
        </w:rPr>
        <w:t>.</w:t>
      </w:r>
      <w:r>
        <w:rPr>
          <w:rFonts w:ascii="Times New Roman" w:hAnsi="Times New Roman" w:eastAsia="Calibri" w:cs="Times New Roman"/>
        </w:rPr>
        <w:t>.PÁG.</w:t>
      </w:r>
      <w:r w:rsidR="006005BD">
        <w:rPr>
          <w:rFonts w:ascii="Times New Roman" w:hAnsi="Times New Roman" w:eastAsia="Calibri" w:cs="Times New Roman"/>
        </w:rPr>
        <w:t xml:space="preserve"> 13</w:t>
      </w:r>
    </w:p>
    <w:p w:rsidRPr="0086076E" w:rsidR="00DB48B8" w:rsidP="00842650" w:rsidRDefault="0086076E" w14:paraId="708C531E" w14:textId="06367D8B">
      <w:pPr>
        <w:widowControl w:val="0"/>
        <w:tabs>
          <w:tab w:val="left" w:pos="566"/>
          <w:tab w:val="left" w:pos="620"/>
          <w:tab w:val="left" w:pos="3686"/>
        </w:tabs>
        <w:spacing w:after="140" w:line="360" w:lineRule="auto"/>
        <w:ind w:right="138"/>
        <w:jc w:val="both"/>
      </w:pPr>
      <w:r>
        <w:t xml:space="preserve">1.2 </w:t>
      </w:r>
      <w:r w:rsidR="00D614A5">
        <w:rPr>
          <w:color w:val="000000"/>
          <w:lang w:val="pt-PT" w:eastAsia="en-US"/>
        </w:rPr>
        <w:t>CONCEITO DO DIREITO AGRÁRIO</w:t>
      </w:r>
      <w:r w:rsidRPr="0086076E">
        <w:rPr>
          <w:color w:val="000000"/>
          <w:spacing w:val="-1"/>
          <w:lang w:val="pt-PT" w:eastAsia="en-US"/>
        </w:rPr>
        <w:t>........................</w:t>
      </w:r>
      <w:r w:rsidR="00D614A5">
        <w:rPr>
          <w:color w:val="000000"/>
          <w:spacing w:val="-1"/>
          <w:lang w:val="pt-PT" w:eastAsia="en-US"/>
        </w:rPr>
        <w:t>.......</w:t>
      </w:r>
      <w:r w:rsidRPr="0086076E">
        <w:rPr>
          <w:color w:val="000000"/>
          <w:spacing w:val="-1"/>
          <w:lang w:val="pt-PT" w:eastAsia="en-US"/>
        </w:rPr>
        <w:t>............</w:t>
      </w:r>
      <w:r w:rsidR="006005BD">
        <w:rPr>
          <w:color w:val="000000"/>
          <w:spacing w:val="-1"/>
          <w:lang w:val="pt-PT" w:eastAsia="en-US"/>
        </w:rPr>
        <w:t>..</w:t>
      </w:r>
      <w:r w:rsidRPr="0086076E">
        <w:rPr>
          <w:color w:val="000000"/>
          <w:spacing w:val="-1"/>
          <w:lang w:val="pt-PT" w:eastAsia="en-US"/>
        </w:rPr>
        <w:t>.</w:t>
      </w:r>
      <w:r w:rsidR="00842650">
        <w:rPr>
          <w:color w:val="000000"/>
          <w:spacing w:val="-1"/>
          <w:lang w:val="pt-PT" w:eastAsia="en-US"/>
        </w:rPr>
        <w:t>..</w:t>
      </w:r>
      <w:r w:rsidR="006005BD">
        <w:rPr>
          <w:color w:val="000000"/>
          <w:spacing w:val="-1"/>
          <w:lang w:val="pt-PT" w:eastAsia="en-US"/>
        </w:rPr>
        <w:t>..</w:t>
      </w:r>
      <w:r w:rsidRPr="0086076E">
        <w:rPr>
          <w:color w:val="000000"/>
          <w:spacing w:val="-1"/>
          <w:lang w:val="pt-PT" w:eastAsia="en-US"/>
        </w:rPr>
        <w:t>..</w:t>
      </w:r>
      <w:r w:rsidR="006005BD">
        <w:rPr>
          <w:color w:val="000000"/>
          <w:spacing w:val="-1"/>
          <w:lang w:val="pt-PT" w:eastAsia="en-US"/>
        </w:rPr>
        <w:t>.</w:t>
      </w:r>
      <w:r w:rsidRPr="0086076E">
        <w:rPr>
          <w:color w:val="000000"/>
          <w:spacing w:val="-1"/>
          <w:lang w:val="pt-PT" w:eastAsia="en-US"/>
        </w:rPr>
        <w:t>.....PÁG.</w:t>
      </w:r>
      <w:r w:rsidR="006005BD">
        <w:rPr>
          <w:color w:val="000000"/>
          <w:spacing w:val="-1"/>
          <w:lang w:val="pt-PT" w:eastAsia="en-US"/>
        </w:rPr>
        <w:t xml:space="preserve"> 17</w:t>
      </w:r>
    </w:p>
    <w:p w:rsidRPr="0086076E" w:rsidR="00DB48B8" w:rsidP="00842650" w:rsidRDefault="0086076E" w14:paraId="708C531F" w14:textId="725C56B5">
      <w:pPr>
        <w:spacing w:after="140" w:line="360" w:lineRule="auto"/>
        <w:jc w:val="both"/>
      </w:pPr>
      <w:r>
        <w:rPr>
          <w:color w:val="000000"/>
          <w:lang w:eastAsia="en-US"/>
        </w:rPr>
        <w:t xml:space="preserve">1.3 </w:t>
      </w:r>
      <w:r w:rsidRPr="00244900" w:rsidR="00D614A5">
        <w:rPr>
          <w:color w:val="000000"/>
          <w:lang w:val="pt-PT" w:eastAsia="en-US"/>
        </w:rPr>
        <w:t>ASPECTOS</w:t>
      </w:r>
      <w:r w:rsidRPr="00244900" w:rsidR="00D614A5">
        <w:rPr>
          <w:color w:val="000000"/>
          <w:spacing w:val="-6"/>
          <w:lang w:val="pt-PT" w:eastAsia="en-US"/>
        </w:rPr>
        <w:t xml:space="preserve"> </w:t>
      </w:r>
      <w:r w:rsidRPr="00244900" w:rsidR="00D614A5">
        <w:rPr>
          <w:color w:val="000000"/>
          <w:lang w:val="pt-PT" w:eastAsia="en-US"/>
        </w:rPr>
        <w:t>SOCIAIS,</w:t>
      </w:r>
      <w:r w:rsidRPr="00244900" w:rsidR="00D614A5">
        <w:rPr>
          <w:color w:val="000000"/>
          <w:spacing w:val="-6"/>
          <w:lang w:val="pt-PT" w:eastAsia="en-US"/>
        </w:rPr>
        <w:t xml:space="preserve"> </w:t>
      </w:r>
      <w:r w:rsidRPr="00244900" w:rsidR="00D614A5">
        <w:rPr>
          <w:color w:val="000000"/>
          <w:lang w:val="pt-PT" w:eastAsia="en-US"/>
        </w:rPr>
        <w:t>ECONÔMICOS,</w:t>
      </w:r>
      <w:r w:rsidRPr="00244900" w:rsidR="00D614A5">
        <w:rPr>
          <w:color w:val="000000"/>
          <w:spacing w:val="-6"/>
          <w:lang w:val="pt-PT" w:eastAsia="en-US"/>
        </w:rPr>
        <w:t xml:space="preserve"> </w:t>
      </w:r>
      <w:r w:rsidRPr="00244900" w:rsidR="00D614A5">
        <w:rPr>
          <w:color w:val="000000"/>
          <w:lang w:val="pt-PT" w:eastAsia="en-US"/>
        </w:rPr>
        <w:t>AMBIENTAIS</w:t>
      </w:r>
      <w:r w:rsidRPr="00244900" w:rsidR="00D614A5">
        <w:rPr>
          <w:color w:val="000000"/>
          <w:spacing w:val="-6"/>
          <w:lang w:val="pt-PT" w:eastAsia="en-US"/>
        </w:rPr>
        <w:t xml:space="preserve"> </w:t>
      </w:r>
      <w:r w:rsidRPr="00244900" w:rsidR="00D614A5">
        <w:rPr>
          <w:color w:val="000000"/>
          <w:lang w:val="pt-PT" w:eastAsia="en-US"/>
        </w:rPr>
        <w:t>E</w:t>
      </w:r>
      <w:r w:rsidRPr="00244900" w:rsidR="00D614A5">
        <w:rPr>
          <w:color w:val="000000"/>
          <w:spacing w:val="-6"/>
          <w:lang w:val="pt-PT" w:eastAsia="en-US"/>
        </w:rPr>
        <w:t xml:space="preserve"> </w:t>
      </w:r>
      <w:r w:rsidRPr="00244900" w:rsidR="00D614A5">
        <w:rPr>
          <w:color w:val="000000"/>
          <w:lang w:val="pt-PT" w:eastAsia="en-US"/>
        </w:rPr>
        <w:t>JUR</w:t>
      </w:r>
      <w:r w:rsidR="007E634C">
        <w:rPr>
          <w:color w:val="000000"/>
          <w:lang w:val="pt-PT" w:eastAsia="en-US"/>
        </w:rPr>
        <w:t>Í</w:t>
      </w:r>
      <w:r w:rsidRPr="00244900" w:rsidR="00D614A5">
        <w:rPr>
          <w:color w:val="000000"/>
          <w:lang w:val="pt-PT" w:eastAsia="en-US"/>
        </w:rPr>
        <w:t>DICOS</w:t>
      </w:r>
      <w:r w:rsidRPr="00244900" w:rsidR="00D614A5">
        <w:rPr>
          <w:color w:val="000000"/>
          <w:spacing w:val="-6"/>
          <w:lang w:val="pt-PT" w:eastAsia="en-US"/>
        </w:rPr>
        <w:t xml:space="preserve"> </w:t>
      </w:r>
      <w:r w:rsidRPr="00244900" w:rsidR="00D614A5">
        <w:rPr>
          <w:color w:val="000000"/>
          <w:lang w:val="pt-PT" w:eastAsia="en-US"/>
        </w:rPr>
        <w:t>DO</w:t>
      </w:r>
      <w:r w:rsidRPr="00244900" w:rsidR="00D614A5">
        <w:rPr>
          <w:color w:val="000000"/>
          <w:spacing w:val="-6"/>
          <w:lang w:val="pt-PT" w:eastAsia="en-US"/>
        </w:rPr>
        <w:t xml:space="preserve"> </w:t>
      </w:r>
      <w:r w:rsidRPr="00244900" w:rsidR="00D614A5">
        <w:rPr>
          <w:color w:val="000000"/>
          <w:lang w:val="pt-PT" w:eastAsia="en-US"/>
        </w:rPr>
        <w:t>DI- REITO AGRÁRIO</w:t>
      </w:r>
      <w:r w:rsidRPr="0086076E">
        <w:t>.....................</w:t>
      </w:r>
      <w:r w:rsidR="00D614A5">
        <w:t>........................................</w:t>
      </w:r>
      <w:r w:rsidRPr="0086076E">
        <w:t>...................</w:t>
      </w:r>
      <w:r w:rsidR="006005BD">
        <w:t>..</w:t>
      </w:r>
      <w:r w:rsidRPr="0086076E">
        <w:t>..</w:t>
      </w:r>
      <w:r w:rsidR="00842650">
        <w:t>....</w:t>
      </w:r>
      <w:r w:rsidRPr="0086076E">
        <w:t>..</w:t>
      </w:r>
      <w:r>
        <w:t>.</w:t>
      </w:r>
      <w:r w:rsidRPr="0086076E">
        <w:t>......PÁG.</w:t>
      </w:r>
      <w:r w:rsidR="006005BD">
        <w:t xml:space="preserve"> 20</w:t>
      </w:r>
    </w:p>
    <w:p w:rsidR="00DB48B8" w:rsidP="00842650" w:rsidRDefault="008D46EF" w14:paraId="708C5321" w14:textId="746A7DAE">
      <w:pPr>
        <w:tabs>
          <w:tab w:val="left" w:pos="566"/>
          <w:tab w:val="left" w:pos="3686"/>
        </w:tabs>
        <w:spacing w:after="140" w:line="360" w:lineRule="auto"/>
        <w:ind w:right="138"/>
        <w:jc w:val="both"/>
      </w:pPr>
      <w:r>
        <w:rPr>
          <w:b/>
          <w:color w:val="000000"/>
        </w:rPr>
        <w:t>CAPÍTULO 2 SEGURIDADE ALIMENTAR E SOBERANIA DOS POVOS: FUNDAMENTOS E CONCEPÇÕES</w:t>
      </w:r>
      <w:r w:rsidR="0086076E">
        <w:rPr>
          <w:b/>
          <w:color w:val="000000"/>
        </w:rPr>
        <w:t>.......................................</w:t>
      </w:r>
      <w:r w:rsidR="00842650">
        <w:rPr>
          <w:b/>
          <w:color w:val="000000"/>
        </w:rPr>
        <w:t>.</w:t>
      </w:r>
      <w:r w:rsidR="0086076E">
        <w:rPr>
          <w:b/>
          <w:color w:val="000000"/>
        </w:rPr>
        <w:t>.......</w:t>
      </w:r>
      <w:r w:rsidR="006005BD">
        <w:rPr>
          <w:b/>
          <w:color w:val="000000"/>
        </w:rPr>
        <w:t>.</w:t>
      </w:r>
      <w:r w:rsidR="0086076E">
        <w:rPr>
          <w:b/>
          <w:color w:val="000000"/>
        </w:rPr>
        <w:t xml:space="preserve">.............PÁG. </w:t>
      </w:r>
      <w:r w:rsidR="006005BD">
        <w:rPr>
          <w:b/>
          <w:color w:val="000000"/>
        </w:rPr>
        <w:t>23</w:t>
      </w:r>
    </w:p>
    <w:p w:rsidR="00DB48B8" w:rsidP="00842650" w:rsidRDefault="008D46EF" w14:paraId="708C5322" w14:textId="35497A41">
      <w:pPr>
        <w:tabs>
          <w:tab w:val="left" w:pos="860"/>
          <w:tab w:val="left" w:pos="3686"/>
        </w:tabs>
        <w:spacing w:after="140" w:line="360" w:lineRule="auto"/>
        <w:jc w:val="both"/>
      </w:pPr>
      <w:r>
        <w:rPr>
          <w:color w:val="000000"/>
        </w:rPr>
        <w:t>2.1 HISTÓRICO</w:t>
      </w:r>
      <w:r>
        <w:rPr>
          <w:color w:val="000000"/>
          <w:spacing w:val="-2"/>
        </w:rPr>
        <w:t xml:space="preserve"> </w:t>
      </w:r>
      <w:r>
        <w:rPr>
          <w:color w:val="000000"/>
        </w:rPr>
        <w:t>E</w:t>
      </w:r>
      <w:r>
        <w:rPr>
          <w:color w:val="000000"/>
          <w:spacing w:val="-1"/>
        </w:rPr>
        <w:t xml:space="preserve"> </w:t>
      </w:r>
      <w:r>
        <w:rPr>
          <w:color w:val="000000"/>
        </w:rPr>
        <w:t>EVOLUÇÃO</w:t>
      </w:r>
      <w:r>
        <w:rPr>
          <w:color w:val="000000"/>
          <w:spacing w:val="-2"/>
        </w:rPr>
        <w:t xml:space="preserve"> </w:t>
      </w:r>
      <w:r>
        <w:rPr>
          <w:color w:val="000000"/>
        </w:rPr>
        <w:t>DA</w:t>
      </w:r>
      <w:r>
        <w:rPr>
          <w:color w:val="000000"/>
          <w:spacing w:val="-1"/>
        </w:rPr>
        <w:t xml:space="preserve"> </w:t>
      </w:r>
      <w:r>
        <w:rPr>
          <w:color w:val="000000"/>
        </w:rPr>
        <w:t>SEGURIDADE</w:t>
      </w:r>
      <w:r>
        <w:rPr>
          <w:color w:val="000000"/>
          <w:spacing w:val="-1"/>
        </w:rPr>
        <w:t xml:space="preserve"> </w:t>
      </w:r>
      <w:r>
        <w:rPr>
          <w:color w:val="000000"/>
          <w:spacing w:val="-2"/>
        </w:rPr>
        <w:t>ALIMENTAR</w:t>
      </w:r>
      <w:r w:rsidR="00863219">
        <w:rPr>
          <w:color w:val="000000"/>
          <w:spacing w:val="-2"/>
        </w:rPr>
        <w:t>...</w:t>
      </w:r>
      <w:r w:rsidR="006005BD">
        <w:rPr>
          <w:color w:val="000000"/>
          <w:spacing w:val="-2"/>
        </w:rPr>
        <w:t>.</w:t>
      </w:r>
      <w:r w:rsidR="00863219">
        <w:rPr>
          <w:color w:val="000000"/>
          <w:spacing w:val="-2"/>
        </w:rPr>
        <w:t>..</w:t>
      </w:r>
      <w:r w:rsidR="00842650">
        <w:rPr>
          <w:color w:val="000000"/>
          <w:spacing w:val="-2"/>
        </w:rPr>
        <w:t>......</w:t>
      </w:r>
      <w:r w:rsidR="00863219">
        <w:rPr>
          <w:color w:val="000000"/>
          <w:spacing w:val="-2"/>
        </w:rPr>
        <w:t>.</w:t>
      </w:r>
      <w:r w:rsidR="006005BD">
        <w:rPr>
          <w:color w:val="000000"/>
          <w:spacing w:val="-2"/>
        </w:rPr>
        <w:t>.</w:t>
      </w:r>
      <w:r w:rsidR="00863219">
        <w:rPr>
          <w:color w:val="000000"/>
          <w:spacing w:val="-2"/>
        </w:rPr>
        <w:t xml:space="preserve">.....PÁG. </w:t>
      </w:r>
      <w:r w:rsidR="006005BD">
        <w:rPr>
          <w:color w:val="000000"/>
          <w:spacing w:val="-2"/>
        </w:rPr>
        <w:t>23</w:t>
      </w:r>
    </w:p>
    <w:p w:rsidR="00DB48B8" w:rsidP="00842650" w:rsidRDefault="008D46EF" w14:paraId="708C5323" w14:textId="794E9FC2">
      <w:pPr>
        <w:tabs>
          <w:tab w:val="left" w:pos="849"/>
          <w:tab w:val="left" w:pos="3686"/>
        </w:tabs>
        <w:spacing w:after="140" w:line="360" w:lineRule="auto"/>
        <w:jc w:val="both"/>
      </w:pPr>
      <w:r>
        <w:rPr>
          <w:color w:val="000000"/>
        </w:rPr>
        <w:t>2.2 A</w:t>
      </w:r>
      <w:r>
        <w:rPr>
          <w:color w:val="000000"/>
          <w:spacing w:val="-1"/>
        </w:rPr>
        <w:t xml:space="preserve"> </w:t>
      </w:r>
      <w:r>
        <w:rPr>
          <w:color w:val="000000"/>
        </w:rPr>
        <w:t>SEGURIDADE</w:t>
      </w:r>
      <w:r>
        <w:rPr>
          <w:color w:val="000000"/>
          <w:spacing w:val="-1"/>
        </w:rPr>
        <w:t xml:space="preserve"> </w:t>
      </w:r>
      <w:r>
        <w:rPr>
          <w:color w:val="000000"/>
        </w:rPr>
        <w:t>ALIMENTAR COMO</w:t>
      </w:r>
      <w:r>
        <w:rPr>
          <w:color w:val="000000"/>
          <w:spacing w:val="-1"/>
        </w:rPr>
        <w:t xml:space="preserve"> </w:t>
      </w:r>
      <w:r>
        <w:rPr>
          <w:color w:val="000000"/>
        </w:rPr>
        <w:t>DIREITO</w:t>
      </w:r>
      <w:r>
        <w:rPr>
          <w:color w:val="000000"/>
          <w:spacing w:val="-1"/>
        </w:rPr>
        <w:t xml:space="preserve"> </w:t>
      </w:r>
      <w:r>
        <w:rPr>
          <w:color w:val="000000"/>
        </w:rPr>
        <w:t xml:space="preserve">HUMANO </w:t>
      </w:r>
      <w:r>
        <w:rPr>
          <w:color w:val="000000"/>
          <w:spacing w:val="-2"/>
        </w:rPr>
        <w:t>ESSENCIAL</w:t>
      </w:r>
      <w:r w:rsidR="00863219">
        <w:rPr>
          <w:color w:val="000000"/>
          <w:spacing w:val="-2"/>
        </w:rPr>
        <w:t>..........................</w:t>
      </w:r>
      <w:r w:rsidR="006005BD">
        <w:rPr>
          <w:color w:val="000000"/>
          <w:spacing w:val="-2"/>
        </w:rPr>
        <w:t>...</w:t>
      </w:r>
      <w:r w:rsidR="00863219">
        <w:rPr>
          <w:color w:val="000000"/>
          <w:spacing w:val="-2"/>
        </w:rPr>
        <w:t>....................</w:t>
      </w:r>
      <w:r w:rsidR="00842650">
        <w:rPr>
          <w:color w:val="000000"/>
          <w:spacing w:val="-2"/>
        </w:rPr>
        <w:t>.....</w:t>
      </w:r>
      <w:r w:rsidR="00863219">
        <w:rPr>
          <w:color w:val="000000"/>
          <w:spacing w:val="-2"/>
        </w:rPr>
        <w:t>......................................</w:t>
      </w:r>
      <w:r w:rsidR="00842650">
        <w:rPr>
          <w:color w:val="000000"/>
          <w:spacing w:val="-2"/>
        </w:rPr>
        <w:t>.....</w:t>
      </w:r>
      <w:r w:rsidR="007559CE">
        <w:rPr>
          <w:color w:val="000000"/>
          <w:spacing w:val="-2"/>
        </w:rPr>
        <w:t>.............</w:t>
      </w:r>
      <w:r w:rsidR="00842650">
        <w:rPr>
          <w:color w:val="000000"/>
          <w:spacing w:val="-2"/>
        </w:rPr>
        <w:t>........</w:t>
      </w:r>
      <w:r w:rsidR="00863219">
        <w:rPr>
          <w:color w:val="000000"/>
          <w:spacing w:val="-2"/>
        </w:rPr>
        <w:t>.....PÁG.</w:t>
      </w:r>
      <w:r w:rsidR="006005BD">
        <w:rPr>
          <w:color w:val="000000"/>
          <w:spacing w:val="-2"/>
        </w:rPr>
        <w:t xml:space="preserve"> 26</w:t>
      </w:r>
    </w:p>
    <w:p w:rsidR="00DB48B8" w:rsidP="00842650" w:rsidRDefault="008D46EF" w14:paraId="708C5324" w14:textId="7E3A7E7C">
      <w:pPr>
        <w:tabs>
          <w:tab w:val="left" w:pos="860"/>
          <w:tab w:val="left" w:pos="3686"/>
        </w:tabs>
        <w:spacing w:after="140" w:line="360" w:lineRule="auto"/>
        <w:ind w:right="138"/>
        <w:jc w:val="both"/>
      </w:pPr>
      <w:r>
        <w:rPr>
          <w:color w:val="000000"/>
        </w:rPr>
        <w:t>2.3 O ALIMENTO COMO ELEMENTO SOCIAL, CULTURAL E POLÍTICO</w:t>
      </w:r>
      <w:r w:rsidR="00863219">
        <w:rPr>
          <w:color w:val="000000"/>
        </w:rPr>
        <w:t>.................................................</w:t>
      </w:r>
      <w:r w:rsidR="00842650">
        <w:rPr>
          <w:color w:val="000000"/>
        </w:rPr>
        <w:t>.</w:t>
      </w:r>
      <w:r w:rsidR="00863219">
        <w:rPr>
          <w:color w:val="000000"/>
        </w:rPr>
        <w:t>........................</w:t>
      </w:r>
      <w:r w:rsidR="00842650">
        <w:rPr>
          <w:color w:val="000000"/>
        </w:rPr>
        <w:t>.</w:t>
      </w:r>
      <w:r w:rsidR="00863219">
        <w:rPr>
          <w:color w:val="000000"/>
        </w:rPr>
        <w:t>..........</w:t>
      </w:r>
      <w:r w:rsidR="007559CE">
        <w:rPr>
          <w:color w:val="000000"/>
        </w:rPr>
        <w:t>.........</w:t>
      </w:r>
      <w:r w:rsidR="00863219">
        <w:rPr>
          <w:color w:val="000000"/>
        </w:rPr>
        <w:t>...............</w:t>
      </w:r>
      <w:r w:rsidR="00842650">
        <w:rPr>
          <w:color w:val="000000"/>
        </w:rPr>
        <w:t>.</w:t>
      </w:r>
      <w:r w:rsidR="00863219">
        <w:rPr>
          <w:color w:val="000000"/>
        </w:rPr>
        <w:t>......PÁG.</w:t>
      </w:r>
      <w:r w:rsidR="006005BD">
        <w:rPr>
          <w:color w:val="000000"/>
        </w:rPr>
        <w:t xml:space="preserve"> 29</w:t>
      </w:r>
    </w:p>
    <w:p w:rsidR="00DB48B8" w:rsidP="00842650" w:rsidRDefault="008D46EF" w14:paraId="708C5326" w14:textId="74864210">
      <w:pPr>
        <w:tabs>
          <w:tab w:val="left" w:pos="620"/>
          <w:tab w:val="left" w:pos="3686"/>
        </w:tabs>
        <w:spacing w:after="140" w:line="360" w:lineRule="auto"/>
        <w:ind w:right="138"/>
        <w:jc w:val="both"/>
      </w:pPr>
      <w:r>
        <w:rPr>
          <w:b/>
          <w:color w:val="000000"/>
        </w:rPr>
        <w:t>CAPÍTULO 3 INSTRUMENTALIZAÇÃO</w:t>
      </w:r>
      <w:r>
        <w:rPr>
          <w:b/>
          <w:color w:val="000000"/>
          <w:spacing w:val="40"/>
        </w:rPr>
        <w:t xml:space="preserve"> </w:t>
      </w:r>
      <w:r>
        <w:rPr>
          <w:b/>
          <w:color w:val="000000"/>
        </w:rPr>
        <w:t>DA</w:t>
      </w:r>
      <w:r>
        <w:rPr>
          <w:b/>
          <w:color w:val="000000"/>
          <w:spacing w:val="40"/>
        </w:rPr>
        <w:t xml:space="preserve"> </w:t>
      </w:r>
      <w:r>
        <w:rPr>
          <w:b/>
          <w:color w:val="000000"/>
        </w:rPr>
        <w:t>FOME</w:t>
      </w:r>
      <w:r>
        <w:rPr>
          <w:b/>
          <w:color w:val="000000"/>
          <w:spacing w:val="40"/>
        </w:rPr>
        <w:t xml:space="preserve"> </w:t>
      </w:r>
      <w:r>
        <w:rPr>
          <w:b/>
          <w:color w:val="000000"/>
        </w:rPr>
        <w:t>EM</w:t>
      </w:r>
      <w:r>
        <w:rPr>
          <w:b/>
          <w:color w:val="000000"/>
          <w:spacing w:val="40"/>
        </w:rPr>
        <w:t xml:space="preserve"> </w:t>
      </w:r>
      <w:r>
        <w:rPr>
          <w:b/>
          <w:color w:val="000000"/>
        </w:rPr>
        <w:t>CONTEXTOS</w:t>
      </w:r>
      <w:r>
        <w:rPr>
          <w:b/>
          <w:color w:val="000000"/>
          <w:spacing w:val="40"/>
        </w:rPr>
        <w:t xml:space="preserve"> </w:t>
      </w:r>
      <w:r>
        <w:rPr>
          <w:b/>
          <w:color w:val="000000"/>
        </w:rPr>
        <w:t>DE</w:t>
      </w:r>
      <w:r>
        <w:rPr>
          <w:b/>
          <w:color w:val="000000"/>
          <w:spacing w:val="40"/>
        </w:rPr>
        <w:t xml:space="preserve"> </w:t>
      </w:r>
      <w:r>
        <w:rPr>
          <w:b/>
          <w:color w:val="000000"/>
        </w:rPr>
        <w:t>CRISE:</w:t>
      </w:r>
      <w:r>
        <w:rPr>
          <w:b/>
          <w:color w:val="000000"/>
          <w:spacing w:val="40"/>
        </w:rPr>
        <w:t xml:space="preserve"> </w:t>
      </w:r>
      <w:r>
        <w:rPr>
          <w:b/>
          <w:color w:val="000000"/>
        </w:rPr>
        <w:t>O CASO PALESTINA</w:t>
      </w:r>
      <w:r w:rsidR="00863219">
        <w:rPr>
          <w:b/>
          <w:color w:val="000000"/>
        </w:rPr>
        <w:t>.................................................</w:t>
      </w:r>
      <w:r w:rsidR="00842650">
        <w:rPr>
          <w:b/>
          <w:color w:val="000000"/>
        </w:rPr>
        <w:t>..</w:t>
      </w:r>
      <w:r w:rsidR="00863219">
        <w:rPr>
          <w:b/>
          <w:color w:val="000000"/>
        </w:rPr>
        <w:t>..............</w:t>
      </w:r>
      <w:r w:rsidR="00842650">
        <w:rPr>
          <w:b/>
          <w:color w:val="000000"/>
        </w:rPr>
        <w:t>.</w:t>
      </w:r>
      <w:r w:rsidR="00863219">
        <w:rPr>
          <w:b/>
          <w:color w:val="000000"/>
        </w:rPr>
        <w:t>.....PÁG.</w:t>
      </w:r>
      <w:r w:rsidR="006005BD">
        <w:rPr>
          <w:b/>
          <w:color w:val="000000"/>
        </w:rPr>
        <w:t xml:space="preserve"> 36</w:t>
      </w:r>
    </w:p>
    <w:p w:rsidR="00DB48B8" w:rsidP="00842650" w:rsidRDefault="008D46EF" w14:paraId="708C5327" w14:textId="22C37209">
      <w:pPr>
        <w:tabs>
          <w:tab w:val="left" w:pos="860"/>
          <w:tab w:val="left" w:pos="3686"/>
        </w:tabs>
        <w:spacing w:after="140" w:line="360" w:lineRule="auto"/>
        <w:ind w:right="138"/>
        <w:jc w:val="both"/>
      </w:pPr>
      <w:r>
        <w:rPr>
          <w:color w:val="000000"/>
        </w:rPr>
        <w:t>3.1 BLOQUEIOS ECONÔMICOS E RESTRI</w:t>
      </w:r>
      <w:r w:rsidR="007E634C">
        <w:rPr>
          <w:color w:val="000000"/>
        </w:rPr>
        <w:t>ÇÕ</w:t>
      </w:r>
      <w:r>
        <w:rPr>
          <w:color w:val="000000"/>
        </w:rPr>
        <w:t>ES ALIMENTARES COMO NE- GAÇÃO DO DIREITO À VIDA</w:t>
      </w:r>
      <w:r w:rsidR="00863219">
        <w:rPr>
          <w:color w:val="000000"/>
          <w:spacing w:val="-2"/>
        </w:rPr>
        <w:t>...............................................</w:t>
      </w:r>
      <w:r w:rsidR="00842650">
        <w:rPr>
          <w:color w:val="000000"/>
          <w:spacing w:val="-2"/>
        </w:rPr>
        <w:t>...</w:t>
      </w:r>
      <w:r w:rsidR="00863219">
        <w:rPr>
          <w:color w:val="000000"/>
          <w:spacing w:val="-2"/>
        </w:rPr>
        <w:t>..................</w:t>
      </w:r>
      <w:r w:rsidR="00842650">
        <w:rPr>
          <w:color w:val="000000"/>
          <w:spacing w:val="-2"/>
        </w:rPr>
        <w:t>.</w:t>
      </w:r>
      <w:r w:rsidR="00863219">
        <w:rPr>
          <w:color w:val="000000"/>
          <w:spacing w:val="-2"/>
        </w:rPr>
        <w:t>.......PÁG.</w:t>
      </w:r>
      <w:r w:rsidR="006005BD">
        <w:rPr>
          <w:color w:val="000000"/>
          <w:spacing w:val="-2"/>
        </w:rPr>
        <w:t xml:space="preserve"> 36</w:t>
      </w:r>
    </w:p>
    <w:p w:rsidR="00DB48B8" w:rsidP="00842650" w:rsidRDefault="008D46EF" w14:paraId="708C5328" w14:textId="5A08FD5D">
      <w:pPr>
        <w:tabs>
          <w:tab w:val="left" w:pos="860"/>
          <w:tab w:val="left" w:pos="3686"/>
        </w:tabs>
        <w:spacing w:after="140" w:line="360" w:lineRule="auto"/>
        <w:jc w:val="both"/>
      </w:pPr>
      <w:r>
        <w:rPr>
          <w:color w:val="000000"/>
        </w:rPr>
        <w:t xml:space="preserve">3.2 </w:t>
      </w:r>
      <w:r w:rsidRPr="005713C0" w:rsidR="003C56D5">
        <w:rPr>
          <w:color w:val="000000"/>
        </w:rPr>
        <w:t>HISTÓRICO DO CONFLITO ISRAEL–PALESTINA E EVOLUÇÃO DO BLOQUEIO DE GAZA</w:t>
      </w:r>
      <w:r w:rsidR="00863219">
        <w:rPr>
          <w:color w:val="000000"/>
          <w:spacing w:val="-2"/>
        </w:rPr>
        <w:t>.............................................................</w:t>
      </w:r>
      <w:r w:rsidR="007559CE">
        <w:rPr>
          <w:color w:val="000000"/>
          <w:spacing w:val="-2"/>
        </w:rPr>
        <w:t>.........</w:t>
      </w:r>
      <w:r w:rsidR="00863219">
        <w:rPr>
          <w:color w:val="000000"/>
          <w:spacing w:val="-2"/>
        </w:rPr>
        <w:t>..</w:t>
      </w:r>
      <w:r w:rsidR="00842650">
        <w:rPr>
          <w:color w:val="000000"/>
          <w:spacing w:val="-2"/>
        </w:rPr>
        <w:t>.....</w:t>
      </w:r>
      <w:r w:rsidR="00863219">
        <w:rPr>
          <w:color w:val="000000"/>
          <w:spacing w:val="-2"/>
        </w:rPr>
        <w:t>........................PÁG.</w:t>
      </w:r>
      <w:r w:rsidR="006005BD">
        <w:rPr>
          <w:color w:val="000000"/>
          <w:spacing w:val="-2"/>
        </w:rPr>
        <w:t xml:space="preserve"> 40</w:t>
      </w:r>
    </w:p>
    <w:p w:rsidR="00DB48B8" w:rsidP="00842650" w:rsidRDefault="008D46EF" w14:paraId="708C532A" w14:textId="676C500E">
      <w:pPr>
        <w:tabs>
          <w:tab w:val="left" w:pos="860"/>
          <w:tab w:val="left" w:pos="3686"/>
        </w:tabs>
        <w:spacing w:after="140" w:line="360" w:lineRule="auto"/>
        <w:ind w:right="139"/>
        <w:jc w:val="both"/>
      </w:pPr>
      <w:r>
        <w:rPr>
          <w:color w:val="000000"/>
        </w:rPr>
        <w:t>3.</w:t>
      </w:r>
      <w:r w:rsidR="003C56D5">
        <w:rPr>
          <w:color w:val="000000"/>
        </w:rPr>
        <w:t>3</w:t>
      </w:r>
      <w:r>
        <w:rPr>
          <w:color w:val="000000"/>
        </w:rPr>
        <w:t xml:space="preserve"> </w:t>
      </w:r>
      <w:r w:rsidRPr="003B72BF" w:rsidR="003C56D5">
        <w:t>FOME COMO ARMA DE GUERRA: PERSPECTIVAS HISTÓRICAS</w:t>
      </w:r>
      <w:r w:rsidR="006005BD">
        <w:t>.</w:t>
      </w:r>
      <w:r w:rsidR="00842650">
        <w:t>....</w:t>
      </w:r>
      <w:r w:rsidR="00863219">
        <w:t>PÁG.</w:t>
      </w:r>
      <w:r w:rsidR="006005BD">
        <w:t>44</w:t>
      </w:r>
    </w:p>
    <w:p w:rsidR="00DB48B8" w:rsidP="00842650" w:rsidRDefault="008D46EF" w14:paraId="708C532B" w14:textId="3BADBB2E">
      <w:pPr>
        <w:tabs>
          <w:tab w:val="left" w:pos="620"/>
          <w:tab w:val="left" w:pos="3686"/>
        </w:tabs>
        <w:spacing w:after="140" w:line="360" w:lineRule="auto"/>
        <w:ind w:right="138"/>
        <w:jc w:val="both"/>
      </w:pPr>
      <w:r>
        <w:rPr>
          <w:b/>
          <w:color w:val="000000"/>
        </w:rPr>
        <w:t>CAPÍTULO 4 IMPACTOS POLÍTICOS, CULTURAIS E SOCIAIS DA RESTRIÇÃO ALI- MENTAR EM CONTEXTO DE CRISE</w:t>
      </w:r>
      <w:r w:rsidR="00863219">
        <w:rPr>
          <w:b/>
          <w:color w:val="000000"/>
        </w:rPr>
        <w:t>.....................</w:t>
      </w:r>
      <w:r w:rsidR="00842650">
        <w:rPr>
          <w:b/>
          <w:color w:val="000000"/>
        </w:rPr>
        <w:t>.............</w:t>
      </w:r>
      <w:r w:rsidR="00863219">
        <w:rPr>
          <w:b/>
          <w:color w:val="000000"/>
        </w:rPr>
        <w:t>....PÁG.</w:t>
      </w:r>
      <w:r w:rsidR="006005BD">
        <w:rPr>
          <w:b/>
          <w:color w:val="000000"/>
        </w:rPr>
        <w:t xml:space="preserve"> 48</w:t>
      </w:r>
    </w:p>
    <w:p w:rsidR="00DB48B8" w:rsidP="00842650" w:rsidRDefault="008D46EF" w14:paraId="708C532C" w14:textId="490375F0">
      <w:pPr>
        <w:tabs>
          <w:tab w:val="left" w:pos="860"/>
          <w:tab w:val="left" w:pos="3686"/>
        </w:tabs>
        <w:spacing w:after="140" w:line="360" w:lineRule="auto"/>
        <w:jc w:val="both"/>
      </w:pPr>
      <w:r>
        <w:rPr>
          <w:color w:val="000000"/>
        </w:rPr>
        <w:t>4.1 CONSEQUÊNCIAS</w:t>
      </w:r>
      <w:r>
        <w:rPr>
          <w:color w:val="000000"/>
          <w:spacing w:val="-1"/>
        </w:rPr>
        <w:t xml:space="preserve"> </w:t>
      </w:r>
      <w:r>
        <w:rPr>
          <w:color w:val="000000"/>
        </w:rPr>
        <w:t>PARA</w:t>
      </w:r>
      <w:r>
        <w:rPr>
          <w:color w:val="000000"/>
          <w:spacing w:val="-1"/>
        </w:rPr>
        <w:t xml:space="preserve"> </w:t>
      </w:r>
      <w:r>
        <w:rPr>
          <w:color w:val="000000"/>
        </w:rPr>
        <w:t>A</w:t>
      </w:r>
      <w:r>
        <w:rPr>
          <w:color w:val="000000"/>
          <w:spacing w:val="-1"/>
        </w:rPr>
        <w:t xml:space="preserve"> </w:t>
      </w:r>
      <w:r>
        <w:rPr>
          <w:color w:val="000000"/>
        </w:rPr>
        <w:t>DIGNIDADE</w:t>
      </w:r>
      <w:r>
        <w:rPr>
          <w:color w:val="000000"/>
          <w:spacing w:val="-1"/>
        </w:rPr>
        <w:t xml:space="preserve"> </w:t>
      </w:r>
      <w:r>
        <w:rPr>
          <w:color w:val="000000"/>
        </w:rPr>
        <w:t>E</w:t>
      </w:r>
      <w:r>
        <w:rPr>
          <w:color w:val="000000"/>
          <w:spacing w:val="-1"/>
        </w:rPr>
        <w:t xml:space="preserve"> </w:t>
      </w:r>
      <w:r>
        <w:rPr>
          <w:color w:val="000000"/>
        </w:rPr>
        <w:t>AUTONOMIA</w:t>
      </w:r>
      <w:r>
        <w:rPr>
          <w:color w:val="000000"/>
          <w:spacing w:val="-1"/>
        </w:rPr>
        <w:t xml:space="preserve"> </w:t>
      </w:r>
      <w:r>
        <w:rPr>
          <w:color w:val="000000"/>
        </w:rPr>
        <w:t>DOS</w:t>
      </w:r>
      <w:r>
        <w:rPr>
          <w:color w:val="000000"/>
          <w:spacing w:val="-1"/>
        </w:rPr>
        <w:t xml:space="preserve"> </w:t>
      </w:r>
      <w:r>
        <w:rPr>
          <w:color w:val="000000"/>
          <w:spacing w:val="-2"/>
        </w:rPr>
        <w:t>POVOS</w:t>
      </w:r>
      <w:r w:rsidR="00863219">
        <w:rPr>
          <w:color w:val="000000"/>
          <w:spacing w:val="-2"/>
        </w:rPr>
        <w:t>.....................................</w:t>
      </w:r>
      <w:r w:rsidR="00842650">
        <w:rPr>
          <w:color w:val="000000"/>
          <w:spacing w:val="-2"/>
        </w:rPr>
        <w:t>.........</w:t>
      </w:r>
      <w:r w:rsidR="00863219">
        <w:rPr>
          <w:color w:val="000000"/>
          <w:spacing w:val="-2"/>
        </w:rPr>
        <w:t>...................................................................</w:t>
      </w:r>
      <w:r w:rsidR="00842650">
        <w:rPr>
          <w:color w:val="000000"/>
          <w:spacing w:val="-2"/>
        </w:rPr>
        <w:t>.</w:t>
      </w:r>
      <w:r w:rsidR="00863219">
        <w:rPr>
          <w:color w:val="000000"/>
          <w:spacing w:val="-2"/>
        </w:rPr>
        <w:t>..........PÁG.</w:t>
      </w:r>
      <w:r w:rsidR="006005BD">
        <w:rPr>
          <w:color w:val="000000"/>
          <w:spacing w:val="-2"/>
        </w:rPr>
        <w:t xml:space="preserve"> 48</w:t>
      </w:r>
    </w:p>
    <w:p w:rsidR="00DB48B8" w:rsidP="00842650" w:rsidRDefault="008D46EF" w14:paraId="708C532D" w14:textId="012720D9">
      <w:pPr>
        <w:tabs>
          <w:tab w:val="left" w:pos="860"/>
          <w:tab w:val="left" w:pos="3686"/>
        </w:tabs>
        <w:spacing w:after="140" w:line="360" w:lineRule="auto"/>
        <w:jc w:val="both"/>
      </w:pPr>
      <w:r>
        <w:rPr>
          <w:color w:val="000000"/>
        </w:rPr>
        <w:t xml:space="preserve">4.2 </w:t>
      </w:r>
      <w:r w:rsidRPr="00AE4B4A" w:rsidR="003C56D5">
        <w:t>A INSTRUMENTALIZAÇÃO DA FOME EM PARÂMETROS LEGAIS: UMA VISÃO JURÍDICA</w:t>
      </w:r>
      <w:r w:rsidRPr="00AE4B4A" w:rsidR="003C56D5">
        <w:noBreakHyphen/>
      </w:r>
      <w:r w:rsidRPr="00AE4B4A" w:rsidR="003C56D5">
        <w:t>NORMATIVA</w:t>
      </w:r>
      <w:r w:rsidR="00863219">
        <w:t>...........................................</w:t>
      </w:r>
      <w:r w:rsidR="00842650">
        <w:t>.....</w:t>
      </w:r>
      <w:r w:rsidR="00863219">
        <w:t>....................</w:t>
      </w:r>
      <w:r w:rsidR="00842650">
        <w:t>.</w:t>
      </w:r>
      <w:r w:rsidR="00863219">
        <w:t>......PÁG.</w:t>
      </w:r>
      <w:r w:rsidR="00842650">
        <w:t xml:space="preserve"> 54</w:t>
      </w:r>
    </w:p>
    <w:p w:rsidR="0086076E" w:rsidP="00842650" w:rsidRDefault="0086076E" w14:paraId="2B7964B8" w14:textId="0BFC5B76">
      <w:pPr>
        <w:suppressAutoHyphens/>
        <w:spacing w:line="360" w:lineRule="auto"/>
        <w:jc w:val="both"/>
      </w:pPr>
      <w:r w:rsidRPr="0021701D">
        <w:t xml:space="preserve">4.3 </w:t>
      </w:r>
      <w:r w:rsidRPr="005A3612" w:rsidR="00842650">
        <w:t>A EXPERIÊNCIA BRASILEIRA EM SEGURANÇA ALIMENTAR COMO PARÂMETRO JURÍDICO-POLÍTICO DIANTE DA INSTRUMENTALIZAÇÃO DA FOME</w:t>
      </w:r>
      <w:r w:rsidR="00842650">
        <w:t>..................................................</w:t>
      </w:r>
      <w:r w:rsidR="00863219">
        <w:t>............................................</w:t>
      </w:r>
      <w:r w:rsidR="00842650">
        <w:t>....</w:t>
      </w:r>
      <w:r w:rsidR="00863219">
        <w:t>..................PÁG.</w:t>
      </w:r>
      <w:r w:rsidR="00842650">
        <w:t xml:space="preserve"> 61</w:t>
      </w:r>
    </w:p>
    <w:p w:rsidR="00DB48B8" w:rsidP="00842650" w:rsidRDefault="008D46EF" w14:paraId="708C5332" w14:textId="33DAA160">
      <w:pPr>
        <w:tabs>
          <w:tab w:val="left" w:pos="3686"/>
        </w:tabs>
        <w:spacing w:after="140" w:line="360" w:lineRule="auto"/>
        <w:jc w:val="both"/>
      </w:pPr>
      <w:r>
        <w:rPr>
          <w:b/>
          <w:color w:val="000000"/>
        </w:rPr>
        <w:t>CONSIDERAÇÕES</w:t>
      </w:r>
      <w:r>
        <w:rPr>
          <w:b/>
          <w:color w:val="000000"/>
          <w:spacing w:val="-2"/>
        </w:rPr>
        <w:t xml:space="preserve"> FINAIS</w:t>
      </w:r>
      <w:r w:rsidR="00863219">
        <w:rPr>
          <w:b/>
          <w:color w:val="000000"/>
          <w:spacing w:val="-2"/>
        </w:rPr>
        <w:t>......................................................................</w:t>
      </w:r>
      <w:r w:rsidR="00842650">
        <w:rPr>
          <w:b/>
          <w:color w:val="000000"/>
          <w:spacing w:val="-2"/>
        </w:rPr>
        <w:t>.......</w:t>
      </w:r>
      <w:r w:rsidR="00863219">
        <w:rPr>
          <w:b/>
          <w:color w:val="000000"/>
          <w:spacing w:val="-2"/>
        </w:rPr>
        <w:t>....PÁG.</w:t>
      </w:r>
      <w:r w:rsidR="00842650">
        <w:rPr>
          <w:b/>
          <w:color w:val="000000"/>
          <w:spacing w:val="-2"/>
        </w:rPr>
        <w:t xml:space="preserve"> 64</w:t>
      </w:r>
    </w:p>
    <w:p w:rsidR="00DB48B8" w:rsidP="00842650" w:rsidRDefault="008D46EF" w14:paraId="708C5337" w14:textId="02AA3E3D">
      <w:pPr>
        <w:tabs>
          <w:tab w:val="left" w:pos="3686"/>
        </w:tabs>
        <w:spacing w:after="140" w:line="360" w:lineRule="auto"/>
        <w:jc w:val="both"/>
      </w:pPr>
      <w:r>
        <w:rPr>
          <w:b/>
          <w:color w:val="000000"/>
          <w:spacing w:val="-2"/>
        </w:rPr>
        <w:t>REFERÊNCIAS</w:t>
      </w:r>
      <w:r w:rsidR="00863219">
        <w:rPr>
          <w:b/>
          <w:color w:val="000000"/>
          <w:spacing w:val="-2"/>
        </w:rPr>
        <w:t>......................................................................................................PÁG.</w:t>
      </w:r>
      <w:r w:rsidR="00842650">
        <w:rPr>
          <w:b/>
          <w:color w:val="000000"/>
          <w:spacing w:val="-2"/>
        </w:rPr>
        <w:t xml:space="preserve"> 69</w:t>
      </w:r>
    </w:p>
    <w:p w:rsidR="00DB48B8" w:rsidRDefault="00DB48B8" w14:paraId="708C5338" w14:textId="77777777">
      <w:pPr>
        <w:spacing w:line="360" w:lineRule="auto"/>
        <w:jc w:val="center"/>
      </w:pPr>
    </w:p>
    <w:p w:rsidR="00DB48B8" w:rsidRDefault="00DB48B8" w14:paraId="708C5339" w14:textId="77777777">
      <w:pPr>
        <w:spacing w:line="360" w:lineRule="auto"/>
        <w:jc w:val="center"/>
      </w:pPr>
    </w:p>
    <w:p w:rsidR="00DB48B8" w:rsidRDefault="00DB48B8" w14:paraId="708C533A" w14:textId="77777777">
      <w:pPr>
        <w:spacing w:line="360" w:lineRule="auto"/>
        <w:jc w:val="center"/>
      </w:pPr>
    </w:p>
    <w:p w:rsidR="00DB48B8" w:rsidRDefault="00DB48B8" w14:paraId="708C533B" w14:textId="77777777">
      <w:pPr>
        <w:spacing w:line="360" w:lineRule="auto"/>
        <w:jc w:val="center"/>
      </w:pPr>
    </w:p>
    <w:p w:rsidR="00DB48B8" w:rsidRDefault="00DB48B8" w14:paraId="708C533C" w14:textId="77777777">
      <w:pPr>
        <w:spacing w:line="360" w:lineRule="auto"/>
        <w:jc w:val="center"/>
      </w:pPr>
    </w:p>
    <w:p w:rsidR="00DB48B8" w:rsidRDefault="00DB48B8" w14:paraId="708C533D" w14:textId="77777777">
      <w:pPr>
        <w:spacing w:line="360" w:lineRule="auto"/>
        <w:jc w:val="center"/>
      </w:pPr>
    </w:p>
    <w:p w:rsidR="003053CC" w:rsidP="003053CC" w:rsidRDefault="003053CC" w14:paraId="4D7AA33F" w14:textId="77777777">
      <w:pPr>
        <w:spacing w:line="360" w:lineRule="auto"/>
        <w:sectPr w:rsidR="003053CC">
          <w:headerReference w:type="default" r:id="rId9"/>
          <w:headerReference w:type="first" r:id="rId10"/>
          <w:pgSz w:w="11906" w:h="16838" w:orient="portrait"/>
          <w:pgMar w:top="1417" w:right="1701" w:bottom="1417" w:left="1701" w:header="0" w:footer="0" w:gutter="0"/>
          <w:cols w:space="720"/>
          <w:formProt w:val="0"/>
          <w:docGrid w:linePitch="600" w:charSpace="32768"/>
        </w:sectPr>
      </w:pPr>
    </w:p>
    <w:p w:rsidR="00DB48B8" w:rsidP="00251127" w:rsidRDefault="008D46EF" w14:paraId="708C534B" w14:textId="77777777">
      <w:pPr>
        <w:pStyle w:val="Normal2"/>
        <w:spacing w:after="100" w:line="360" w:lineRule="auto"/>
        <w:ind w:right="-1"/>
        <w:jc w:val="center"/>
        <w:rPr>
          <w:rFonts w:ascii="Times New Roman" w:hAnsi="Times New Roman"/>
        </w:rPr>
      </w:pPr>
      <w:r>
        <w:rPr>
          <w:rFonts w:ascii="Times New Roman" w:hAnsi="Times New Roman" w:eastAsia="Calibri" w:cs="Times New Roman"/>
          <w:b/>
          <w:bCs/>
        </w:rPr>
        <w:t>INTRODUÇÃO</w:t>
      </w:r>
    </w:p>
    <w:p w:rsidR="00DB48B8" w:rsidRDefault="00DB48B8" w14:paraId="708C534C" w14:textId="77777777">
      <w:pPr>
        <w:pStyle w:val="Normal2"/>
        <w:spacing w:after="100" w:line="360" w:lineRule="auto"/>
        <w:ind w:right="-1"/>
        <w:jc w:val="both"/>
        <w:rPr>
          <w:rFonts w:ascii="Times New Roman" w:hAnsi="Times New Roman" w:eastAsia="Calibri" w:cs="Times New Roman"/>
          <w:b/>
          <w:bCs/>
        </w:rPr>
      </w:pPr>
    </w:p>
    <w:p w:rsidR="00251127" w:rsidRDefault="00251127" w14:paraId="45527F53" w14:textId="77777777">
      <w:pPr>
        <w:pStyle w:val="Normal2"/>
        <w:spacing w:after="100" w:line="360" w:lineRule="auto"/>
        <w:ind w:right="-1"/>
        <w:jc w:val="both"/>
        <w:rPr>
          <w:rFonts w:ascii="Times New Roman" w:hAnsi="Times New Roman" w:eastAsia="Calibri" w:cs="Times New Roman"/>
          <w:b/>
          <w:bCs/>
        </w:rPr>
      </w:pPr>
    </w:p>
    <w:p w:rsidR="00251127" w:rsidRDefault="00251127" w14:paraId="7291C895" w14:textId="565727DD">
      <w:pPr>
        <w:pStyle w:val="Normal2"/>
        <w:spacing w:after="100" w:line="360" w:lineRule="auto"/>
        <w:ind w:right="-1"/>
        <w:jc w:val="both"/>
        <w:rPr>
          <w:rFonts w:ascii="Times New Roman" w:hAnsi="Times New Roman" w:eastAsia="Calibri" w:cs="Times New Roman"/>
        </w:rPr>
      </w:pPr>
      <w:r w:rsidRPr="00251127">
        <w:rPr>
          <w:rFonts w:ascii="Times New Roman" w:hAnsi="Times New Roman" w:eastAsia="Calibri" w:cs="Times New Roman"/>
        </w:rPr>
        <w:t xml:space="preserve">A terra sempre ocupou um lugar de protagonista na trajetória da humanidade. Mais do que solo fértil e paisagem, ela define quem pode produzir, comer e pertencer, pois, ao regular quem a detém e a explora, delineia a própria ordem econômica, seus conflitos, exclusões e oportunidades. </w:t>
      </w:r>
      <w:r w:rsidRPr="007E634C" w:rsidR="007E634C">
        <w:rPr>
          <w:rFonts w:ascii="Times New Roman" w:hAnsi="Times New Roman" w:eastAsia="Calibri" w:cs="Times New Roman"/>
        </w:rPr>
        <w:t>Traçar sua história significa desvelar, por trás das normas, o desenho das desigualdades sociais e econômicas que marcaram a experiência humana, desde as primeiras comunidades rurais até os atuais mercados globalizados de alimentos.</w:t>
      </w:r>
      <w:r w:rsidR="007E634C">
        <w:rPr>
          <w:rFonts w:ascii="Times New Roman" w:hAnsi="Times New Roman" w:eastAsia="Calibri" w:cs="Times New Roman"/>
        </w:rPr>
        <w:t xml:space="preserve"> </w:t>
      </w:r>
      <w:r w:rsidRPr="00251127">
        <w:rPr>
          <w:rFonts w:ascii="Times New Roman" w:hAnsi="Times New Roman" w:eastAsia="Calibri" w:cs="Times New Roman"/>
        </w:rPr>
        <w:t>É a partir dessa centralidade histórica, social e política da terra que surg</w:t>
      </w:r>
      <w:r w:rsidR="006F60D6">
        <w:rPr>
          <w:rFonts w:ascii="Times New Roman" w:hAnsi="Times New Roman" w:eastAsia="Calibri" w:cs="Times New Roman"/>
        </w:rPr>
        <w:t>e</w:t>
      </w:r>
      <w:r w:rsidRPr="00251127">
        <w:rPr>
          <w:rFonts w:ascii="Times New Roman" w:hAnsi="Times New Roman" w:eastAsia="Calibri" w:cs="Times New Roman"/>
        </w:rPr>
        <w:t xml:space="preserve"> o Direito Agrário, nascendo da necessidade sempre renovada de regular o elo entre seres humanos, alimento e território, num cenário em que o controle da produção já não significa apenas riqueza, mas também poder sobre vidas inteiras. </w:t>
      </w:r>
    </w:p>
    <w:p w:rsidR="00251127" w:rsidRDefault="00251127" w14:paraId="57C8AF05" w14:textId="77777777">
      <w:pPr>
        <w:pStyle w:val="Normal2"/>
        <w:spacing w:after="100" w:line="360" w:lineRule="auto"/>
        <w:ind w:right="-1"/>
        <w:jc w:val="both"/>
        <w:rPr>
          <w:rFonts w:ascii="Times New Roman" w:hAnsi="Times New Roman" w:eastAsia="Calibri" w:cs="Times New Roman"/>
        </w:rPr>
      </w:pPr>
      <w:r w:rsidRPr="00251127">
        <w:rPr>
          <w:rFonts w:ascii="Times New Roman" w:hAnsi="Times New Roman" w:eastAsia="Calibri" w:cs="Times New Roman"/>
        </w:rPr>
        <w:t>Nesta perspectiva, a presente pesquisa terá por objeto a análise do Direito Agrário, da segurança alimentar e da soberania dos povos em sua interdependência histórica, social e normativa, investigando, ao longo dos capítulos, como o alimento poderá ser manejado tanto como direito humano fundamental quanto como instrumento de poder, especialmente em contextos de crise e conflito, com destaque para o caso palestino e para o papel do ordenamento brasileiro no diálogo com o sistema internacional de direitos humanos. O percurso histórico do Direito Agrário, que atravessará desde o direito consuetudinário tribal e referências clássicas como o Código de Hamurabi até a Constituição Federal de 1988, será analisado como expressão das transformações da civilização, revelando a passagem de uma prática social difusa à condição de disciplina voltada à justiça social, à soberania alimentar e à sustentabilidade. Nesse caminho, a terra deixará de ser vista como simples patrimônio para ir se afirmando como bem essencial à vida, eixo em torno do qual gravitam dignidade, cidadania e proteção ambiental.</w:t>
      </w:r>
    </w:p>
    <w:p w:rsidR="00251127" w:rsidRDefault="00251127" w14:paraId="2743DF8D" w14:textId="6058858A">
      <w:pPr>
        <w:pStyle w:val="Normal2"/>
        <w:spacing w:after="100" w:line="360" w:lineRule="auto"/>
        <w:ind w:right="-1"/>
        <w:jc w:val="both"/>
        <w:rPr>
          <w:rFonts w:ascii="Times New Roman" w:hAnsi="Times New Roman" w:eastAsia="Calibri" w:cs="Times New Roman"/>
        </w:rPr>
      </w:pPr>
      <w:r w:rsidRPr="00251127">
        <w:rPr>
          <w:rFonts w:ascii="Times New Roman" w:hAnsi="Times New Roman" w:eastAsia="Calibri" w:cs="Times New Roman"/>
        </w:rPr>
        <w:t>Justifica</w:t>
      </w:r>
      <w:r>
        <w:rPr>
          <w:rFonts w:ascii="Times New Roman" w:hAnsi="Times New Roman" w:eastAsia="Calibri" w:cs="Times New Roman"/>
        </w:rPr>
        <w:t>-se</w:t>
      </w:r>
      <w:r w:rsidRPr="00251127">
        <w:rPr>
          <w:rFonts w:ascii="Times New Roman" w:hAnsi="Times New Roman" w:eastAsia="Calibri" w:cs="Times New Roman"/>
        </w:rPr>
        <w:t xml:space="preserve"> este estudo pela constatação de que, no cenário contemporâneo, o alimento </w:t>
      </w:r>
      <w:r>
        <w:rPr>
          <w:rFonts w:ascii="Times New Roman" w:hAnsi="Times New Roman" w:eastAsia="Calibri" w:cs="Times New Roman"/>
        </w:rPr>
        <w:t>assume</w:t>
      </w:r>
      <w:r w:rsidRPr="00251127">
        <w:rPr>
          <w:rFonts w:ascii="Times New Roman" w:hAnsi="Times New Roman" w:eastAsia="Calibri" w:cs="Times New Roman"/>
        </w:rPr>
        <w:t xml:space="preserve"> caráter estratégico tanto na esfera interna, por meio de políticas agrárias e de segurança alimentar, quanto no plano internacional, em que bloqueios econômicos, restrições de circulação de bens essenciais e controle de fronteiras evidenciar</w:t>
      </w:r>
      <w:r>
        <w:rPr>
          <w:rFonts w:ascii="Times New Roman" w:hAnsi="Times New Roman" w:eastAsia="Calibri" w:cs="Times New Roman"/>
        </w:rPr>
        <w:t>am</w:t>
      </w:r>
      <w:r w:rsidRPr="00251127">
        <w:rPr>
          <w:rFonts w:ascii="Times New Roman" w:hAnsi="Times New Roman" w:eastAsia="Calibri" w:cs="Times New Roman"/>
        </w:rPr>
        <w:t xml:space="preserve"> o uso da fome como instrumento de poder e de negação de direitos humanos. Em diferentes contextos de crise, a exemplo do conflito Israel</w:t>
      </w:r>
      <w:r w:rsidR="003754D4">
        <w:rPr>
          <w:rFonts w:ascii="Times New Roman" w:hAnsi="Times New Roman" w:eastAsia="Calibri" w:cs="Times New Roman"/>
        </w:rPr>
        <w:t>-</w:t>
      </w:r>
      <w:r w:rsidRPr="00251127">
        <w:rPr>
          <w:rFonts w:ascii="Times New Roman" w:hAnsi="Times New Roman" w:eastAsia="Calibri" w:cs="Times New Roman"/>
        </w:rPr>
        <w:t xml:space="preserve">Palestina e do bloqueio imposto à Faixa de Gaza, observar-se que o acesso aos alimentos pode ser manipulado de forma a submeter populações inteiras a um estado permanente de precariedade, tornando a fome não um acaso, mas um resultado politicamente produzido. Ao tratar o alimento como eixo de dignidade e sobrevivência, estar-se-á buscando demonstrar, ao longo da pesquisa, que a forma como se regula a terra e a produção rural poderá significar, em última análise, a abertura de caminhos para vida e autonomia ou, ao contrário, a manutenção de dependências, vulnerabilidades e violações. </w:t>
      </w:r>
    </w:p>
    <w:p w:rsidR="00BD153A" w:rsidRDefault="00251127" w14:paraId="36710F8D" w14:textId="414F3845">
      <w:pPr>
        <w:pStyle w:val="Normal2"/>
        <w:spacing w:after="100" w:line="360" w:lineRule="auto"/>
        <w:ind w:right="-1"/>
        <w:jc w:val="both"/>
        <w:rPr>
          <w:rFonts w:ascii="Times New Roman" w:hAnsi="Times New Roman" w:eastAsia="Calibri" w:cs="Times New Roman"/>
        </w:rPr>
      </w:pPr>
      <w:r w:rsidRPr="00251127">
        <w:rPr>
          <w:rFonts w:ascii="Times New Roman" w:hAnsi="Times New Roman" w:eastAsia="Calibri" w:cs="Times New Roman"/>
        </w:rPr>
        <w:t>Nesse contexto, formula</w:t>
      </w:r>
      <w:r w:rsidR="00B2397C">
        <w:rPr>
          <w:rFonts w:ascii="Times New Roman" w:hAnsi="Times New Roman" w:eastAsia="Calibri" w:cs="Times New Roman"/>
        </w:rPr>
        <w:t>m</w:t>
      </w:r>
      <w:r w:rsidRPr="00251127">
        <w:rPr>
          <w:rFonts w:ascii="Times New Roman" w:hAnsi="Times New Roman" w:eastAsia="Calibri" w:cs="Times New Roman"/>
        </w:rPr>
        <w:t>-s</w:t>
      </w:r>
      <w:r>
        <w:rPr>
          <w:rFonts w:ascii="Times New Roman" w:hAnsi="Times New Roman" w:eastAsia="Calibri" w:cs="Times New Roman"/>
        </w:rPr>
        <w:t>e</w:t>
      </w:r>
      <w:r w:rsidRPr="00251127">
        <w:rPr>
          <w:rFonts w:ascii="Times New Roman" w:hAnsi="Times New Roman" w:eastAsia="Calibri" w:cs="Times New Roman"/>
        </w:rPr>
        <w:t xml:space="preserve"> como problemas centrais as seguintes questões: de que modo o Direito Agrário, compreendido em sua dimensão humanística, pode se articular com o conceito de segurança alimentar e com a ideia de soberania dos povos, em um mundo em que ainda se morre de fome propositalmente? Em que medida a segurança alimentar, vista como direito humano essencial à vida digna e reconhecida pela normativa internacional de direitos humanos, passará a condicionar a efetivação de outros direitos fundamentais e a própria autodeterminação de povos, nações e comunidades em suas diversas formas de organização? Como a fome pode ser instrumentalizada em contextos de conflito, sanções e bloqueios, como no caso palestino, e quais serão os impactos dessa instrumentalização para a dignidade, a autonomia e a continuidade cultural dos grupos atingidos? E, por fim, que contribuições a experiência normativa e institucional brasileira em matéria de Direito Agrário, especialmente a consagração da função social da propriedade e as políticas de segurança alimentar, em diálogo com o sistema internacional de proteção do Direito Humano à Alimentação Adequada, poderão oferecer à comunidade internacional para conter a utilização do alimento como arma de dominação? Trabalha</w:t>
      </w:r>
      <w:r w:rsidR="009C2804">
        <w:rPr>
          <w:rFonts w:ascii="Times New Roman" w:hAnsi="Times New Roman" w:eastAsia="Calibri" w:cs="Times New Roman"/>
        </w:rPr>
        <w:t>-</w:t>
      </w:r>
      <w:r w:rsidRPr="00251127">
        <w:rPr>
          <w:rFonts w:ascii="Times New Roman" w:hAnsi="Times New Roman" w:eastAsia="Calibri" w:cs="Times New Roman"/>
        </w:rPr>
        <w:t xml:space="preserve">se, como hipótese geral, a ideia de que o Direito Agrário, quando efetivado sob uma matriz voltada à função social da propriedade, à proteção do Direito Humano à Alimentação Adequada e à observância dos marcos internacionais de direitos humanos, pode consolidar-se como fundamento da soberania alimentar dos povos, funcionando como barreira jurídica e política à instrumentalização da fome. Admitir-se, ainda, que a segurança alimentar, compreendida em suas dimensões de disponibilidade, acesso, estabilidade e adequação cultural, deixa de ser compreendida apenas como política setorial e passa a se afirmar como direito estruturante, de cuja violação decorre a fragilização de todo o sistema de direitos fundamentais e a exposição de populações inteiras a formas sofisticadas de violência. No plano internacional, </w:t>
      </w:r>
      <w:r w:rsidR="00BD153A">
        <w:rPr>
          <w:rFonts w:ascii="Times New Roman" w:hAnsi="Times New Roman" w:eastAsia="Calibri" w:cs="Times New Roman"/>
        </w:rPr>
        <w:t xml:space="preserve">parte-se </w:t>
      </w:r>
      <w:r w:rsidRPr="00251127">
        <w:rPr>
          <w:rFonts w:ascii="Times New Roman" w:hAnsi="Times New Roman" w:eastAsia="Calibri" w:cs="Times New Roman"/>
        </w:rPr>
        <w:t xml:space="preserve">da hipótese de que práticas de bloqueio e restrição deliberada de alimentos, em determinados contextos, se aproxima de padrões reconhecidos como graves violações de direitos humanos, ao submeter grupos específicos a condições incompatíveis com sua continuidade física e cultural, o que exigirá novas leituras jurídico-normativas e políticas sobre a fome como instrumento de guerra e controle. </w:t>
      </w:r>
    </w:p>
    <w:p w:rsidR="00BD153A" w:rsidRDefault="00251127" w14:paraId="32F1B60B" w14:textId="4B229362">
      <w:pPr>
        <w:pStyle w:val="Normal2"/>
        <w:spacing w:after="100" w:line="360" w:lineRule="auto"/>
        <w:ind w:right="-1"/>
        <w:jc w:val="both"/>
        <w:rPr>
          <w:rFonts w:ascii="Times New Roman" w:hAnsi="Times New Roman" w:eastAsia="Calibri" w:cs="Times New Roman"/>
        </w:rPr>
      </w:pPr>
      <w:r w:rsidRPr="00251127">
        <w:rPr>
          <w:rFonts w:ascii="Times New Roman" w:hAnsi="Times New Roman" w:eastAsia="Calibri" w:cs="Times New Roman"/>
        </w:rPr>
        <w:t>Quanto à metodologia, adot</w:t>
      </w:r>
      <w:r w:rsidR="00542872">
        <w:rPr>
          <w:rFonts w:ascii="Times New Roman" w:hAnsi="Times New Roman" w:eastAsia="Calibri" w:cs="Times New Roman"/>
        </w:rPr>
        <w:t>ou-se</w:t>
      </w:r>
      <w:r w:rsidRPr="00251127">
        <w:rPr>
          <w:rFonts w:ascii="Times New Roman" w:hAnsi="Times New Roman" w:eastAsia="Calibri" w:cs="Times New Roman"/>
        </w:rPr>
        <w:t xml:space="preserve"> pesquisa essencialmente bibliográfica e documental, com enfoque dedutivo, partindo-se dos marcos teóricos e normativos gerais sobre Direito Agrário, direitos humanos, segurança alimentar e Direito Humano à Alimentação Adequada no plano interno e internacional, para, em seguida, irem sendo analisadas sua conformação e aplicação em experiências específicas. Utiliz</w:t>
      </w:r>
      <w:r w:rsidR="00542872">
        <w:rPr>
          <w:rFonts w:ascii="Times New Roman" w:hAnsi="Times New Roman" w:eastAsia="Calibri" w:cs="Times New Roman"/>
        </w:rPr>
        <w:t>ou-s</w:t>
      </w:r>
      <w:r w:rsidRPr="00251127">
        <w:rPr>
          <w:rFonts w:ascii="Times New Roman" w:hAnsi="Times New Roman" w:eastAsia="Calibri" w:cs="Times New Roman"/>
        </w:rPr>
        <w:t>e, de forma complementar, métodos histórico e comparativo, de modo a percorrer-se a evolução do Direito Agrário desde suas raízes consuetudinárias até a conformação moderna multidisciplinar, bem como o desenvolvimento do conceito de segurança alimentar e os usos da fome como instrumento de poder em diferentes momentos históricos, com ênfase no estudo do caso contemporâneo israelense/palestino.</w:t>
      </w:r>
      <w:r w:rsidR="009C2804">
        <w:rPr>
          <w:rFonts w:ascii="Times New Roman" w:hAnsi="Times New Roman" w:eastAsia="Calibri" w:cs="Times New Roman"/>
        </w:rPr>
        <w:t xml:space="preserve"> </w:t>
      </w:r>
      <w:r w:rsidRPr="009C2804" w:rsidR="009C2804">
        <w:rPr>
          <w:rFonts w:ascii="Times New Roman" w:hAnsi="Times New Roman" w:eastAsia="Calibri" w:cs="Times New Roman"/>
        </w:rPr>
        <w:t>Serão mobilizados, ainda, relatórios de organismos internacionais, documentos oficiais e literatura especializada, permitindo cotejar o referencial normativo com realidades concretas em que o alimento é manejado como mecanismo de dominação ou resistência, acompanhando-se o movimento que leva o Direito Agrário do plano abstrato das normas ao terreno concreto dos conflitos.</w:t>
      </w:r>
    </w:p>
    <w:p w:rsidRPr="0096705A" w:rsidR="0096705A" w:rsidP="00BD153A" w:rsidRDefault="00251127" w14:paraId="4A3E02F0" w14:textId="24AA6BE5">
      <w:pPr>
        <w:pStyle w:val="Normal2"/>
        <w:spacing w:after="100" w:line="360" w:lineRule="auto"/>
        <w:ind w:right="-1"/>
        <w:jc w:val="both"/>
        <w:rPr>
          <w:rFonts w:eastAsia="Calibri"/>
          <w:b/>
          <w:bCs/>
        </w:rPr>
      </w:pPr>
      <w:r w:rsidRPr="00251127">
        <w:rPr>
          <w:rFonts w:ascii="Times New Roman" w:hAnsi="Times New Roman" w:eastAsia="Calibri" w:cs="Times New Roman"/>
        </w:rPr>
        <w:t>Nesse percurso, te</w:t>
      </w:r>
      <w:r w:rsidR="00BD153A">
        <w:rPr>
          <w:rFonts w:ascii="Times New Roman" w:hAnsi="Times New Roman" w:eastAsia="Calibri" w:cs="Times New Roman"/>
        </w:rPr>
        <w:t>m-se</w:t>
      </w:r>
      <w:r w:rsidRPr="00251127">
        <w:rPr>
          <w:rFonts w:ascii="Times New Roman" w:hAnsi="Times New Roman" w:eastAsia="Calibri" w:cs="Times New Roman"/>
        </w:rPr>
        <w:t xml:space="preserve"> por objetivo geral demonstrar que o Direito Agrário, como direito humano fundamental, poderá constituir base normativa e política para a afirmação da segurança alimentar e da soberania dos povos, contribuindo para a compreensão crítica das dinâmicas em que a fome é instrumentalizada como arma de guerra e de controle social, sem antecipar, neste momento introdutório, juízos conclusivos sobre as respostas possíveis. Como objetivos específicos, busca</w:t>
      </w:r>
      <w:r w:rsidR="00BD153A">
        <w:rPr>
          <w:rFonts w:ascii="Times New Roman" w:hAnsi="Times New Roman" w:eastAsia="Calibri" w:cs="Times New Roman"/>
        </w:rPr>
        <w:t>-se</w:t>
      </w:r>
      <w:r w:rsidRPr="00251127">
        <w:rPr>
          <w:rFonts w:ascii="Times New Roman" w:hAnsi="Times New Roman" w:eastAsia="Calibri" w:cs="Times New Roman"/>
        </w:rPr>
        <w:t>: reconstruir o desenvolvimento histórico e conceitual do Direito Agrário em sua dimensão multidisciplinar; examinar a segurança alimentar como direito humano essencial, articulado à dignidade da pessoa humana e aos marcos internacionais de proteção; analisar o alimento como elemento social, cultural e político; estudar a instrumentalização da fome em contextos de crise, com especial atenção ao caso Palestina; e discutir as contribuições do arranjo brasileiro de Direito Agrário e políticas de segurança alimentar para o enfrentamento da fome enquanto instrumento de poder no cenário internacional, deixando-se ao corpo da monografia o encargo de aprofundar e problematizar tais relações.</w:t>
      </w:r>
      <w:r w:rsidR="0096705A">
        <w:rPr>
          <w:rFonts w:eastAsia="Calibri"/>
          <w:b/>
          <w:bCs/>
        </w:rPr>
        <w:br w:type="page"/>
      </w:r>
    </w:p>
    <w:p w:rsidR="00AE00EC" w:rsidP="003C56D5" w:rsidRDefault="008D46EF" w14:paraId="294653E6" w14:textId="6E02C604">
      <w:pPr>
        <w:widowControl w:val="0"/>
        <w:tabs>
          <w:tab w:val="left" w:pos="566"/>
          <w:tab w:val="left" w:pos="620"/>
          <w:tab w:val="left" w:pos="3686"/>
        </w:tabs>
        <w:spacing w:after="100" w:line="360" w:lineRule="auto"/>
        <w:ind w:right="138"/>
        <w:jc w:val="both"/>
        <w:rPr>
          <w:b/>
          <w:color w:val="000000"/>
          <w:lang w:val="pt-PT" w:eastAsia="en-US"/>
        </w:rPr>
      </w:pPr>
      <w:r>
        <w:rPr>
          <w:b/>
          <w:color w:val="000000"/>
          <w:lang w:val="pt-PT" w:eastAsia="en-US"/>
        </w:rPr>
        <w:t>CAPÍTULO 1 O</w:t>
      </w:r>
      <w:r>
        <w:rPr>
          <w:b/>
          <w:color w:val="000000"/>
          <w:spacing w:val="36"/>
          <w:lang w:val="pt-PT" w:eastAsia="en-US"/>
        </w:rPr>
        <w:t xml:space="preserve"> </w:t>
      </w:r>
      <w:r>
        <w:rPr>
          <w:b/>
          <w:color w:val="000000"/>
          <w:lang w:val="pt-PT" w:eastAsia="en-US"/>
        </w:rPr>
        <w:t>DIREITO</w:t>
      </w:r>
      <w:r>
        <w:rPr>
          <w:b/>
          <w:color w:val="000000"/>
          <w:spacing w:val="36"/>
          <w:lang w:val="pt-PT" w:eastAsia="en-US"/>
        </w:rPr>
        <w:t xml:space="preserve"> </w:t>
      </w:r>
      <w:r>
        <w:rPr>
          <w:b/>
          <w:color w:val="000000"/>
          <w:lang w:val="pt-PT" w:eastAsia="en-US"/>
        </w:rPr>
        <w:t>AGRÁRIO</w:t>
      </w:r>
      <w:r>
        <w:rPr>
          <w:b/>
          <w:color w:val="000000"/>
          <w:spacing w:val="36"/>
          <w:lang w:val="pt-PT" w:eastAsia="en-US"/>
        </w:rPr>
        <w:t xml:space="preserve"> </w:t>
      </w:r>
      <w:r>
        <w:rPr>
          <w:b/>
          <w:color w:val="000000"/>
          <w:lang w:val="pt-PT" w:eastAsia="en-US"/>
        </w:rPr>
        <w:t>COMO</w:t>
      </w:r>
      <w:r>
        <w:rPr>
          <w:b/>
          <w:color w:val="000000"/>
          <w:spacing w:val="36"/>
          <w:lang w:val="pt-PT" w:eastAsia="en-US"/>
        </w:rPr>
        <w:t xml:space="preserve"> </w:t>
      </w:r>
      <w:r>
        <w:rPr>
          <w:b/>
          <w:color w:val="000000"/>
          <w:lang w:val="pt-PT" w:eastAsia="en-US"/>
        </w:rPr>
        <w:t>DIREITO</w:t>
      </w:r>
      <w:r>
        <w:rPr>
          <w:b/>
          <w:color w:val="000000"/>
          <w:spacing w:val="36"/>
          <w:lang w:val="pt-PT" w:eastAsia="en-US"/>
        </w:rPr>
        <w:t xml:space="preserve"> </w:t>
      </w:r>
      <w:r>
        <w:rPr>
          <w:b/>
          <w:color w:val="000000"/>
          <w:lang w:val="pt-PT" w:eastAsia="en-US"/>
        </w:rPr>
        <w:t>HUMANO</w:t>
      </w:r>
      <w:r>
        <w:rPr>
          <w:b/>
          <w:color w:val="000000"/>
          <w:spacing w:val="36"/>
          <w:lang w:val="pt-PT" w:eastAsia="en-US"/>
        </w:rPr>
        <w:t xml:space="preserve"> </w:t>
      </w:r>
      <w:r>
        <w:rPr>
          <w:b/>
          <w:color w:val="000000"/>
          <w:lang w:val="pt-PT" w:eastAsia="en-US"/>
        </w:rPr>
        <w:t>FUNDAMENTAL</w:t>
      </w:r>
      <w:r>
        <w:rPr>
          <w:b/>
          <w:color w:val="000000"/>
          <w:spacing w:val="36"/>
          <w:lang w:val="pt-PT" w:eastAsia="en-US"/>
        </w:rPr>
        <w:t xml:space="preserve"> </w:t>
      </w:r>
      <w:r>
        <w:rPr>
          <w:b/>
          <w:color w:val="000000"/>
          <w:lang w:val="pt-PT" w:eastAsia="en-US"/>
        </w:rPr>
        <w:t>E DISCIPLINA MULTIDISCIPLINAR</w:t>
      </w:r>
    </w:p>
    <w:p w:rsidRPr="003C56D5" w:rsidR="003C56D5" w:rsidP="003C56D5" w:rsidRDefault="003C56D5" w14:paraId="161498A7" w14:textId="77777777">
      <w:pPr>
        <w:widowControl w:val="0"/>
        <w:tabs>
          <w:tab w:val="left" w:pos="566"/>
          <w:tab w:val="left" w:pos="620"/>
          <w:tab w:val="left" w:pos="3686"/>
        </w:tabs>
        <w:spacing w:after="100" w:line="360" w:lineRule="auto"/>
        <w:ind w:right="138"/>
        <w:jc w:val="both"/>
        <w:rPr>
          <w:b/>
          <w:color w:val="000000"/>
          <w:lang w:val="pt-PT" w:eastAsia="en-US"/>
        </w:rPr>
      </w:pPr>
    </w:p>
    <w:p w:rsidR="000A01F5" w:rsidP="00095198" w:rsidRDefault="000A01F5" w14:paraId="3381F6ED" w14:textId="77777777">
      <w:pPr>
        <w:pStyle w:val="Normal2"/>
        <w:spacing w:after="100" w:line="360" w:lineRule="auto"/>
        <w:ind w:right="-1"/>
        <w:jc w:val="both"/>
        <w:rPr>
          <w:rFonts w:ascii="Times New Roman" w:hAnsi="Times New Roman" w:eastAsia="Calibri" w:cs="Times New Roman"/>
          <w:lang w:val="pt-PT"/>
        </w:rPr>
      </w:pPr>
    </w:p>
    <w:p w:rsidR="002449BD" w:rsidP="003C56D5" w:rsidRDefault="000A01F5" w14:paraId="34833A55" w14:textId="2F30F18C">
      <w:pPr>
        <w:pStyle w:val="Normal2"/>
        <w:suppressAutoHyphens w:val="0"/>
        <w:spacing w:after="100"/>
        <w:ind w:right="-1"/>
        <w:jc w:val="both"/>
        <w:textAlignment w:val="auto"/>
        <w:rPr>
          <w:rFonts w:ascii="Times New Roman" w:hAnsi="Times New Roman" w:eastAsia="Calibri" w:cs="Times New Roman"/>
        </w:rPr>
      </w:pPr>
      <w:r>
        <w:rPr>
          <w:rFonts w:ascii="Times New Roman" w:hAnsi="Times New Roman" w:eastAsia="Calibri" w:cs="Times New Roman"/>
        </w:rPr>
        <w:t xml:space="preserve">1.1 </w:t>
      </w:r>
      <w:r w:rsidR="008D46EF">
        <w:rPr>
          <w:rFonts w:ascii="Times New Roman" w:hAnsi="Times New Roman" w:eastAsia="Calibri" w:cs="Times New Roman"/>
        </w:rPr>
        <w:t>PANORAMA HISTÓRICO</w:t>
      </w:r>
    </w:p>
    <w:p w:rsidR="003C56D5" w:rsidP="003C56D5" w:rsidRDefault="003C56D5" w14:paraId="1512F73A" w14:textId="77777777">
      <w:pPr>
        <w:pStyle w:val="Normal2"/>
        <w:suppressAutoHyphens w:val="0"/>
        <w:spacing w:after="100"/>
        <w:ind w:right="-1"/>
        <w:jc w:val="both"/>
        <w:textAlignment w:val="auto"/>
        <w:rPr>
          <w:rFonts w:ascii="Times New Roman" w:hAnsi="Times New Roman" w:eastAsia="Calibri" w:cs="Times New Roman"/>
        </w:rPr>
      </w:pPr>
    </w:p>
    <w:p w:rsidRPr="002449BD" w:rsidR="003C56D5" w:rsidP="003C56D5" w:rsidRDefault="003C56D5" w14:paraId="7687B24D" w14:textId="77777777">
      <w:pPr>
        <w:pStyle w:val="Normal2"/>
        <w:suppressAutoHyphens w:val="0"/>
        <w:spacing w:after="100"/>
        <w:ind w:right="-1"/>
        <w:jc w:val="both"/>
        <w:textAlignment w:val="auto"/>
        <w:rPr>
          <w:rFonts w:ascii="Times New Roman" w:hAnsi="Times New Roman" w:eastAsia="Calibri" w:cs="Times New Roman"/>
        </w:rPr>
      </w:pPr>
    </w:p>
    <w:p w:rsidR="00DB48B8" w:rsidP="00095198" w:rsidRDefault="008D46EF" w14:paraId="708C536F" w14:textId="5572A137">
      <w:pPr>
        <w:spacing w:after="160" w:line="360" w:lineRule="auto"/>
        <w:jc w:val="both"/>
      </w:pPr>
      <w:r>
        <w:rPr>
          <w:rFonts w:eastAsia="Aptos"/>
          <w:color w:val="000000" w:themeColor="text1"/>
          <w:spacing w:val="1"/>
          <w:lang w:eastAsia="en-US"/>
          <w14:ligatures w14:val="standardContextual"/>
        </w:rPr>
        <w:t>A trajetória do Direito Agrário confunde-se com a própria história humana, desde o surgimento de comunidades sedentárias, passando pela Revolução Neolítica até a formação das primeiras sociedades urbanas. Ainda no período pré-histórico, a posse coletiva da terra era vital para a sobrevivência do grupo, pois a cooperação para o manejo dos recursos caça, cole</w:t>
      </w:r>
      <w:r>
        <w:rPr>
          <w:rFonts w:eastAsia="Aptos"/>
          <w:color w:val="000000"/>
          <w:spacing w:val="1"/>
          <w:lang w:eastAsia="en-US"/>
          <w14:ligatures w14:val="standardContextual"/>
        </w:rPr>
        <w:t xml:space="preserve">ta e, posteriormente, cultivo garantia a segurança alimentar (Wolkmer, 2001). O Direito Agrário, nessa origem ancestral, aparece como expressão das regras morais e tradições compartilhadas, que impunham limites à apropriação individual e asseguravam o usufruto comum do solo e dos frutos, como destaca Alvarenga (1985). </w:t>
      </w:r>
      <w:bookmarkStart w:name="OLE_LINK2" w:id="0"/>
      <w:r>
        <w:rPr>
          <w:rFonts w:eastAsia="Aptos"/>
          <w:color w:val="000000" w:themeColor="text1"/>
          <w:spacing w:val="1"/>
          <w:lang w:eastAsia="en-US"/>
          <w14:ligatures w14:val="standardContextual"/>
        </w:rPr>
        <w:t>A passagem da ocupação transitória para o enraizamento territorial marca o ponto de origem do direito agrário. É nesse momento que se consolida sua função essencial</w:t>
      </w:r>
      <w:r w:rsidR="00672C03">
        <w:rPr>
          <w:rFonts w:eastAsia="Aptos"/>
          <w:color w:val="000000" w:themeColor="text1"/>
          <w:spacing w:val="1"/>
          <w:lang w:eastAsia="en-US"/>
          <w14:ligatures w14:val="standardContextual"/>
        </w:rPr>
        <w:t>,</w:t>
      </w:r>
      <w:r>
        <w:rPr>
          <w:rFonts w:eastAsia="Aptos"/>
          <w:color w:val="000000" w:themeColor="text1"/>
          <w:spacing w:val="1"/>
          <w:lang w:eastAsia="en-US"/>
          <w14:ligatures w14:val="standardContextual"/>
        </w:rPr>
        <w:t xml:space="preserve"> estruturar e equilibrar a forma c</w:t>
      </w:r>
      <w:r>
        <w:rPr>
          <w:rFonts w:eastAsia="Aptos"/>
          <w:color w:val="000000"/>
          <w:spacing w:val="1"/>
          <w:lang w:eastAsia="en-US"/>
          <w14:ligatures w14:val="standardContextual"/>
        </w:rPr>
        <w:t>omo a sociedade organiza, reparte e assegura o uso coletivo dos bens indispensáveis à produção e à sobrevivência comum</w:t>
      </w:r>
      <w:r w:rsidR="00672C03">
        <w:rPr>
          <w:rFonts w:eastAsia="Aptos"/>
          <w:color w:val="000000"/>
          <w:spacing w:val="1"/>
          <w:lang w:eastAsia="en-US"/>
          <w14:ligatures w14:val="standardContextual"/>
        </w:rPr>
        <w:t xml:space="preserve"> </w:t>
      </w:r>
      <w:r w:rsidR="00672C03">
        <w:rPr>
          <w:rFonts w:eastAsia="Aptos"/>
          <w:color w:val="000000" w:themeColor="text1"/>
          <w:spacing w:val="1"/>
          <w:lang w:eastAsia="en-US"/>
          <w14:ligatures w14:val="standardContextual"/>
        </w:rPr>
        <w:t>(Marques, 2015).</w:t>
      </w:r>
      <w:r w:rsidR="00133F2B">
        <w:rPr>
          <w:rFonts w:eastAsia="Aptos"/>
          <w:color w:val="000000" w:themeColor="text1"/>
          <w:spacing w:val="1"/>
          <w:lang w:eastAsia="en-US"/>
          <w14:ligatures w14:val="standardContextual"/>
        </w:rPr>
        <w:t xml:space="preserve"> </w:t>
      </w:r>
    </w:p>
    <w:bookmarkEnd w:id="0"/>
    <w:p w:rsidR="00FD650F" w:rsidP="00095198" w:rsidRDefault="008D46EF" w14:paraId="6AAA9B80" w14:textId="1C27BD49">
      <w:pPr>
        <w:spacing w:after="160" w:line="360" w:lineRule="auto"/>
        <w:jc w:val="both"/>
        <w:rPr>
          <w:rFonts w:eastAsia="Aptos"/>
          <w:color w:val="000000" w:themeColor="text1"/>
          <w:spacing w:val="1"/>
          <w:lang w:eastAsia="en-US"/>
          <w14:ligatures w14:val="standardContextual"/>
        </w:rPr>
      </w:pPr>
      <w:r>
        <w:rPr>
          <w:rFonts w:eastAsia="Aptos"/>
          <w:color w:val="000000" w:themeColor="text1"/>
          <w:spacing w:val="1"/>
          <w:lang w:eastAsia="en-US"/>
          <w14:ligatures w14:val="standardContextual"/>
        </w:rPr>
        <w:t xml:space="preserve">No surgimento das primeiras normas jurídicas, destacam-se legislações da Antiguidade Oriental. O Código de </w:t>
      </w:r>
      <w:r w:rsidRPr="003974C0">
        <w:rPr>
          <w:rFonts w:eastAsia="Aptos"/>
          <w:i/>
          <w:iCs/>
          <w:color w:val="000000" w:themeColor="text1"/>
          <w:spacing w:val="1"/>
          <w:lang w:eastAsia="en-US"/>
          <w14:ligatures w14:val="standardContextual"/>
        </w:rPr>
        <w:t>Ur-Nammu</w:t>
      </w:r>
      <w:r>
        <w:rPr>
          <w:rFonts w:eastAsia="Aptos"/>
          <w:color w:val="000000" w:themeColor="text1"/>
          <w:spacing w:val="1"/>
          <w:lang w:eastAsia="en-US"/>
          <w14:ligatures w14:val="standardContextual"/>
        </w:rPr>
        <w:t xml:space="preserve"> (Suméria, c. 2100 a.C.) é apontado como o primeiro registro legal, tratando de heranças e obrigações do camponês, como a obrigação de reparar danos causados a outrem pelo uso da terra. O Código de </w:t>
      </w:r>
      <w:r w:rsidRPr="003974C0">
        <w:rPr>
          <w:rFonts w:eastAsia="Aptos"/>
          <w:i/>
          <w:iCs/>
          <w:color w:val="000000" w:themeColor="text1"/>
          <w:spacing w:val="1"/>
          <w:lang w:eastAsia="en-US"/>
          <w14:ligatures w14:val="standardContextual"/>
        </w:rPr>
        <w:t>Lipit Ishtar</w:t>
      </w:r>
      <w:r>
        <w:rPr>
          <w:rFonts w:eastAsia="Aptos"/>
          <w:color w:val="000000" w:themeColor="text1"/>
          <w:spacing w:val="1"/>
          <w:lang w:eastAsia="en-US"/>
          <w14:ligatures w14:val="standardContextual"/>
        </w:rPr>
        <w:t xml:space="preserve"> (Babilônia, c. 1934-1924 a.C.) traz artigos como o 24º, que regula o empréstimo de sementes e a obrigação de restituir caso a lavoura falhe, demonstrando a preocupação com justiça e proteção dos mais vulneráveis. (</w:t>
      </w:r>
      <w:r w:rsidR="00C45742">
        <w:rPr>
          <w:rFonts w:eastAsia="Aptos"/>
          <w:color w:val="000000" w:themeColor="text1"/>
          <w:spacing w:val="1"/>
          <w:lang w:eastAsia="en-US"/>
          <w14:ligatures w14:val="standardContextual"/>
        </w:rPr>
        <w:t xml:space="preserve">Denicol; </w:t>
      </w:r>
      <w:r w:rsidRPr="00C45742" w:rsidR="00C45742">
        <w:rPr>
          <w:rFonts w:eastAsia="Aptos"/>
          <w:color w:val="000000" w:themeColor="text1"/>
          <w:spacing w:val="1"/>
          <w:lang w:eastAsia="en-US"/>
          <w14:ligatures w14:val="standardContextual"/>
        </w:rPr>
        <w:t>Bittencourt</w:t>
      </w:r>
      <w:r>
        <w:rPr>
          <w:rFonts w:eastAsia="Aptos"/>
          <w:color w:val="000000" w:themeColor="text1"/>
          <w:spacing w:val="1"/>
          <w:lang w:eastAsia="en-US"/>
          <w14:ligatures w14:val="standardContextual"/>
        </w:rPr>
        <w:t xml:space="preserve">, </w:t>
      </w:r>
      <w:r w:rsidR="00C45742">
        <w:rPr>
          <w:rFonts w:eastAsia="Aptos"/>
          <w:color w:val="000000" w:themeColor="text1"/>
          <w:spacing w:val="1"/>
          <w:lang w:eastAsia="en-US"/>
          <w14:ligatures w14:val="standardContextual"/>
        </w:rPr>
        <w:t>2019</w:t>
      </w:r>
      <w:r>
        <w:rPr>
          <w:rFonts w:eastAsia="Aptos"/>
          <w:color w:val="000000" w:themeColor="text1"/>
          <w:spacing w:val="1"/>
          <w:lang w:eastAsia="en-US"/>
          <w14:ligatures w14:val="standardContextual"/>
        </w:rPr>
        <w:t>)</w:t>
      </w:r>
      <w:r w:rsidR="00FD650F">
        <w:rPr>
          <w:rFonts w:eastAsia="Aptos"/>
          <w:color w:val="000000" w:themeColor="text1"/>
          <w:spacing w:val="1"/>
          <w:lang w:eastAsia="en-US"/>
          <w14:ligatures w14:val="standardContextual"/>
        </w:rPr>
        <w:t>.</w:t>
      </w:r>
    </w:p>
    <w:p w:rsidRPr="00672C03" w:rsidR="00DB48B8" w:rsidP="00095198" w:rsidRDefault="009272F9" w14:paraId="708C5373" w14:textId="7E431A04">
      <w:pPr>
        <w:spacing w:after="160" w:line="360" w:lineRule="auto"/>
        <w:jc w:val="both"/>
        <w:rPr>
          <w:rFonts w:eastAsia="Aptos"/>
          <w:color w:val="000000" w:themeColor="text1"/>
          <w:spacing w:val="1"/>
          <w:lang w:eastAsia="en-US"/>
          <w14:ligatures w14:val="standardContextual"/>
        </w:rPr>
      </w:pPr>
      <w:r>
        <w:rPr>
          <w:rFonts w:eastAsia="Aptos"/>
          <w:color w:val="000000" w:themeColor="text1"/>
          <w:spacing w:val="1"/>
          <w:lang w:eastAsia="en-US"/>
          <w14:ligatures w14:val="standardContextual"/>
        </w:rPr>
        <w:t>No</w:t>
      </w:r>
      <w:r w:rsidR="008D46EF">
        <w:rPr>
          <w:rFonts w:eastAsia="Aptos"/>
          <w:color w:val="000000" w:themeColor="text1"/>
          <w:spacing w:val="1"/>
          <w:lang w:eastAsia="en-US"/>
          <w14:ligatures w14:val="standardContextual"/>
        </w:rPr>
        <w:t xml:space="preserve"> Código de Hamurabi (c. 1750 a.C.), </w:t>
      </w:r>
      <w:r w:rsidR="00672C03">
        <w:rPr>
          <w:rFonts w:eastAsia="Aptos"/>
          <w:color w:val="000000" w:themeColor="text1"/>
          <w:spacing w:val="1"/>
          <w:lang w:eastAsia="en-US"/>
          <w14:ligatures w14:val="standardContextual"/>
        </w:rPr>
        <w:t xml:space="preserve">intitulado como </w:t>
      </w:r>
      <w:r w:rsidR="008D46EF">
        <w:rPr>
          <w:rFonts w:eastAsia="Aptos"/>
          <w:color w:val="000000" w:themeColor="text1"/>
          <w:spacing w:val="1"/>
          <w:lang w:eastAsia="en-US"/>
          <w14:ligatures w14:val="standardContextual"/>
        </w:rPr>
        <w:t>“primeiro</w:t>
      </w:r>
      <w:r w:rsidR="003974C0">
        <w:rPr>
          <w:rFonts w:eastAsia="Aptos"/>
          <w:color w:val="000000" w:themeColor="text1"/>
          <w:spacing w:val="1"/>
          <w:lang w:eastAsia="en-US"/>
          <w14:ligatures w14:val="standardContextual"/>
        </w:rPr>
        <w:t xml:space="preserve"> </w:t>
      </w:r>
      <w:r w:rsidR="008D46EF">
        <w:rPr>
          <w:rFonts w:eastAsia="Aptos"/>
          <w:color w:val="000000" w:themeColor="text1"/>
          <w:spacing w:val="1"/>
          <w:lang w:eastAsia="en-US"/>
          <w14:ligatures w14:val="standardContextual"/>
        </w:rPr>
        <w:t xml:space="preserve">Código Agrário da </w:t>
      </w:r>
      <w:r w:rsidR="003974C0">
        <w:rPr>
          <w:rFonts w:eastAsia="Aptos"/>
          <w:color w:val="000000" w:themeColor="text1"/>
          <w:spacing w:val="1"/>
          <w:lang w:eastAsia="en-US"/>
          <w14:ligatures w14:val="standardContextual"/>
        </w:rPr>
        <w:t>H</w:t>
      </w:r>
      <w:r w:rsidR="008D46EF">
        <w:rPr>
          <w:rFonts w:eastAsia="Aptos"/>
          <w:color w:val="000000" w:themeColor="text1"/>
          <w:spacing w:val="1"/>
          <w:lang w:eastAsia="en-US"/>
          <w14:ligatures w14:val="standardContextual"/>
        </w:rPr>
        <w:t>umanidade”</w:t>
      </w:r>
      <w:r w:rsidR="00672C03">
        <w:rPr>
          <w:rFonts w:eastAsia="Aptos"/>
          <w:color w:val="000000" w:themeColor="text1"/>
          <w:spacing w:val="1"/>
          <w:lang w:eastAsia="en-US"/>
          <w14:ligatures w14:val="standardContextual"/>
        </w:rPr>
        <w:t xml:space="preserve"> (</w:t>
      </w:r>
      <w:r w:rsidR="003974C0">
        <w:rPr>
          <w:rFonts w:eastAsia="Aptos"/>
          <w:color w:val="000000" w:themeColor="text1"/>
          <w:spacing w:val="1"/>
          <w:lang w:eastAsia="en-US"/>
          <w14:ligatures w14:val="standardContextual"/>
        </w:rPr>
        <w:t xml:space="preserve">Miranda </w:t>
      </w:r>
      <w:r w:rsidR="003974C0">
        <w:rPr>
          <w:rFonts w:eastAsia="Aptos"/>
          <w:i/>
          <w:iCs/>
          <w:color w:val="000000" w:themeColor="text1"/>
          <w:spacing w:val="1"/>
          <w:lang w:eastAsia="en-US"/>
          <w14:ligatures w14:val="standardContextual"/>
        </w:rPr>
        <w:t xml:space="preserve">apud </w:t>
      </w:r>
      <w:r w:rsidR="003974C0">
        <w:rPr>
          <w:rFonts w:eastAsia="Aptos"/>
          <w:color w:val="000000" w:themeColor="text1"/>
          <w:spacing w:val="1"/>
          <w:lang w:eastAsia="en-US"/>
          <w14:ligatures w14:val="standardContextual"/>
        </w:rPr>
        <w:t>Marques, 2015, pág. 2</w:t>
      </w:r>
      <w:r w:rsidR="00672C03">
        <w:rPr>
          <w:rFonts w:eastAsia="Aptos"/>
          <w:color w:val="000000" w:themeColor="text1"/>
          <w:spacing w:val="1"/>
          <w:lang w:eastAsia="en-US"/>
          <w14:ligatures w14:val="standardContextual"/>
        </w:rPr>
        <w:t>)</w:t>
      </w:r>
      <w:r w:rsidR="008D46EF">
        <w:rPr>
          <w:rFonts w:eastAsia="Aptos"/>
          <w:color w:val="000000" w:themeColor="text1"/>
          <w:spacing w:val="1"/>
          <w:lang w:eastAsia="en-US"/>
          <w14:ligatures w14:val="standardContextual"/>
        </w:rPr>
        <w:t>, encontram-se dispositivos diretamente ligados ao tema agrário e à função social da terra:</w:t>
      </w:r>
    </w:p>
    <w:p w:rsidRPr="00C42822" w:rsidR="00DB48B8" w:rsidP="00863219" w:rsidRDefault="008D46EF" w14:paraId="708C5374" w14:textId="15C4DB27">
      <w:pPr>
        <w:tabs>
          <w:tab w:val="num" w:pos="2268"/>
        </w:tabs>
        <w:spacing w:after="160" w:line="360" w:lineRule="auto"/>
        <w:ind w:left="2268"/>
        <w:jc w:val="both"/>
        <w:rPr>
          <w:sz w:val="20"/>
          <w:szCs w:val="20"/>
        </w:rPr>
      </w:pPr>
      <w:r w:rsidRPr="00C42822">
        <w:rPr>
          <w:rFonts w:eastAsia="Aptos"/>
          <w:color w:val="000000" w:themeColor="text1"/>
          <w:sz w:val="20"/>
          <w:szCs w:val="20"/>
          <w:lang w:eastAsia="en-US"/>
          <w14:ligatures w14:val="standardContextual"/>
        </w:rPr>
        <w:t xml:space="preserve">Art. 42º: “Se alguém tomar um campo para cultivar e não plantar nada nesse campo, ele deverá pagar ao dono o dinheiro do arrendamento, de acordo com o produto do campo vizinho” A leitura do dispositivo permite identificar indícios de uma noção embrionária de função social da propriedade, na medida em que a posse sem aproveitamento </w:t>
      </w:r>
      <w:r w:rsidRPr="00C42822" w:rsidR="00863219">
        <w:rPr>
          <w:rFonts w:eastAsia="Aptos"/>
          <w:color w:val="000000" w:themeColor="text1"/>
          <w:sz w:val="20"/>
          <w:szCs w:val="20"/>
          <w:lang w:eastAsia="en-US"/>
          <w14:ligatures w14:val="standardContextual"/>
        </w:rPr>
        <w:t>produtivo</w:t>
      </w:r>
      <w:r w:rsidRPr="00C42822">
        <w:rPr>
          <w:rFonts w:eastAsia="Aptos"/>
          <w:color w:val="000000" w:themeColor="text1"/>
          <w:sz w:val="20"/>
          <w:szCs w:val="20"/>
          <w:lang w:eastAsia="en-US"/>
          <w14:ligatures w14:val="standardContextual"/>
        </w:rPr>
        <w:t xml:space="preserve"> tende a ser vista como destituída de plena legitimidade</w:t>
      </w:r>
      <w:r w:rsidR="004E3FB2">
        <w:rPr>
          <w:rFonts w:eastAsia="Aptos"/>
          <w:color w:val="000000" w:themeColor="text1"/>
          <w:sz w:val="20"/>
          <w:szCs w:val="20"/>
          <w:lang w:eastAsia="en-US"/>
          <w14:ligatures w14:val="standardContextual"/>
        </w:rPr>
        <w:t xml:space="preserve"> </w:t>
      </w:r>
      <w:r w:rsidRPr="00C42822">
        <w:rPr>
          <w:sz w:val="20"/>
          <w:szCs w:val="20"/>
        </w:rPr>
        <w:t>(DHNET, 2025)</w:t>
      </w:r>
      <w:r w:rsidR="004E3FB2">
        <w:rPr>
          <w:sz w:val="20"/>
          <w:szCs w:val="20"/>
        </w:rPr>
        <w:t>.</w:t>
      </w:r>
    </w:p>
    <w:p w:rsidRPr="00C42822" w:rsidR="00DB48B8" w:rsidP="00863219" w:rsidRDefault="008D46EF" w14:paraId="708C5375" w14:textId="09DA2E00">
      <w:pPr>
        <w:tabs>
          <w:tab w:val="num" w:pos="2268"/>
        </w:tabs>
        <w:spacing w:after="160" w:line="360" w:lineRule="auto"/>
        <w:ind w:left="2268"/>
        <w:jc w:val="both"/>
        <w:rPr>
          <w:sz w:val="20"/>
          <w:szCs w:val="20"/>
        </w:rPr>
      </w:pPr>
      <w:r w:rsidRPr="00C42822">
        <w:rPr>
          <w:rFonts w:eastAsia="Aptos"/>
          <w:color w:val="000000" w:themeColor="text1"/>
          <w:sz w:val="20"/>
          <w:szCs w:val="20"/>
          <w:lang w:eastAsia="en-US"/>
          <w14:ligatures w14:val="standardContextual"/>
        </w:rPr>
        <w:t xml:space="preserve">Art. 53º: “Se alguém for negligente, e não vigiar o seu dique, e o dique for aberto e a água inundar o campo dos vizinhos, ele deverá indenizar os danos de grãos”. A coletivização do risco hídrico revela que o interesse público está acima da liberdade </w:t>
      </w:r>
      <w:r w:rsidRPr="00C42822" w:rsidR="003A2955">
        <w:rPr>
          <w:rFonts w:eastAsia="Aptos"/>
          <w:color w:val="000000" w:themeColor="text1"/>
          <w:sz w:val="20"/>
          <w:szCs w:val="20"/>
          <w:lang w:eastAsia="en-US"/>
          <w14:ligatures w14:val="standardContextual"/>
        </w:rPr>
        <w:t>individual</w:t>
      </w:r>
      <w:r w:rsidR="004E3FB2">
        <w:rPr>
          <w:rFonts w:eastAsia="Aptos"/>
          <w:color w:val="000000" w:themeColor="text1"/>
          <w:sz w:val="20"/>
          <w:szCs w:val="20"/>
          <w:lang w:eastAsia="en-US"/>
          <w14:ligatures w14:val="standardContextual"/>
        </w:rPr>
        <w:t xml:space="preserve"> </w:t>
      </w:r>
      <w:r w:rsidRPr="00C42822" w:rsidR="003A2955">
        <w:rPr>
          <w:sz w:val="20"/>
          <w:szCs w:val="20"/>
        </w:rPr>
        <w:t>(</w:t>
      </w:r>
      <w:r w:rsidRPr="00C42822">
        <w:rPr>
          <w:sz w:val="20"/>
          <w:szCs w:val="20"/>
        </w:rPr>
        <w:t>DHNET, 2025)</w:t>
      </w:r>
      <w:r w:rsidR="004E3FB2">
        <w:rPr>
          <w:sz w:val="20"/>
          <w:szCs w:val="20"/>
        </w:rPr>
        <w:t>.</w:t>
      </w:r>
    </w:p>
    <w:p w:rsidRPr="00244900" w:rsidR="00EB0830" w:rsidP="00095198" w:rsidRDefault="00EB0830" w14:paraId="26E61ACB" w14:textId="4CF1AF20">
      <w:pPr>
        <w:spacing w:after="160" w:line="360" w:lineRule="auto"/>
        <w:jc w:val="both"/>
      </w:pPr>
      <w:bookmarkStart w:name="OLE_LINK7" w:id="1"/>
      <w:r w:rsidRPr="00244900">
        <w:t>Essas normas revelam que, há 4000 anos, o ordenamento rural já promovia justiça distributiva, função pública das águas e proteção entre vizinhos. Assim, o Direito Agrário nasce para disciplinar o uso de recursos vitais à sociedade, garantindo o coletivo e corrigindo injustiças. “</w:t>
      </w:r>
      <w:r w:rsidRPr="00E324DB" w:rsidR="00E324DB">
        <w:t>É sabido que o Código de Hamurabi, datado aproximadamente do século XVII a.C., trazia em seu bojo normas agrárias bem definidas</w:t>
      </w:r>
      <w:r w:rsidR="00E324DB">
        <w:t>.</w:t>
      </w:r>
      <w:r w:rsidRPr="00244900">
        <w:t>”</w:t>
      </w:r>
      <w:r w:rsidR="00E324DB">
        <w:t xml:space="preserve"> </w:t>
      </w:r>
      <w:r w:rsidRPr="00244900" w:rsidR="008D46EF">
        <w:rPr>
          <w:rFonts w:eastAsia="Aptos"/>
          <w:color w:val="000000" w:themeColor="text1"/>
          <w:lang w:eastAsia="en-US"/>
          <w14:ligatures w14:val="standardContextual"/>
        </w:rPr>
        <w:t>(</w:t>
      </w:r>
      <w:r w:rsidR="00E324DB">
        <w:rPr>
          <w:rFonts w:eastAsia="Aptos"/>
          <w:color w:val="000000" w:themeColor="text1"/>
          <w:lang w:eastAsia="en-US"/>
          <w14:ligatures w14:val="standardContextual"/>
        </w:rPr>
        <w:t>Maniglia, 2009, pág. 29</w:t>
      </w:r>
      <w:r w:rsidRPr="00244900" w:rsidR="008D46EF">
        <w:rPr>
          <w:rFonts w:eastAsia="Aptos"/>
          <w:color w:val="000000" w:themeColor="text1"/>
          <w:lang w:eastAsia="en-US"/>
          <w14:ligatures w14:val="standardContextual"/>
        </w:rPr>
        <w:t>).</w:t>
      </w:r>
      <w:bookmarkEnd w:id="1"/>
    </w:p>
    <w:p w:rsidR="00DB48B8" w:rsidP="00095198" w:rsidRDefault="008D46EF" w14:paraId="708C5378" w14:textId="588CA406">
      <w:pPr>
        <w:spacing w:after="160" w:line="360" w:lineRule="auto"/>
        <w:jc w:val="both"/>
      </w:pPr>
      <w:r>
        <w:rPr>
          <w:rFonts w:eastAsia="Aptos"/>
          <w:color w:val="000000" w:themeColor="text1"/>
          <w:spacing w:val="1"/>
          <w:lang w:eastAsia="en-US"/>
          <w14:ligatures w14:val="standardContextual"/>
        </w:rPr>
        <w:t xml:space="preserve">No Egito Antigo, a terra, formalmente posse do faraó, era concedida a nobres e sacerdotes mediante produtividade e serviço ao Estado. Os papiros de Hermópolis mencionam a obrigatoriedade do cultivo e as punições para abandono do solo, ligando gestão agrária ao abastecimento coletivo (Wolkmer, 2001). </w:t>
      </w:r>
      <w:r w:rsidRPr="009272F9" w:rsidR="009272F9">
        <w:rPr>
          <w:rFonts w:eastAsia="Aptos"/>
          <w:color w:val="000000" w:themeColor="text1"/>
          <w:spacing w:val="1"/>
          <w:lang w:eastAsia="en-US"/>
          <w14:ligatures w14:val="standardContextual"/>
        </w:rPr>
        <w:t>No direito mosaico, atribuído a Moisés, encontram-se passagens que relacionam a terra à justiça, como no trecho “A justiça seguirás, para que vivas e possuas a terra que te dará o Senhor teu Deus” (Deuteronômio 16:20), o que demonstra que a terra assumia função moral, social e religiosa.</w:t>
      </w:r>
    </w:p>
    <w:p w:rsidR="00DB48B8" w:rsidP="00095198" w:rsidRDefault="00E621CE" w14:paraId="708C5379" w14:textId="52C43FD6">
      <w:pPr>
        <w:spacing w:after="160" w:line="360" w:lineRule="auto"/>
        <w:jc w:val="both"/>
      </w:pPr>
      <w:r>
        <w:rPr>
          <w:rFonts w:eastAsia="Aptos"/>
          <w:color w:val="000000" w:themeColor="text1"/>
          <w:spacing w:val="1"/>
          <w:lang w:eastAsia="en-US"/>
          <w14:ligatures w14:val="standardContextual"/>
        </w:rPr>
        <w:t xml:space="preserve">Ao olharmos para a </w:t>
      </w:r>
      <w:r w:rsidR="008D46EF">
        <w:rPr>
          <w:rFonts w:eastAsia="Aptos"/>
          <w:color w:val="000000" w:themeColor="text1"/>
          <w:spacing w:val="1"/>
          <w:lang w:eastAsia="en-US"/>
          <w14:ligatures w14:val="standardContextual"/>
        </w:rPr>
        <w:t xml:space="preserve">Grécia Antiga, </w:t>
      </w:r>
      <w:r w:rsidR="009272F9">
        <w:rPr>
          <w:rFonts w:eastAsia="Aptos"/>
          <w:color w:val="000000" w:themeColor="text1"/>
          <w:spacing w:val="1"/>
          <w:lang w:eastAsia="en-US"/>
          <w14:ligatures w14:val="standardContextual"/>
        </w:rPr>
        <w:t>a</w:t>
      </w:r>
      <w:r w:rsidR="008D46EF">
        <w:rPr>
          <w:rFonts w:eastAsia="Aptos"/>
          <w:color w:val="000000" w:themeColor="text1"/>
          <w:spacing w:val="1"/>
          <w:lang w:eastAsia="en-US"/>
          <w14:ligatures w14:val="standardContextual"/>
        </w:rPr>
        <w:t xml:space="preserve"> legislação de </w:t>
      </w:r>
      <w:r w:rsidRPr="00E324DB" w:rsidR="008D46EF">
        <w:rPr>
          <w:rFonts w:eastAsia="Aptos"/>
          <w:color w:val="000000" w:themeColor="text1"/>
          <w:spacing w:val="1"/>
          <w:lang w:eastAsia="en-US"/>
          <w14:ligatures w14:val="standardContextual"/>
        </w:rPr>
        <w:t>Drácon</w:t>
      </w:r>
      <w:r w:rsidR="008D46EF">
        <w:rPr>
          <w:rFonts w:eastAsia="Aptos"/>
          <w:color w:val="000000" w:themeColor="text1"/>
          <w:spacing w:val="1"/>
          <w:lang w:eastAsia="en-US"/>
          <w14:ligatures w14:val="standardContextual"/>
        </w:rPr>
        <w:t xml:space="preserve"> (c. 621 a.C.) instituiu penas severas para usurpações e inadimplência com a terra; depois, Sólon (c. 594 a.C.) decretou a “libertação dos corpos” </w:t>
      </w:r>
      <w:r w:rsidR="008D46EF">
        <w:rPr>
          <w:rFonts w:eastAsia="Aptos"/>
          <w:i/>
          <w:iCs/>
          <w:color w:val="000000" w:themeColor="text1"/>
          <w:spacing w:val="1"/>
          <w:lang w:eastAsia="en-US"/>
          <w14:ligatures w14:val="standardContextual"/>
        </w:rPr>
        <w:t>(seisachtheia)</w:t>
      </w:r>
      <w:r w:rsidR="008D46EF">
        <w:rPr>
          <w:rFonts w:eastAsia="Aptos"/>
          <w:color w:val="000000" w:themeColor="text1"/>
          <w:spacing w:val="1"/>
          <w:lang w:eastAsia="en-US"/>
          <w14:ligatures w14:val="standardContextual"/>
        </w:rPr>
        <w:t>, abolindo a escravidão por dívida e redistribuindo terras</w:t>
      </w:r>
      <w:bookmarkStart w:name="OLE_LINK4" w:id="2"/>
      <w:r>
        <w:rPr>
          <w:rFonts w:eastAsia="Aptos"/>
          <w:color w:val="000000" w:themeColor="text1"/>
          <w:spacing w:val="1"/>
          <w:lang w:eastAsia="en-US"/>
          <w14:ligatures w14:val="standardContextual"/>
        </w:rPr>
        <w:t xml:space="preserve"> </w:t>
      </w:r>
      <w:r w:rsidR="008D46EF">
        <w:rPr>
          <w:rFonts w:eastAsia="Aptos"/>
          <w:color w:val="000000" w:themeColor="text1"/>
          <w:spacing w:val="1"/>
          <w:lang w:eastAsia="en-US"/>
          <w14:ligatures w14:val="standardContextual"/>
        </w:rPr>
        <w:t>(Wolkmer, 2001).</w:t>
      </w:r>
      <w:r>
        <w:rPr>
          <w:rFonts w:eastAsia="Aptos"/>
          <w:color w:val="000000" w:themeColor="text1"/>
          <w:spacing w:val="1"/>
          <w:lang w:eastAsia="en-US"/>
          <w14:ligatures w14:val="standardContextual"/>
        </w:rPr>
        <w:t xml:space="preserve"> Assim </w:t>
      </w:r>
      <w:r w:rsidR="008D46EF">
        <w:rPr>
          <w:rFonts w:eastAsia="Aptos"/>
          <w:color w:val="000000" w:themeColor="text1"/>
          <w:spacing w:val="1"/>
          <w:lang w:eastAsia="en-US"/>
          <w14:ligatures w14:val="standardContextual"/>
        </w:rPr>
        <w:t>os conflitos pela terra na Grécia institucionalizam o direito agrário como questão fundamental da democracia e do exercício do poder</w:t>
      </w:r>
      <w:bookmarkEnd w:id="2"/>
      <w:r w:rsidR="008D46EF">
        <w:rPr>
          <w:rFonts w:eastAsia="Aptos"/>
          <w:color w:val="000000" w:themeColor="text1"/>
          <w:spacing w:val="1"/>
          <w:lang w:eastAsia="en-US"/>
          <w14:ligatures w14:val="standardContextual"/>
        </w:rPr>
        <w:t xml:space="preserve"> (Marques, 201</w:t>
      </w:r>
      <w:r w:rsidR="00461FF1">
        <w:rPr>
          <w:rFonts w:eastAsia="Aptos"/>
          <w:color w:val="000000" w:themeColor="text1"/>
          <w:spacing w:val="1"/>
          <w:lang w:eastAsia="en-US"/>
          <w14:ligatures w14:val="standardContextual"/>
        </w:rPr>
        <w:t>5</w:t>
      </w:r>
      <w:r w:rsidR="008D46EF">
        <w:rPr>
          <w:rFonts w:eastAsia="Aptos"/>
          <w:color w:val="000000" w:themeColor="text1"/>
          <w:spacing w:val="1"/>
          <w:lang w:eastAsia="en-US"/>
          <w14:ligatures w14:val="standardContextual"/>
        </w:rPr>
        <w:t>)</w:t>
      </w:r>
      <w:r w:rsidR="005A006C">
        <w:rPr>
          <w:rFonts w:eastAsia="Aptos"/>
          <w:color w:val="000000" w:themeColor="text1"/>
          <w:spacing w:val="1"/>
          <w:lang w:eastAsia="en-US"/>
          <w14:ligatures w14:val="standardContextual"/>
        </w:rPr>
        <w:t>.</w:t>
      </w:r>
    </w:p>
    <w:p w:rsidR="00DB48B8" w:rsidP="00095198" w:rsidRDefault="008D46EF" w14:paraId="708C537E" w14:textId="6BA19B94">
      <w:pPr>
        <w:spacing w:after="160" w:line="360" w:lineRule="auto"/>
        <w:jc w:val="both"/>
      </w:pPr>
      <w:r>
        <w:rPr>
          <w:rFonts w:eastAsia="Aptos"/>
          <w:color w:val="000000" w:themeColor="text1"/>
          <w:spacing w:val="1"/>
          <w:lang w:eastAsia="en-US"/>
          <w14:ligatures w14:val="standardContextual"/>
        </w:rPr>
        <w:t xml:space="preserve">O Direito Romano marca um salto de sofisticação e densidade na regulação do campo e na compreensão da terra como questão estrutural de justiça social, poder político e progresso econômico. Desde a República arcaica, destaca-se a existência </w:t>
      </w:r>
      <w:r w:rsidRPr="005A6685">
        <w:rPr>
          <w:rFonts w:eastAsia="Aptos"/>
          <w:color w:val="000000" w:themeColor="text1"/>
          <w:spacing w:val="1"/>
          <w:lang w:eastAsia="en-US"/>
          <w14:ligatures w14:val="standardContextual"/>
        </w:rPr>
        <w:t>do a</w:t>
      </w:r>
      <w:r w:rsidRPr="005A6685">
        <w:rPr>
          <w:rFonts w:eastAsia="Aptos"/>
          <w:i/>
          <w:iCs/>
          <w:color w:val="000000" w:themeColor="text1"/>
          <w:spacing w:val="1"/>
          <w:lang w:eastAsia="en-US"/>
          <w14:ligatures w14:val="standardContextual"/>
        </w:rPr>
        <w:t>ger publicus</w:t>
      </w:r>
      <w:r w:rsidRPr="005A6685">
        <w:rPr>
          <w:rFonts w:eastAsia="Aptos"/>
          <w:color w:val="000000" w:themeColor="text1"/>
          <w:spacing w:val="1"/>
          <w:lang w:eastAsia="en-US"/>
          <w14:ligatures w14:val="standardContextual"/>
        </w:rPr>
        <w:t>:</w:t>
      </w:r>
      <w:r>
        <w:rPr>
          <w:rFonts w:eastAsia="Aptos"/>
          <w:color w:val="000000" w:themeColor="text1"/>
          <w:spacing w:val="1"/>
          <w:lang w:eastAsia="en-US"/>
          <w14:ligatures w14:val="standardContextual"/>
        </w:rPr>
        <w:t xml:space="preserve"> terras públicas, conquistadas ou herdadas pelo Estado, distribuídas em parte à elite patrícia e, em pequena parcela, à plebe. </w:t>
      </w:r>
      <w:r w:rsidRPr="00707609">
        <w:rPr>
          <w:rFonts w:eastAsia="Aptos"/>
          <w:color w:val="000000" w:themeColor="text1"/>
          <w:spacing w:val="1"/>
          <w:lang w:eastAsia="en-US"/>
          <w14:ligatures w14:val="standardContextual"/>
        </w:rPr>
        <w:t xml:space="preserve">O corpus dos </w:t>
      </w:r>
      <w:r w:rsidRPr="00707609">
        <w:rPr>
          <w:rFonts w:eastAsia="Aptos"/>
          <w:i/>
          <w:spacing w:val="1"/>
          <w:lang w:eastAsia="en-US"/>
          <w14:ligatures w14:val="standardContextual"/>
        </w:rPr>
        <w:t>“agronomi</w:t>
      </w:r>
      <w:r w:rsidRPr="00707609">
        <w:rPr>
          <w:rFonts w:eastAsia="Aptos"/>
          <w:color w:val="000000" w:themeColor="text1"/>
          <w:spacing w:val="1"/>
          <w:lang w:eastAsia="en-US"/>
          <w14:ligatures w14:val="standardContextual"/>
        </w:rPr>
        <w:t>” romanos: Catão, Varrão, Columel</w:t>
      </w:r>
      <w:r w:rsidRPr="00707609" w:rsidR="00707609">
        <w:rPr>
          <w:rFonts w:eastAsia="Aptos"/>
          <w:color w:val="000000" w:themeColor="text1"/>
          <w:spacing w:val="1"/>
          <w:lang w:eastAsia="en-US"/>
          <w14:ligatures w14:val="standardContextual"/>
        </w:rPr>
        <w:t>, revelam regulações amplas: técnicas agrícolas, contratos de arrendamento, deveres dos cultivadores e proteção ambiental (proibição de desmatamentos sem compensação, manejo sustentável dos recursos naturais). Catão, em De Agricultura (160 a.C.), distingue arrendamentos e valoriza o trabalho rural; Varrão aborda racionalização dos cultivos e uso de animais; Columela trata de produtividade, defesa dos trabalhadores e conservação dos solos (Moraes, 2008).</w:t>
      </w:r>
      <w:r w:rsidR="00E324DB">
        <w:rPr>
          <w:rFonts w:eastAsia="Aptos"/>
          <w:color w:val="000000" w:themeColor="text1"/>
          <w:spacing w:val="1"/>
          <w:lang w:eastAsia="en-US"/>
          <w14:ligatures w14:val="standardContextual"/>
        </w:rPr>
        <w:t xml:space="preserve"> </w:t>
      </w:r>
      <w:r w:rsidRPr="00621584" w:rsidR="00621584">
        <w:rPr>
          <w:rFonts w:eastAsia="Aptos"/>
          <w:color w:val="000000" w:themeColor="text1"/>
          <w:spacing w:val="1"/>
          <w:lang w:eastAsia="en-US"/>
          <w14:ligatures w14:val="standardContextual"/>
        </w:rPr>
        <w:t>Assim,</w:t>
      </w:r>
      <w:r w:rsidRPr="00621584" w:rsidR="00133F2B">
        <w:rPr>
          <w:rFonts w:eastAsia="Aptos"/>
          <w:color w:val="18A303" w:themeColor="accent1"/>
          <w:spacing w:val="1"/>
          <w:lang w:eastAsia="en-US"/>
          <w14:ligatures w14:val="standardContextual"/>
        </w:rPr>
        <w:t xml:space="preserve"> </w:t>
      </w:r>
      <w:r w:rsidRPr="00621584" w:rsidR="00621584">
        <w:rPr>
          <w:color w:val="27251E"/>
        </w:rPr>
        <w:t>sinalizando as raízes do surgimento do Direito Agrário.</w:t>
      </w:r>
    </w:p>
    <w:p w:rsidR="00DB48B8" w:rsidP="00095198" w:rsidRDefault="00621584" w14:paraId="708C537F" w14:textId="1B470208">
      <w:pPr>
        <w:spacing w:after="160" w:line="360" w:lineRule="auto"/>
        <w:jc w:val="both"/>
      </w:pPr>
      <w:r w:rsidRPr="00621584">
        <w:rPr>
          <w:rFonts w:eastAsia="Aptos"/>
          <w:color w:val="000000" w:themeColor="text1"/>
          <w:spacing w:val="1"/>
          <w:lang w:eastAsia="en-US"/>
          <w14:ligatures w14:val="standardContextual"/>
        </w:rPr>
        <w:t>Como se pode notar</w:t>
      </w:r>
      <w:r>
        <w:rPr>
          <w:rFonts w:eastAsia="Aptos"/>
          <w:color w:val="000000" w:themeColor="text1"/>
          <w:spacing w:val="1"/>
          <w:lang w:eastAsia="en-US"/>
          <w14:ligatures w14:val="standardContextual"/>
        </w:rPr>
        <w:t>, o</w:t>
      </w:r>
      <w:r w:rsidR="008D46EF">
        <w:rPr>
          <w:rFonts w:eastAsia="Aptos"/>
          <w:color w:val="000000" w:themeColor="text1"/>
          <w:spacing w:val="1"/>
          <w:lang w:eastAsia="en-US"/>
          <w14:ligatures w14:val="standardContextual"/>
        </w:rPr>
        <w:t xml:space="preserve"> direito agrário emerge como uma resposta firme às demandas da ordem econômica, ultrapassando a simples definição da propriedade para afirmar seu compromisso com a promoção da justiça e do equilíbrio social, revelando o princípio inalienável da função social da terra: que determina que sua utilização deve favorecer não apenas interesses privados, mas o bem coletivo</w:t>
      </w:r>
      <w:r w:rsidR="00855B35">
        <w:rPr>
          <w:rFonts w:eastAsia="Aptos"/>
          <w:color w:val="000000" w:themeColor="text1"/>
          <w:spacing w:val="1"/>
          <w:lang w:eastAsia="en-US"/>
          <w14:ligatures w14:val="standardContextual"/>
        </w:rPr>
        <w:t xml:space="preserve"> </w:t>
      </w:r>
      <w:r w:rsidR="00EA1124">
        <w:rPr>
          <w:rFonts w:eastAsia="Aptos"/>
          <w:color w:val="000000" w:themeColor="text1"/>
          <w:spacing w:val="1"/>
          <w:lang w:eastAsia="en-US"/>
          <w14:ligatures w14:val="standardContextual"/>
        </w:rPr>
        <w:t>(Marques, 2015)</w:t>
      </w:r>
      <w:r w:rsidR="00855B35">
        <w:rPr>
          <w:rFonts w:eastAsia="Aptos"/>
          <w:color w:val="000000" w:themeColor="text1"/>
          <w:spacing w:val="1"/>
          <w:lang w:eastAsia="en-US"/>
          <w14:ligatures w14:val="standardContextual"/>
        </w:rPr>
        <w:t>.</w:t>
      </w:r>
    </w:p>
    <w:p w:rsidR="00E42BC8" w:rsidP="00095198" w:rsidRDefault="00E42BC8" w14:paraId="71529E8D" w14:textId="72C793E1">
      <w:pPr>
        <w:spacing w:after="160" w:line="360" w:lineRule="auto"/>
        <w:jc w:val="both"/>
        <w:rPr>
          <w:rFonts w:eastAsia="Aptos"/>
          <w:color w:val="000000" w:themeColor="text1"/>
          <w:spacing w:val="1"/>
          <w:lang w:eastAsia="en-US"/>
          <w14:ligatures w14:val="standardContextual"/>
        </w:rPr>
      </w:pPr>
      <w:r w:rsidRPr="00E42BC8">
        <w:rPr>
          <w:rFonts w:eastAsia="Aptos"/>
          <w:color w:val="000000" w:themeColor="text1"/>
          <w:spacing w:val="1"/>
          <w:lang w:eastAsia="en-US"/>
          <w14:ligatures w14:val="standardContextual"/>
        </w:rPr>
        <w:t>Com a fragmentação do Império Romano, a terra emergiu como pilar de estabilidade econômica, política e alimentar na Europa feudal. Nos feudos</w:t>
      </w:r>
      <w:r w:rsidR="00133F2B">
        <w:rPr>
          <w:rFonts w:eastAsia="Aptos"/>
          <w:color w:val="000000" w:themeColor="text1"/>
          <w:spacing w:val="1"/>
          <w:lang w:eastAsia="en-US"/>
          <w14:ligatures w14:val="standardContextual"/>
        </w:rPr>
        <w:t>,</w:t>
      </w:r>
      <w:r w:rsidRPr="00E42BC8">
        <w:rPr>
          <w:rFonts w:eastAsia="Aptos"/>
          <w:color w:val="000000" w:themeColor="text1"/>
          <w:spacing w:val="1"/>
          <w:lang w:eastAsia="en-US"/>
          <w14:ligatures w14:val="standardContextual"/>
        </w:rPr>
        <w:t xml:space="preserve"> extensas propriedades divididas em terra senhorial (explorada diretamente pelo senhor) e mansos servís (trabalhados pelos camponeses em troca de proteção e subsistência), o senhorio exercia domínio territorial absoluto, impondo corveias, tributos e ordens via vassalagem, sustentando uma hierarquia rígida que ordenava a sociedade do rei aos servos (</w:t>
      </w:r>
      <w:r w:rsidRPr="006A2E96" w:rsidR="006A2E96">
        <w:rPr>
          <w:rFonts w:eastAsia="Aptos"/>
          <w:color w:val="000000" w:themeColor="text1"/>
          <w:spacing w:val="1"/>
          <w:lang w:eastAsia="en-US"/>
          <w14:ligatures w14:val="standardContextual"/>
        </w:rPr>
        <w:t>Ostrensky</w:t>
      </w:r>
      <w:r w:rsidRPr="00E42BC8">
        <w:rPr>
          <w:rFonts w:eastAsia="Aptos"/>
          <w:color w:val="000000" w:themeColor="text1"/>
          <w:spacing w:val="1"/>
          <w:lang w:eastAsia="en-US"/>
          <w14:ligatures w14:val="standardContextual"/>
        </w:rPr>
        <w:t xml:space="preserve">, 2019). A relação com o solo estruturava deveres e garantias: o servo cultivava em troca de parte da colheita e do uso de terras comuns, mas submetia-se a tributos, à autoridade senhorial e à mobilidade restrita. </w:t>
      </w:r>
      <w:r w:rsidRPr="006B6F52" w:rsidR="006B6F52">
        <w:rPr>
          <w:rFonts w:eastAsia="Aptos"/>
          <w:color w:val="000000" w:themeColor="text1"/>
          <w:spacing w:val="1"/>
          <w:lang w:eastAsia="en-US"/>
          <w14:ligatures w14:val="standardContextual"/>
        </w:rPr>
        <w:t xml:space="preserve">Revoltas camponesas, como as </w:t>
      </w:r>
      <w:r w:rsidRPr="006B6F52" w:rsidR="006B6F52">
        <w:rPr>
          <w:rFonts w:eastAsia="Aptos"/>
          <w:i/>
          <w:iCs/>
          <w:color w:val="000000" w:themeColor="text1"/>
          <w:spacing w:val="1"/>
          <w:lang w:eastAsia="en-US"/>
          <w14:ligatures w14:val="standardContextual"/>
        </w:rPr>
        <w:t>Jacqueries</w:t>
      </w:r>
      <w:r w:rsidRPr="006B6F52" w:rsidR="006B6F52">
        <w:rPr>
          <w:rFonts w:eastAsia="Aptos"/>
          <w:color w:val="000000" w:themeColor="text1"/>
          <w:spacing w:val="1"/>
          <w:lang w:eastAsia="en-US"/>
          <w14:ligatures w14:val="standardContextual"/>
        </w:rPr>
        <w:t xml:space="preserve"> francesas e levantes ingleses, revelam que disputar terra e alimento sempre significou reivindicar dignidade e sobrevivência: camponeses lutavam contra a expropriação de terras, contra o aumento de impostos feudais e pela garantia de acesso aos meios de produção necessários para alimentar suas famílias. Essas revoltas antecipam a compreensão moderna da terra como direito humano fundamental. Mesmo com o avanço das cidades e do comércio ao fim do feudalismo, a terra manteve valor central como suporte da segurança alimentar e política até a modernidade, pois continuou sendo a base da produção de alimentos, a principal fonte de riqueza e o alicerce do poder dos Estados nacionais emergentes (Opitz, 2010)</w:t>
      </w:r>
      <w:r w:rsidRPr="00E42BC8">
        <w:rPr>
          <w:rFonts w:eastAsia="Aptos"/>
          <w:color w:val="000000" w:themeColor="text1"/>
          <w:spacing w:val="1"/>
          <w:lang w:eastAsia="en-US"/>
          <w14:ligatures w14:val="standardContextual"/>
        </w:rPr>
        <w:t>.</w:t>
      </w:r>
    </w:p>
    <w:p w:rsidR="00DB48B8" w:rsidP="00095198" w:rsidRDefault="008D46EF" w14:paraId="708C5384" w14:textId="24846BC2">
      <w:pPr>
        <w:pStyle w:val="Corpodetexto"/>
        <w:spacing w:line="360" w:lineRule="auto"/>
        <w:jc w:val="both"/>
      </w:pPr>
      <w:r w:rsidRPr="00B3313E">
        <w:rPr>
          <w:rFonts w:eastAsia="Aptos"/>
          <w:color w:val="000000" w:themeColor="text1"/>
          <w:spacing w:val="1"/>
          <w:lang w:eastAsia="en-US"/>
          <w14:ligatures w14:val="standardContextual"/>
        </w:rPr>
        <w:t xml:space="preserve">A era moderna intensificou a ligação da terra com a política pública de alimentos. Na Inglaterra, leis de cercamento </w:t>
      </w:r>
      <w:r w:rsidRPr="00B3313E">
        <w:rPr>
          <w:rFonts w:eastAsia="Aptos"/>
          <w:i/>
          <w:iCs/>
          <w:color w:val="000000" w:themeColor="text1"/>
          <w:spacing w:val="1"/>
          <w:lang w:eastAsia="en-US"/>
          <w14:ligatures w14:val="standardContextual"/>
        </w:rPr>
        <w:t>enclosures</w:t>
      </w:r>
      <w:r w:rsidRPr="00B3313E">
        <w:rPr>
          <w:rFonts w:eastAsia="Aptos"/>
          <w:color w:val="000000" w:themeColor="text1"/>
          <w:spacing w:val="1"/>
          <w:lang w:eastAsia="en-US"/>
          <w14:ligatures w14:val="standardContextual"/>
        </w:rPr>
        <w:t xml:space="preserve"> converteram terras comunais em propriedades privadas,</w:t>
      </w:r>
      <w:r>
        <w:rPr>
          <w:rFonts w:eastAsia="Aptos"/>
          <w:color w:val="000000" w:themeColor="text1"/>
          <w:spacing w:val="1"/>
          <w:lang w:eastAsia="en-US"/>
          <w14:ligatures w14:val="standardContextual"/>
        </w:rPr>
        <w:t xml:space="preserve"> promovendo inovação produtiva, mas também profundas mudanças sociais: a terra deixa de ser apenas espaço comunal e passa a integrar as grandes estratégias de regulação estatal do alimento, do tributo e da capacidade de sustentar a população</w:t>
      </w:r>
      <w:r w:rsidR="00EA1124">
        <w:rPr>
          <w:rFonts w:eastAsia="Aptos"/>
          <w:color w:val="000000" w:themeColor="text1"/>
          <w:spacing w:val="1"/>
          <w:lang w:eastAsia="en-US"/>
          <w14:ligatures w14:val="standardContextual"/>
        </w:rPr>
        <w:t xml:space="preserve"> (</w:t>
      </w:r>
      <w:r w:rsidR="006A2E96">
        <w:rPr>
          <w:rFonts w:eastAsia="Aptos"/>
          <w:color w:val="000000" w:themeColor="text1"/>
          <w:spacing w:val="1"/>
          <w:lang w:eastAsia="en-US"/>
          <w14:ligatures w14:val="standardContextual"/>
        </w:rPr>
        <w:t>Coggiola</w:t>
      </w:r>
      <w:r w:rsidR="00B3313E">
        <w:rPr>
          <w:rFonts w:eastAsia="Aptos"/>
          <w:color w:val="000000" w:themeColor="text1"/>
          <w:spacing w:val="1"/>
          <w:lang w:eastAsia="en-US"/>
          <w14:ligatures w14:val="standardContextual"/>
        </w:rPr>
        <w:t>, 2017)</w:t>
      </w:r>
      <w:r>
        <w:rPr>
          <w:rFonts w:eastAsia="Aptos"/>
          <w:color w:val="000000" w:themeColor="text1"/>
          <w:spacing w:val="1"/>
          <w:lang w:eastAsia="en-US"/>
          <w14:ligatures w14:val="standardContextual"/>
        </w:rPr>
        <w:t>. O meio rural passa a ser tratado por meio de normas específicas e políticas públicas que visam não só promover seu desenvolvimento, mas também exercer controle social, evidenciando o Direito Agrário como uma esfera estatal fundamental e instrumento de afirmação da soberania nacional</w:t>
      </w:r>
      <w:r w:rsidR="00855B35">
        <w:rPr>
          <w:rFonts w:eastAsia="Aptos"/>
          <w:color w:val="000000" w:themeColor="text1"/>
          <w:spacing w:val="1"/>
          <w:lang w:eastAsia="en-US"/>
          <w14:ligatures w14:val="standardContextual"/>
        </w:rPr>
        <w:t xml:space="preserve"> </w:t>
      </w:r>
      <w:r>
        <w:rPr>
          <w:rFonts w:eastAsia="Aptos"/>
          <w:color w:val="000000" w:themeColor="text1"/>
          <w:spacing w:val="1"/>
          <w:lang w:eastAsia="en-US"/>
          <w14:ligatures w14:val="standardContextual"/>
        </w:rPr>
        <w:t>(</w:t>
      </w:r>
      <w:r w:rsidR="00855B35">
        <w:rPr>
          <w:rFonts w:eastAsia="Aptos"/>
          <w:color w:val="000000" w:themeColor="text1"/>
          <w:spacing w:val="1"/>
          <w:lang w:eastAsia="en-US"/>
          <w14:ligatures w14:val="standardContextual"/>
        </w:rPr>
        <w:t>Marques</w:t>
      </w:r>
      <w:r>
        <w:rPr>
          <w:rFonts w:eastAsia="Aptos"/>
          <w:color w:val="000000" w:themeColor="text1"/>
          <w:spacing w:val="1"/>
          <w:lang w:eastAsia="en-US"/>
          <w14:ligatures w14:val="standardContextual"/>
        </w:rPr>
        <w:t xml:space="preserve">, </w:t>
      </w:r>
      <w:r w:rsidR="00855B35">
        <w:rPr>
          <w:rFonts w:eastAsia="Aptos"/>
          <w:color w:val="000000" w:themeColor="text1"/>
          <w:spacing w:val="1"/>
          <w:lang w:eastAsia="en-US"/>
          <w14:ligatures w14:val="standardContextual"/>
        </w:rPr>
        <w:t>2015</w:t>
      </w:r>
      <w:r>
        <w:rPr>
          <w:rFonts w:eastAsia="Aptos"/>
          <w:color w:val="000000" w:themeColor="text1"/>
          <w:spacing w:val="1"/>
          <w:lang w:eastAsia="en-US"/>
          <w14:ligatures w14:val="standardContextual"/>
        </w:rPr>
        <w:t>)</w:t>
      </w:r>
      <w:r w:rsidR="00855B35">
        <w:rPr>
          <w:rFonts w:eastAsia="Aptos"/>
          <w:color w:val="000000" w:themeColor="text1"/>
          <w:spacing w:val="1"/>
          <w:lang w:eastAsia="en-US"/>
          <w14:ligatures w14:val="standardContextual"/>
        </w:rPr>
        <w:t>.</w:t>
      </w:r>
    </w:p>
    <w:p w:rsidR="00DB48B8" w:rsidP="00095198" w:rsidRDefault="008D46EF" w14:paraId="708C5385" w14:textId="433C8B4A">
      <w:pPr>
        <w:spacing w:after="160" w:line="360" w:lineRule="auto"/>
        <w:jc w:val="both"/>
        <w:rPr>
          <w:rFonts w:eastAsia="Aptos"/>
          <w:color w:val="000000" w:themeColor="text1"/>
          <w:spacing w:val="1"/>
          <w:lang w:eastAsia="en-US"/>
          <w14:ligatures w14:val="standardContextual"/>
        </w:rPr>
      </w:pPr>
      <w:bookmarkStart w:name="OLE_LINK8" w:id="3"/>
      <w:r>
        <w:rPr>
          <w:rFonts w:eastAsia="Aptos"/>
          <w:color w:val="000000" w:themeColor="text1"/>
          <w:spacing w:val="1"/>
          <w:lang w:eastAsia="en-US"/>
          <w14:ligatures w14:val="standardContextual"/>
        </w:rPr>
        <w:t>A trajetória histórica do Direito Agrário no Brasil inicia-se com a implementação do sistema de sesmarias pela Coroa Portuguesa, ainda no século XIV, mais precisamente em 1375, quando o dispositivo legal foi criado em Portugal para estimular o povoamento e cultivo das terras devolutas. Essa prática foi transferida para o Brasil durante o período colonial e consistia na concessão de grandes extensões territoriais a particulares, sob a condição de que fossem efetivamente cultivadas e povoadas</w:t>
      </w:r>
      <w:r w:rsidR="00855B35">
        <w:rPr>
          <w:rFonts w:eastAsia="Aptos"/>
          <w:color w:val="000000" w:themeColor="text1"/>
          <w:spacing w:val="1"/>
          <w:lang w:eastAsia="en-US"/>
          <w14:ligatures w14:val="standardContextual"/>
        </w:rPr>
        <w:t xml:space="preserve"> </w:t>
      </w:r>
      <w:r>
        <w:rPr>
          <w:rFonts w:eastAsia="Aptos"/>
          <w:color w:val="000000" w:themeColor="text1"/>
          <w:spacing w:val="1"/>
          <w:lang w:eastAsia="en-US"/>
          <w14:ligatures w14:val="standardContextual"/>
        </w:rPr>
        <w:t>(</w:t>
      </w:r>
      <w:r w:rsidR="006A2E96">
        <w:rPr>
          <w:rFonts w:eastAsia="Aptos"/>
          <w:color w:val="000000" w:themeColor="text1"/>
          <w:spacing w:val="1"/>
          <w:lang w:eastAsia="en-US"/>
          <w14:ligatures w14:val="standardContextual"/>
        </w:rPr>
        <w:t>Marques</w:t>
      </w:r>
      <w:r>
        <w:rPr>
          <w:rFonts w:eastAsia="Aptos"/>
          <w:color w:val="000000" w:themeColor="text1"/>
          <w:spacing w:val="1"/>
          <w:lang w:eastAsia="en-US"/>
          <w14:ligatures w14:val="standardContextual"/>
        </w:rPr>
        <w:t xml:space="preserve">, </w:t>
      </w:r>
      <w:r w:rsidR="00855B35">
        <w:rPr>
          <w:rFonts w:eastAsia="Aptos"/>
          <w:color w:val="000000" w:themeColor="text1"/>
          <w:spacing w:val="1"/>
          <w:lang w:eastAsia="en-US"/>
          <w14:ligatures w14:val="standardContextual"/>
        </w:rPr>
        <w:t>2015</w:t>
      </w:r>
      <w:r>
        <w:rPr>
          <w:rFonts w:eastAsia="Aptos"/>
          <w:color w:val="000000" w:themeColor="text1"/>
          <w:spacing w:val="1"/>
          <w:lang w:eastAsia="en-US"/>
          <w14:ligatures w14:val="standardContextual"/>
        </w:rPr>
        <w:t>).</w:t>
      </w:r>
    </w:p>
    <w:bookmarkEnd w:id="3"/>
    <w:p w:rsidRPr="005713C0" w:rsidR="00DB48B8" w:rsidP="00095198" w:rsidRDefault="008D46EF" w14:paraId="708C5387" w14:textId="02E00932">
      <w:pPr>
        <w:spacing w:after="160" w:line="360" w:lineRule="auto"/>
        <w:jc w:val="both"/>
      </w:pPr>
      <w:r w:rsidRPr="00A9455D">
        <w:rPr>
          <w:rFonts w:eastAsia="Aptos"/>
          <w:color w:val="000000" w:themeColor="text1"/>
          <w:spacing w:val="1"/>
          <w:lang w:eastAsia="en-US"/>
          <w14:ligatures w14:val="standardContextual"/>
        </w:rPr>
        <w:t>Com a chegada do século XIX e com a independência do Brasil em 1822, iniciou-se um período de transição fundiária marcado por um vazio legislativo relativo às terras, conhecido como período das posses, onde a ausência de uma legislação clara gerou muitas disputas e insegurança jurídica no campo. Somente em 1850 foi promulgada a Lei de Terras (Lei nº 601), que representou uma guinada decisiva: extinguiu as sesmarias e instituiu que as terras devolutas só poderiam ser adquiridas por meio da compra</w:t>
      </w:r>
      <w:r w:rsidR="00855B35">
        <w:rPr>
          <w:rFonts w:eastAsia="Aptos"/>
          <w:color w:val="000000" w:themeColor="text1"/>
          <w:spacing w:val="1"/>
          <w:lang w:eastAsia="en-US"/>
          <w14:ligatures w14:val="standardContextual"/>
        </w:rPr>
        <w:t xml:space="preserve"> </w:t>
      </w:r>
      <w:r w:rsidRPr="00A9455D" w:rsidR="001C613D">
        <w:rPr>
          <w:rFonts w:eastAsia="Aptos"/>
          <w:color w:val="000000" w:themeColor="text1"/>
          <w:spacing w:val="1"/>
          <w:lang w:eastAsia="en-US"/>
          <w14:ligatures w14:val="standardContextual"/>
        </w:rPr>
        <w:t>(</w:t>
      </w:r>
      <w:r w:rsidR="006A2E96">
        <w:rPr>
          <w:rFonts w:eastAsia="Aptos"/>
          <w:color w:val="000000" w:themeColor="text1"/>
          <w:spacing w:val="1"/>
          <w:lang w:eastAsia="en-US"/>
          <w14:ligatures w14:val="standardContextual"/>
        </w:rPr>
        <w:t>Da Silva</w:t>
      </w:r>
      <w:r w:rsidR="001C613D">
        <w:rPr>
          <w:rFonts w:eastAsia="Aptos"/>
          <w:color w:val="000000" w:themeColor="text1"/>
          <w:spacing w:val="1"/>
          <w:lang w:eastAsia="en-US"/>
          <w14:ligatures w14:val="standardContextual"/>
        </w:rPr>
        <w:t>, 2015</w:t>
      </w:r>
      <w:r w:rsidR="00855B35">
        <w:rPr>
          <w:rFonts w:eastAsia="Aptos"/>
          <w:color w:val="000000" w:themeColor="text1"/>
          <w:spacing w:val="1"/>
          <w:lang w:eastAsia="en-US"/>
          <w14:ligatures w14:val="standardContextual"/>
        </w:rPr>
        <w:t>).</w:t>
      </w:r>
    </w:p>
    <w:p w:rsidRPr="005713C0" w:rsidR="00DB48B8" w:rsidP="00095198" w:rsidRDefault="008D46EF" w14:paraId="708C5389" w14:textId="526F6AAE">
      <w:pPr>
        <w:spacing w:after="160" w:line="360" w:lineRule="auto"/>
        <w:jc w:val="both"/>
      </w:pPr>
      <w:r w:rsidRPr="00AB12D7">
        <w:rPr>
          <w:rFonts w:eastAsia="Aptos"/>
          <w:color w:val="000000" w:themeColor="text1"/>
          <w:spacing w:val="1"/>
          <w:lang w:eastAsia="en-US"/>
          <w14:ligatures w14:val="standardContextual"/>
        </w:rPr>
        <w:t xml:space="preserve">No século XX, intensificaram-se os movimentos sociais </w:t>
      </w:r>
      <w:r w:rsidRPr="00AB12D7" w:rsidR="00F9404E">
        <w:rPr>
          <w:rFonts w:eastAsia="Aptos"/>
          <w:color w:val="000000" w:themeColor="text1"/>
          <w:spacing w:val="1"/>
          <w:lang w:eastAsia="en-US"/>
          <w14:ligatures w14:val="standardContextual"/>
        </w:rPr>
        <w:t>acerca desta área “jurídica”</w:t>
      </w:r>
      <w:r w:rsidRPr="00AB12D7" w:rsidR="00EB1D9B">
        <w:rPr>
          <w:rFonts w:eastAsia="Aptos"/>
          <w:color w:val="000000" w:themeColor="text1"/>
          <w:spacing w:val="1"/>
          <w:lang w:eastAsia="en-US"/>
          <w14:ligatures w14:val="standardContextual"/>
        </w:rPr>
        <w:t xml:space="preserve"> </w:t>
      </w:r>
      <w:r w:rsidRPr="00AB12D7">
        <w:rPr>
          <w:rFonts w:eastAsia="Aptos"/>
          <w:color w:val="000000" w:themeColor="text1"/>
          <w:spacing w:val="1"/>
          <w:lang w:eastAsia="en-US"/>
          <w14:ligatures w14:val="standardContextual"/>
        </w:rPr>
        <w:t>e melhores condições de vida para os trabalhadores rurais. No campo legislativo e institucional, o Brasil avançou com a Constituição Federal de 1946, que conferiu maior autonomia para legislar sobre temas agrários e preparou o terreno para a criação do Instituto Nacional de Colonização e Reforma Agrária (INCRA), ocorrido em 1970. Entretanto, o grande salto ocorreu com a Constituição Federal de 1988, que expressamente consagrou a função social da propriedade (artigos 5º, inciso XXIII, e 184), vinculando o domínio e o uso da terra ao interesse coletivo, à justiça social e ao combate à fome</w:t>
      </w:r>
      <w:r w:rsidRPr="00AB12D7" w:rsidR="00AB12D7">
        <w:rPr>
          <w:rFonts w:eastAsia="Aptos"/>
          <w:color w:val="000000" w:themeColor="text1"/>
          <w:spacing w:val="1"/>
          <w:lang w:eastAsia="en-US"/>
          <w14:ligatures w14:val="standardContextual"/>
        </w:rPr>
        <w:t xml:space="preserve"> (Marques, 2015)</w:t>
      </w:r>
      <w:r w:rsidR="00855B35">
        <w:rPr>
          <w:rFonts w:eastAsia="Aptos"/>
          <w:color w:val="000000" w:themeColor="text1"/>
          <w:spacing w:val="1"/>
          <w:lang w:eastAsia="en-US"/>
          <w14:ligatures w14:val="standardContextual"/>
        </w:rPr>
        <w:t>.</w:t>
      </w:r>
    </w:p>
    <w:p w:rsidRPr="004F5B7C" w:rsidR="004F5B7C" w:rsidP="00095198" w:rsidRDefault="004F5B7C" w14:paraId="06F8C6AB" w14:textId="77777777">
      <w:pPr>
        <w:spacing w:after="160" w:line="360" w:lineRule="auto"/>
        <w:jc w:val="both"/>
      </w:pPr>
      <w:bookmarkStart w:name="OLE_LINK14" w:id="4"/>
      <w:r w:rsidRPr="004F5B7C">
        <w:t>Essa mudança representou o reconhecimento do papel do Direito Agrário como instrumento essencial para promover soberania alimentar e inclusão social, rompendo com a visão da terra como mero bem econômico e reafirmando sua centralidade para a dignidade humana e o desenvolvimento sustentável.</w:t>
      </w:r>
    </w:p>
    <w:bookmarkEnd w:id="4"/>
    <w:p w:rsidR="00903947" w:rsidP="007A6CE0" w:rsidRDefault="00EF3AAD" w14:paraId="39C36AC5" w14:textId="2FB4063F">
      <w:pPr>
        <w:spacing w:after="160" w:line="360" w:lineRule="auto"/>
        <w:jc w:val="both"/>
      </w:pPr>
      <w:r w:rsidRPr="00EF3AAD">
        <w:t>Portanto, a história do Direito Agrário, no Brasil e no mundo, transcende a mera narrativa de regras sobre a terra: ela reflete lutas sociais, conquistas graduais de direitos e os esforços estatais por alimentação, justiça e cidadania em diferentes contextos internacionais. Esse contexto histórico fundamenta o aprofundamento conceitual da disciplina, revelando sua contribuição à construção de direitos humanos fundamentais.</w:t>
      </w:r>
    </w:p>
    <w:p w:rsidR="00903947" w:rsidP="00855B35" w:rsidRDefault="00903947" w14:paraId="7756FAF4" w14:textId="77777777">
      <w:pPr>
        <w:jc w:val="both"/>
      </w:pPr>
    </w:p>
    <w:p w:rsidRPr="007A6CE0" w:rsidR="00903947" w:rsidP="00855B35" w:rsidRDefault="00903947" w14:paraId="45935F6D" w14:textId="77777777">
      <w:pPr>
        <w:spacing w:after="140"/>
        <w:jc w:val="both"/>
      </w:pPr>
    </w:p>
    <w:p w:rsidR="005713C0" w:rsidP="00AB12D7" w:rsidRDefault="008D46EF" w14:paraId="6F9CC25B" w14:textId="4600C7B4">
      <w:pPr>
        <w:widowControl w:val="0"/>
        <w:shd w:val="clear" w:color="auto" w:fill="FFFFFF"/>
        <w:tabs>
          <w:tab w:val="left" w:pos="860"/>
          <w:tab w:val="left" w:pos="3686"/>
        </w:tabs>
        <w:spacing w:after="100"/>
        <w:jc w:val="both"/>
        <w:rPr>
          <w:color w:val="000000"/>
          <w:spacing w:val="-2"/>
          <w:lang w:val="pt-PT" w:eastAsia="en-US"/>
        </w:rPr>
      </w:pPr>
      <w:r>
        <w:rPr>
          <w:rFonts w:eastAsia="Calibri"/>
        </w:rPr>
        <w:t xml:space="preserve">1.2 </w:t>
      </w:r>
      <w:r>
        <w:rPr>
          <w:color w:val="000000"/>
          <w:lang w:val="pt-PT" w:eastAsia="en-US"/>
        </w:rPr>
        <w:t>CONCEITO</w:t>
      </w:r>
      <w:r>
        <w:rPr>
          <w:color w:val="000000"/>
          <w:spacing w:val="-1"/>
          <w:lang w:val="pt-PT" w:eastAsia="en-US"/>
        </w:rPr>
        <w:t xml:space="preserve"> </w:t>
      </w:r>
      <w:r>
        <w:rPr>
          <w:color w:val="000000"/>
          <w:lang w:val="pt-PT" w:eastAsia="en-US"/>
        </w:rPr>
        <w:t>DO</w:t>
      </w:r>
      <w:r>
        <w:rPr>
          <w:color w:val="000000"/>
          <w:spacing w:val="-1"/>
          <w:lang w:val="pt-PT" w:eastAsia="en-US"/>
        </w:rPr>
        <w:t xml:space="preserve"> </w:t>
      </w:r>
      <w:r>
        <w:rPr>
          <w:color w:val="000000"/>
          <w:lang w:val="pt-PT" w:eastAsia="en-US"/>
        </w:rPr>
        <w:t>DIREITO</w:t>
      </w:r>
      <w:r>
        <w:rPr>
          <w:color w:val="000000"/>
          <w:spacing w:val="-1"/>
          <w:lang w:val="pt-PT" w:eastAsia="en-US"/>
        </w:rPr>
        <w:t xml:space="preserve"> </w:t>
      </w:r>
      <w:r>
        <w:rPr>
          <w:color w:val="000000"/>
          <w:spacing w:val="-2"/>
          <w:lang w:val="pt-PT" w:eastAsia="en-US"/>
        </w:rPr>
        <w:t>AGRÁRIO</w:t>
      </w:r>
    </w:p>
    <w:p w:rsidR="00AB12D7" w:rsidP="00AB12D7" w:rsidRDefault="00AB12D7" w14:paraId="436FD98D" w14:textId="77777777">
      <w:pPr>
        <w:widowControl w:val="0"/>
        <w:shd w:val="clear" w:color="auto" w:fill="FFFFFF"/>
        <w:tabs>
          <w:tab w:val="left" w:pos="860"/>
          <w:tab w:val="left" w:pos="3686"/>
        </w:tabs>
        <w:spacing w:after="100"/>
        <w:jc w:val="both"/>
        <w:rPr>
          <w:color w:val="000000"/>
          <w:spacing w:val="-2"/>
          <w:lang w:val="pt-PT" w:eastAsia="en-US"/>
        </w:rPr>
      </w:pPr>
    </w:p>
    <w:p w:rsidRPr="00AB12D7" w:rsidR="00AB12D7" w:rsidP="00AB12D7" w:rsidRDefault="00AB12D7" w14:paraId="703995C4" w14:textId="77777777">
      <w:pPr>
        <w:widowControl w:val="0"/>
        <w:shd w:val="clear" w:color="auto" w:fill="FFFFFF"/>
        <w:tabs>
          <w:tab w:val="left" w:pos="860"/>
          <w:tab w:val="left" w:pos="3686"/>
        </w:tabs>
        <w:spacing w:after="100"/>
        <w:jc w:val="both"/>
        <w:rPr>
          <w:color w:val="000000"/>
          <w:spacing w:val="-2"/>
          <w:lang w:val="pt-PT" w:eastAsia="en-US"/>
        </w:rPr>
      </w:pPr>
    </w:p>
    <w:p w:rsidR="00DB48B8" w:rsidP="00095198" w:rsidRDefault="008D46EF" w14:paraId="708C538E" w14:textId="3E5A71F3">
      <w:pPr>
        <w:pStyle w:val="Corpodetexto"/>
        <w:spacing w:line="360" w:lineRule="auto"/>
        <w:jc w:val="both"/>
      </w:pPr>
      <w:r>
        <w:rPr>
          <w:rFonts w:eastAsia="Calibri"/>
        </w:rPr>
        <w:t xml:space="preserve">A conceituação moderna do Direito Agrário nasce de um distanciamento progressivo da noção clássica de justiça predominante no Direito Civil. Por séculos, a matriz </w:t>
      </w:r>
      <w:r w:rsidR="00855B35">
        <w:rPr>
          <w:rFonts w:eastAsia="Calibri"/>
        </w:rPr>
        <w:t>civilista, expressa</w:t>
      </w:r>
      <w:r w:rsidRPr="00AB12D7">
        <w:rPr>
          <w:rFonts w:eastAsia="Calibri"/>
        </w:rPr>
        <w:t xml:space="preserve"> por pensadores como Ulpiano</w:t>
      </w:r>
      <w:r w:rsidR="00855B35">
        <w:rPr>
          <w:rFonts w:eastAsia="Calibri"/>
        </w:rPr>
        <w:t xml:space="preserve">, </w:t>
      </w:r>
      <w:r w:rsidRPr="00AB12D7" w:rsidR="005A6685">
        <w:rPr>
          <w:rFonts w:eastAsia="Calibri"/>
        </w:rPr>
        <w:t>entre</w:t>
      </w:r>
      <w:r w:rsidRPr="005A6685" w:rsidR="005A6685">
        <w:rPr>
          <w:rFonts w:eastAsia="Calibri"/>
        </w:rPr>
        <w:t xml:space="preserve"> 190 d.C. e 223/228 d.C. </w:t>
      </w:r>
      <w:r>
        <w:rPr>
          <w:rFonts w:eastAsia="Calibri"/>
        </w:rPr>
        <w:t xml:space="preserve">centrava-se na justiça comutativa, “dar a cada um o que é seu”, priorizando deste modo a proteção da propriedade privada, a autonomia da vontade e a igualdade formal nas relações patrimoniais. </w:t>
      </w:r>
      <w:r w:rsidR="00855B35">
        <w:rPr>
          <w:rFonts w:eastAsia="Calibri"/>
        </w:rPr>
        <w:t>Marques</w:t>
      </w:r>
      <w:r w:rsidR="005A6685">
        <w:rPr>
          <w:rFonts w:eastAsia="Calibri"/>
        </w:rPr>
        <w:t xml:space="preserve"> (2015)</w:t>
      </w:r>
      <w:r>
        <w:rPr>
          <w:rFonts w:eastAsia="Calibri"/>
        </w:rPr>
        <w:t xml:space="preserve"> destacou que o Direito Civil foi desenhado para dar segurança jurídica ao patrimônio em sociedades urbanas, regulando a livre circulação de bens como se todos tivessem idêntica relevância social.</w:t>
      </w:r>
    </w:p>
    <w:p w:rsidR="00DB48B8" w:rsidP="00095198" w:rsidRDefault="008D46EF" w14:paraId="708C538F" w14:textId="0D712857">
      <w:pPr>
        <w:pStyle w:val="Corpodetexto"/>
        <w:spacing w:line="360" w:lineRule="auto"/>
        <w:jc w:val="both"/>
      </w:pPr>
      <w:r>
        <w:rPr>
          <w:rFonts w:eastAsia="Calibri"/>
        </w:rPr>
        <w:t>Entretanto, essa estrutura revelou graves limitações diante da realidade rural, sobretudo no Brasil. Conforme argumenta Marques</w:t>
      </w:r>
      <w:r w:rsidR="00C143C9">
        <w:rPr>
          <w:rFonts w:eastAsia="Calibri"/>
        </w:rPr>
        <w:t xml:space="preserve"> (</w:t>
      </w:r>
      <w:r w:rsidR="00855B35">
        <w:rPr>
          <w:rFonts w:eastAsia="Calibri"/>
        </w:rPr>
        <w:t>2015</w:t>
      </w:r>
      <w:r w:rsidR="00C143C9">
        <w:rPr>
          <w:rFonts w:eastAsia="Calibri"/>
        </w:rPr>
        <w:t>)</w:t>
      </w:r>
      <w:r>
        <w:rPr>
          <w:rFonts w:eastAsia="Calibri"/>
        </w:rPr>
        <w:t>, a terra não é simplesmente um bem econômico: ela é vital para a vida coletiva e implica o acesso à alimentação, dignidade, trabalho e habitação. A mera aplicação do Direito Civil à terra, tratando-a como objeto contratual ou patrimônio absoluto, acaba por ignorar sua dimensão coletiva e seu papel fundamental na inclusão social e no bem-estar da população</w:t>
      </w:r>
      <w:r w:rsidRPr="003059AA" w:rsidR="003059AA">
        <w:rPr>
          <w:rFonts w:eastAsia="Calibri"/>
        </w:rPr>
        <w:t>.</w:t>
      </w:r>
      <w:r w:rsidRPr="003059AA" w:rsidR="003059AA">
        <w:rPr>
          <w:color w:val="27251E"/>
        </w:rPr>
        <w:t xml:space="preserve"> Diante das desigualdades persistentes no campo, Marques (</w:t>
      </w:r>
      <w:r w:rsidR="00855B35">
        <w:rPr>
          <w:color w:val="27251E"/>
        </w:rPr>
        <w:t>2015</w:t>
      </w:r>
      <w:r w:rsidRPr="003059AA" w:rsidR="003059AA">
        <w:rPr>
          <w:color w:val="27251E"/>
        </w:rPr>
        <w:t>) defende que não basta igualar apenas formalmente os direitos de propriedade; é preciso viabilizar, por meio do Direito, a efetivação da função social da propriedade.</w:t>
      </w:r>
    </w:p>
    <w:p w:rsidR="00DB48B8" w:rsidP="00095198" w:rsidRDefault="008D46EF" w14:paraId="708C5390" w14:textId="38944001">
      <w:pPr>
        <w:pStyle w:val="Corpodetexto"/>
        <w:spacing w:line="360" w:lineRule="auto"/>
        <w:jc w:val="both"/>
      </w:pPr>
      <w:r w:rsidRPr="00346B55">
        <w:rPr>
          <w:rFonts w:eastAsia="Calibri"/>
        </w:rPr>
        <w:t>A justiça distributiva ganha destaque nesse contexto. John Rawls propõe, em sua teoria da Justiça como Equidade, que “</w:t>
      </w:r>
      <w:r w:rsidRPr="00346B55" w:rsidR="008741D3">
        <w:rPr>
          <w:rFonts w:eastAsia="Calibri"/>
        </w:rPr>
        <w:t>A regra da prioridade justifica a liberdade política desigual, desde que seja capaz de demonstrar que a desigualdade de direitos será aceita pelos menos favorecidos, em compensação da maior proteção das suas outras liberdades de que resultam desta restrição</w:t>
      </w:r>
      <w:r w:rsidRPr="00346B55">
        <w:rPr>
          <w:rFonts w:eastAsia="Calibri"/>
        </w:rPr>
        <w:t xml:space="preserve">” (Rawls, 2000, p. </w:t>
      </w:r>
      <w:r w:rsidRPr="00346B55" w:rsidR="008741D3">
        <w:rPr>
          <w:rFonts w:eastAsia="Calibri"/>
        </w:rPr>
        <w:t>197</w:t>
      </w:r>
      <w:r w:rsidRPr="00346B55">
        <w:rPr>
          <w:rFonts w:eastAsia="Calibri"/>
        </w:rPr>
        <w:t>). Essa perspectiva, aplicada às questões agrárias, se traduz n</w:t>
      </w:r>
      <w:r w:rsidRPr="00346B55" w:rsidR="000F4EBE">
        <w:rPr>
          <w:rFonts w:eastAsia="Calibri"/>
        </w:rPr>
        <w:t>a própria constituição em dar a terra a sua função social</w:t>
      </w:r>
      <w:r w:rsidRPr="00346B55" w:rsidR="00346B55">
        <w:rPr>
          <w:rFonts w:eastAsia="Calibri"/>
        </w:rPr>
        <w:t>, garantir que seu uso beneficie não apenas proprietários, mas toda a sociedade.</w:t>
      </w:r>
    </w:p>
    <w:p w:rsidRPr="00E42D8B" w:rsidR="00DB48B8" w:rsidP="00095198" w:rsidRDefault="008D46EF" w14:paraId="708C5391" w14:textId="2AD9AA08">
      <w:pPr>
        <w:pStyle w:val="Corpodetexto"/>
        <w:spacing w:line="360" w:lineRule="auto"/>
        <w:jc w:val="both"/>
        <w:rPr>
          <w:rFonts w:eastAsia="Calibri"/>
          <w:highlight w:val="red"/>
        </w:rPr>
      </w:pPr>
      <w:r w:rsidRPr="00AB12D7">
        <w:rPr>
          <w:rFonts w:eastAsia="Calibri"/>
        </w:rPr>
        <w:t>Nesse sentido, o Direito Civil mostra-se limitado exatamente porque não reconhece a dupla natureza da terra rural: privada e, ao mesmo tempo, essencialmente coletiva. Ele não responde adequadamente à demanda por função social, preservação ambiental e segurança alimentar</w:t>
      </w:r>
      <w:r w:rsidRPr="00AB12D7" w:rsidR="00AB12D7">
        <w:rPr>
          <w:rFonts w:eastAsia="Calibri"/>
        </w:rPr>
        <w:t xml:space="preserve"> (Iwasaki, 2007)</w:t>
      </w:r>
      <w:r w:rsidRPr="00AB12D7">
        <w:rPr>
          <w:rFonts w:eastAsia="Calibri"/>
        </w:rPr>
        <w:t>.</w:t>
      </w:r>
      <w:r w:rsidR="00F873E2">
        <w:rPr>
          <w:rFonts w:eastAsia="Calibri"/>
        </w:rPr>
        <w:t xml:space="preserve"> </w:t>
      </w:r>
      <w:r w:rsidRPr="00F873E2" w:rsidR="00F873E2">
        <w:rPr>
          <w:rFonts w:eastAsia="Calibri"/>
        </w:rPr>
        <w:t>Ao longo de toda a tradição agrarista europeia, há o entendimento de destaque que o Direito Agrário não pode ser reduzido à ótica individualista civil:</w:t>
      </w:r>
      <w:r w:rsidR="00F873E2">
        <w:rPr>
          <w:rFonts w:eastAsia="Calibri"/>
        </w:rPr>
        <w:t xml:space="preserve"> </w:t>
      </w:r>
      <w:r w:rsidRPr="00F873E2" w:rsidR="00F873E2">
        <w:rPr>
          <w:rFonts w:eastAsia="Calibri"/>
        </w:rPr>
        <w:t>essencial à justiça social, produção sustentável e inclusão, com autonomia para garantir soberania nacional e direitos humanos fundamentais (</w:t>
      </w:r>
      <w:r w:rsidRPr="00F873E2" w:rsidR="00B22008">
        <w:rPr>
          <w:rFonts w:eastAsia="Calibri"/>
        </w:rPr>
        <w:t>Bolla</w:t>
      </w:r>
      <w:r w:rsidRPr="00F873E2" w:rsidR="00F873E2">
        <w:rPr>
          <w:rFonts w:eastAsia="Calibri"/>
        </w:rPr>
        <w:t xml:space="preserve">, 1963; </w:t>
      </w:r>
      <w:r w:rsidRPr="00F873E2" w:rsidR="00B22008">
        <w:rPr>
          <w:rFonts w:eastAsia="Calibri"/>
        </w:rPr>
        <w:t>Barros</w:t>
      </w:r>
      <w:r w:rsidRPr="00F873E2" w:rsidR="00F873E2">
        <w:rPr>
          <w:rFonts w:eastAsia="Calibri"/>
        </w:rPr>
        <w:t xml:space="preserve">, 2009). O estudo da terra e da produção rural pede normas e princípios capazes de tratá-la não apenas como propriedade, mas como bem vital para a vida coletiva, alimentação e equilíbrio ecológico (Vivanco </w:t>
      </w:r>
      <w:r w:rsidRPr="00E17293" w:rsidR="00E17293">
        <w:rPr>
          <w:rFonts w:eastAsia="Calibri"/>
          <w:i/>
          <w:iCs/>
        </w:rPr>
        <w:t>apud</w:t>
      </w:r>
      <w:r w:rsidRPr="00F873E2" w:rsidR="00F873E2">
        <w:rPr>
          <w:rFonts w:eastAsia="Calibri"/>
        </w:rPr>
        <w:t xml:space="preserve"> Zenun, 198</w:t>
      </w:r>
      <w:r w:rsidR="00B22008">
        <w:rPr>
          <w:rFonts w:eastAsia="Calibri"/>
        </w:rPr>
        <w:t>4</w:t>
      </w:r>
      <w:r w:rsidRPr="00F873E2" w:rsidR="00F873E2">
        <w:rPr>
          <w:rFonts w:eastAsia="Calibri"/>
        </w:rPr>
        <w:t>; Maniglia, 2009).</w:t>
      </w:r>
    </w:p>
    <w:p w:rsidRPr="00244900" w:rsidR="005713C0" w:rsidP="007A6CE0" w:rsidRDefault="0029468A" w14:paraId="4F4E43DB" w14:textId="05E7BAC0">
      <w:pPr>
        <w:pStyle w:val="Corpodetexto"/>
        <w:spacing w:line="360" w:lineRule="auto"/>
        <w:jc w:val="both"/>
        <w:rPr>
          <w:rFonts w:eastAsia="Calibri"/>
          <w:color w:val="000000"/>
          <w:sz w:val="20"/>
          <w:szCs w:val="20"/>
        </w:rPr>
      </w:pPr>
      <w:r w:rsidRPr="0029468A">
        <w:rPr>
          <w:rFonts w:eastAsia="Calibri"/>
        </w:rPr>
        <w:t>O Direito Agrário nasce da fusão entre a norma e o campo: de um lado, as regras que organizam nossa vida em sociedade e, de outro, a essência produtiva da terra. É o ramo que humaniza as leis para disciplinar não apenas a posse do solo, mas toda a atividade agropecuária que sustenta a coletividade</w:t>
      </w:r>
      <w:r w:rsidR="007A6CE0">
        <w:rPr>
          <w:rFonts w:eastAsia="Calibri"/>
          <w:color w:val="000000"/>
        </w:rPr>
        <w:t>.</w:t>
      </w:r>
    </w:p>
    <w:p w:rsidR="00DB48B8" w:rsidP="00095198" w:rsidRDefault="008D46EF" w14:paraId="708C5395" w14:textId="77777777">
      <w:pPr>
        <w:pStyle w:val="Corpodetexto"/>
        <w:spacing w:line="360" w:lineRule="auto"/>
        <w:jc w:val="both"/>
      </w:pPr>
      <w:r>
        <w:rPr>
          <w:rFonts w:eastAsia="Calibri"/>
        </w:rPr>
        <w:t>Esse novo campo se consolida, sobretudo a partir do início do século XX, também pelo avanço das concepções internacionais e normativos de direitos humanos:</w:t>
      </w:r>
    </w:p>
    <w:p w:rsidR="00DB48B8" w:rsidP="00095198" w:rsidRDefault="008D46EF" w14:paraId="708C5396" w14:textId="459C8347">
      <w:pPr>
        <w:pStyle w:val="Corpodetexto"/>
        <w:numPr>
          <w:ilvl w:val="0"/>
          <w:numId w:val="3"/>
        </w:numPr>
        <w:spacing w:line="360" w:lineRule="auto"/>
        <w:jc w:val="both"/>
      </w:pPr>
      <w:r>
        <w:rPr>
          <w:rFonts w:eastAsia="Calibri"/>
        </w:rPr>
        <w:t>Declaração Universal dos Direitos Humanos (</w:t>
      </w:r>
      <w:r w:rsidR="00B22008">
        <w:rPr>
          <w:rFonts w:eastAsia="Calibri"/>
        </w:rPr>
        <w:t xml:space="preserve">DUDH, </w:t>
      </w:r>
      <w:r>
        <w:rPr>
          <w:rFonts w:eastAsia="Calibri"/>
        </w:rPr>
        <w:t>1948)</w:t>
      </w:r>
      <w:r>
        <w:rPr>
          <w:rFonts w:eastAsia="Calibri"/>
          <w:b/>
          <w:bCs/>
        </w:rPr>
        <w:t>:</w:t>
      </w:r>
      <w:r>
        <w:rPr>
          <w:rFonts w:eastAsia="Calibri"/>
        </w:rPr>
        <w:t> O artigo 25 reconhece o direito a um padrão de vida suficiente, o que inclui alimentação, saúde e bem-estar familiar.</w:t>
      </w:r>
    </w:p>
    <w:p w:rsidR="00DB48B8" w:rsidP="00095198" w:rsidRDefault="008D46EF" w14:paraId="708C5397" w14:textId="44B7D405">
      <w:pPr>
        <w:pStyle w:val="Corpodetexto"/>
        <w:numPr>
          <w:ilvl w:val="0"/>
          <w:numId w:val="3"/>
        </w:numPr>
        <w:spacing w:line="360" w:lineRule="auto"/>
        <w:jc w:val="both"/>
      </w:pPr>
      <w:r>
        <w:rPr>
          <w:rFonts w:eastAsia="Calibri"/>
        </w:rPr>
        <w:t>Pacto Internacional sobre Direitos Econômicos, Sociais e Culturais (</w:t>
      </w:r>
      <w:r w:rsidRPr="007C2922" w:rsidR="007C2922">
        <w:rPr>
          <w:rFonts w:eastAsia="Calibri"/>
        </w:rPr>
        <w:t>PIDESC</w:t>
      </w:r>
      <w:r w:rsidR="007C2922">
        <w:rPr>
          <w:rFonts w:eastAsia="Calibri"/>
        </w:rPr>
        <w:t xml:space="preserve">, </w:t>
      </w:r>
      <w:r>
        <w:rPr>
          <w:rFonts w:eastAsia="Calibri"/>
        </w:rPr>
        <w:t xml:space="preserve">1966): O artigo 11 reforça que toda pessoa tem direito a um padrão de vida adequado e que os Estados devem implementar políticas </w:t>
      </w:r>
      <w:r w:rsidR="00B131D3">
        <w:rPr>
          <w:rFonts w:eastAsia="Calibri"/>
        </w:rPr>
        <w:t>para o acesso de gêneros alimentícios</w:t>
      </w:r>
      <w:r>
        <w:rPr>
          <w:rFonts w:eastAsia="Calibri"/>
        </w:rPr>
        <w:t>.</w:t>
      </w:r>
    </w:p>
    <w:p w:rsidR="00DB48B8" w:rsidP="00095198" w:rsidRDefault="008D46EF" w14:paraId="708C5399" w14:textId="612E1A5B">
      <w:pPr>
        <w:pStyle w:val="Corpodetexto"/>
        <w:spacing w:line="360" w:lineRule="auto"/>
        <w:jc w:val="both"/>
      </w:pPr>
      <w:r>
        <w:rPr>
          <w:rFonts w:eastAsia="Calibri"/>
        </w:rPr>
        <w:t xml:space="preserve">Esses dispositivos tratam o acesso </w:t>
      </w:r>
      <w:r w:rsidR="00B131D3">
        <w:rPr>
          <w:rFonts w:eastAsia="Calibri"/>
        </w:rPr>
        <w:t xml:space="preserve">alimentar e </w:t>
      </w:r>
      <w:r>
        <w:rPr>
          <w:rFonts w:eastAsia="Calibri"/>
        </w:rPr>
        <w:t>a justiça agrária como dimensões inegavelmente vinculadas à efetivação dos direitos humanos, especialmente porque associam alimentação, dignidade e sustentabilidade ecológica ao direito à terra. Não se trata mais de declarações abstratas: exige-se do Estado ações concretas: proteção, inclusã</w:t>
      </w:r>
      <w:r>
        <w:rPr>
          <w:rFonts w:eastAsia="Calibri"/>
          <w:color w:val="000000"/>
        </w:rPr>
        <w:t>o, preservação, deste modo podemos concluir que para garantir que a terra sirva à coletividade.</w:t>
      </w:r>
    </w:p>
    <w:p w:rsidR="00DB48B8" w:rsidP="00095198" w:rsidRDefault="008D46EF" w14:paraId="708C539B" w14:textId="77777777">
      <w:pPr>
        <w:pStyle w:val="Corpodetexto"/>
        <w:spacing w:line="360" w:lineRule="auto"/>
        <w:jc w:val="both"/>
        <w:rPr>
          <w:rFonts w:eastAsia="Calibri"/>
        </w:rPr>
      </w:pPr>
      <w:r>
        <w:rPr>
          <w:rFonts w:eastAsia="Calibri"/>
        </w:rPr>
        <w:t xml:space="preserve">No Brasil, o reconhecimento e a estruturação do Direito Agrário como ramo autônomo consolidaram-se a partir de avanços normativos decisivos. </w:t>
      </w:r>
    </w:p>
    <w:p w:rsidRPr="006A2E96" w:rsidR="006A2E96" w:rsidP="006A2E96" w:rsidRDefault="008D46EF" w14:paraId="3A112EE5" w14:textId="77777777">
      <w:pPr>
        <w:pStyle w:val="Corpodetexto"/>
        <w:spacing w:line="360" w:lineRule="auto"/>
        <w:jc w:val="both"/>
        <w:rPr>
          <w:rFonts w:eastAsia="Calibri"/>
          <w:color w:val="000000"/>
        </w:rPr>
      </w:pPr>
      <w:r w:rsidRPr="006A2E96">
        <w:rPr>
          <w:rFonts w:eastAsia="Calibri"/>
          <w:color w:val="000000"/>
        </w:rPr>
        <w:t xml:space="preserve">De acordo com Marques: </w:t>
      </w:r>
    </w:p>
    <w:p w:rsidRPr="00C143C9" w:rsidR="00DB48B8" w:rsidP="006A2E96" w:rsidRDefault="008D46EF" w14:paraId="708C539C" w14:textId="1095EC14">
      <w:pPr>
        <w:pStyle w:val="Corpodetexto"/>
        <w:spacing w:line="360" w:lineRule="auto"/>
        <w:ind w:left="2268"/>
        <w:jc w:val="both"/>
        <w:rPr>
          <w:rFonts w:eastAsia="Calibri"/>
          <w:color w:val="000000"/>
          <w:sz w:val="20"/>
          <w:szCs w:val="20"/>
        </w:rPr>
      </w:pPr>
      <w:r w:rsidRPr="00C143C9">
        <w:rPr>
          <w:rFonts w:eastAsia="Calibri"/>
          <w:color w:val="000000"/>
          <w:sz w:val="20"/>
          <w:szCs w:val="20"/>
        </w:rPr>
        <w:t xml:space="preserve">O fato histórico de maior significado, todavia, foi a Emenda Constitucional no 10, de 9.11.64, publicada no dia 10.11.64, que conferiu autonomia legislativa ao Direito Agrário. Inseriu-se o Direito Agrário no rol das matérias cuja competência para legislar é exclusiva da União. Essa competência atualmente está prevista no art. 22, inc. I, da Constituição Federal. (Marques, </w:t>
      </w:r>
      <w:r w:rsidRPr="00C143C9" w:rsidR="00F56D78">
        <w:rPr>
          <w:rFonts w:eastAsia="Calibri"/>
          <w:color w:val="000000"/>
          <w:sz w:val="20"/>
          <w:szCs w:val="20"/>
        </w:rPr>
        <w:t>2015</w:t>
      </w:r>
      <w:r w:rsidR="00F56D78">
        <w:rPr>
          <w:rFonts w:eastAsia="Calibri"/>
          <w:color w:val="000000"/>
          <w:sz w:val="20"/>
          <w:szCs w:val="20"/>
        </w:rPr>
        <w:t xml:space="preserve">, </w:t>
      </w:r>
      <w:r w:rsidRPr="00C143C9">
        <w:rPr>
          <w:rFonts w:eastAsia="Calibri"/>
          <w:color w:val="000000"/>
          <w:sz w:val="20"/>
          <w:szCs w:val="20"/>
        </w:rPr>
        <w:t>pág. 57)</w:t>
      </w:r>
    </w:p>
    <w:p w:rsidR="007C2922" w:rsidP="00095198" w:rsidRDefault="009F22CD" w14:paraId="1DA03C48" w14:textId="12BAADF0">
      <w:pPr>
        <w:pStyle w:val="Corpodetexto"/>
        <w:spacing w:line="360" w:lineRule="auto"/>
        <w:jc w:val="both"/>
        <w:rPr>
          <w:rFonts w:eastAsia="Calibri"/>
        </w:rPr>
      </w:pPr>
      <w:r w:rsidRPr="009F22CD">
        <w:rPr>
          <w:rFonts w:eastAsia="Calibri"/>
        </w:rPr>
        <w:t xml:space="preserve">O Estatuto da Terra (Lei 4.504/1964) institui a função social da propriedade rural, demandando aproveitamento racional, preservação ambiental e </w:t>
      </w:r>
      <w:r w:rsidR="007C2922">
        <w:rPr>
          <w:rFonts w:eastAsia="Calibri"/>
        </w:rPr>
        <w:t xml:space="preserve">o </w:t>
      </w:r>
      <w:r w:rsidRPr="009F22CD">
        <w:rPr>
          <w:rFonts w:eastAsia="Calibri"/>
        </w:rPr>
        <w:t>benefício coletivo, erigindo a terra como instrumento essencial de segurança alimentar. Segundo Marques (2015), terra improdutiva trai sua missão constitucional, perdendo legitimidade jurídica. A CF/1988 aprofunda essa visão</w:t>
      </w:r>
      <w:r w:rsidR="007C2922">
        <w:rPr>
          <w:rFonts w:eastAsia="Calibri"/>
        </w:rPr>
        <w:t xml:space="preserve"> em seu</w:t>
      </w:r>
      <w:r w:rsidRPr="009F22CD">
        <w:rPr>
          <w:rFonts w:eastAsia="Calibri"/>
        </w:rPr>
        <w:t xml:space="preserve"> art. 5º, XXIII, </w:t>
      </w:r>
      <w:r w:rsidR="007C2922">
        <w:rPr>
          <w:rFonts w:eastAsia="Calibri"/>
        </w:rPr>
        <w:t xml:space="preserve">que </w:t>
      </w:r>
      <w:r w:rsidRPr="009F22CD">
        <w:rPr>
          <w:rFonts w:eastAsia="Calibri"/>
        </w:rPr>
        <w:t xml:space="preserve">subordina a propriedade ao interesse social; </w:t>
      </w:r>
      <w:r w:rsidR="007C2922">
        <w:rPr>
          <w:rFonts w:eastAsia="Calibri"/>
        </w:rPr>
        <w:t xml:space="preserve">já em seus </w:t>
      </w:r>
      <w:r w:rsidRPr="009F22CD">
        <w:rPr>
          <w:rFonts w:eastAsia="Calibri"/>
        </w:rPr>
        <w:t xml:space="preserve">arts. 184 e 186 detalham que seu cumprimento exige uso racional do solo, conservação ambiental, observância de normas trabalhistas e promoção do bem-estar coletivo. A função social </w:t>
      </w:r>
      <w:r w:rsidRPr="009F22CD" w:rsidR="007C2922">
        <w:rPr>
          <w:rFonts w:eastAsia="Calibri"/>
        </w:rPr>
        <w:t>legitim</w:t>
      </w:r>
      <w:r w:rsidR="007C2922">
        <w:rPr>
          <w:rFonts w:eastAsia="Calibri"/>
        </w:rPr>
        <w:t xml:space="preserve">a </w:t>
      </w:r>
      <w:r w:rsidRPr="009F22CD">
        <w:rPr>
          <w:rFonts w:eastAsia="Calibri"/>
        </w:rPr>
        <w:t>a terra</w:t>
      </w:r>
      <w:r w:rsidR="003E0D13">
        <w:rPr>
          <w:rFonts w:eastAsia="Calibri"/>
        </w:rPr>
        <w:t xml:space="preserve"> </w:t>
      </w:r>
      <w:r w:rsidRPr="009F22CD">
        <w:rPr>
          <w:rFonts w:eastAsia="Calibri"/>
        </w:rPr>
        <w:t>apenas quando orientada à produção de alimentos e à garantia da segurança alimentar da sociedade</w:t>
      </w:r>
      <w:r w:rsidR="007C2922">
        <w:rPr>
          <w:rFonts w:eastAsia="Calibri"/>
        </w:rPr>
        <w:t xml:space="preserve">. </w:t>
      </w:r>
      <w:r w:rsidRPr="00E86E11" w:rsidR="00E86E11">
        <w:rPr>
          <w:rFonts w:eastAsia="Calibri"/>
        </w:rPr>
        <w:t>Sem alimentos na mesa, a soberania revela-se ilusória, pois a fome gera fraqueza e vulnerabilidade (Marques, 2015).</w:t>
      </w:r>
    </w:p>
    <w:p w:rsidRPr="009F22CD" w:rsidR="009F22CD" w:rsidP="00095198" w:rsidRDefault="00E86E11" w14:paraId="0DF192FD" w14:textId="6BCB3257">
      <w:pPr>
        <w:pStyle w:val="Corpodetexto"/>
        <w:spacing w:line="360" w:lineRule="auto"/>
        <w:jc w:val="both"/>
        <w:rPr>
          <w:rFonts w:eastAsia="Calibri"/>
        </w:rPr>
      </w:pPr>
      <w:r>
        <w:rPr>
          <w:rFonts w:eastAsia="Calibri"/>
        </w:rPr>
        <w:t xml:space="preserve"> </w:t>
      </w:r>
      <w:r w:rsidRPr="009F22CD" w:rsidR="009F22CD">
        <w:rPr>
          <w:rFonts w:eastAsia="Calibri"/>
        </w:rPr>
        <w:t>A doutrina e a sociologia corroboram</w:t>
      </w:r>
      <w:r w:rsidR="003E0D13">
        <w:rPr>
          <w:rFonts w:eastAsia="Calibri"/>
        </w:rPr>
        <w:t xml:space="preserve"> com esse pensamento,</w:t>
      </w:r>
      <w:r w:rsidRPr="009F22CD" w:rsidR="009F22CD">
        <w:rPr>
          <w:rFonts w:eastAsia="Calibri"/>
        </w:rPr>
        <w:t xml:space="preserve"> </w:t>
      </w:r>
      <w:r w:rsidR="003E0D13">
        <w:rPr>
          <w:rFonts w:eastAsia="Calibri"/>
        </w:rPr>
        <w:t xml:space="preserve"> conforme disciplina </w:t>
      </w:r>
      <w:r w:rsidRPr="009F22CD" w:rsidR="009F22CD">
        <w:rPr>
          <w:rFonts w:eastAsia="Calibri"/>
        </w:rPr>
        <w:t>Castro (</w:t>
      </w:r>
      <w:r w:rsidR="00FB4A3F">
        <w:rPr>
          <w:rFonts w:eastAsia="Calibri"/>
        </w:rPr>
        <w:t>1984</w:t>
      </w:r>
      <w:r w:rsidRPr="009F22CD" w:rsidR="009F22CD">
        <w:rPr>
          <w:rFonts w:eastAsia="Calibri"/>
        </w:rPr>
        <w:t xml:space="preserve">) </w:t>
      </w:r>
      <w:r w:rsidR="003E0D13">
        <w:rPr>
          <w:rFonts w:eastAsia="Calibri"/>
        </w:rPr>
        <w:t xml:space="preserve">onde </w:t>
      </w:r>
      <w:r w:rsidRPr="009F22CD" w:rsidR="009F22CD">
        <w:rPr>
          <w:rFonts w:eastAsia="Calibri"/>
        </w:rPr>
        <w:t xml:space="preserve">denuncia a fome como expressão máxima da injustiça social e da má gestão da terra, realçando que a produção alimentar é o início e o fim da cidadania; </w:t>
      </w:r>
      <w:r w:rsidR="003E0D13">
        <w:rPr>
          <w:rFonts w:eastAsia="Calibri"/>
        </w:rPr>
        <w:t>Ribeiro</w:t>
      </w:r>
      <w:r w:rsidRPr="009F22CD" w:rsidR="009F22CD">
        <w:rPr>
          <w:rFonts w:eastAsia="Calibri"/>
        </w:rPr>
        <w:t xml:space="preserve"> (</w:t>
      </w:r>
      <w:r w:rsidR="003E0D13">
        <w:rPr>
          <w:rFonts w:eastAsia="Calibri"/>
        </w:rPr>
        <w:t>2014</w:t>
      </w:r>
      <w:r w:rsidRPr="009F22CD" w:rsidR="009F22CD">
        <w:rPr>
          <w:rFonts w:eastAsia="Calibri"/>
        </w:rPr>
        <w:t>)</w:t>
      </w:r>
      <w:r w:rsidR="003E0D13">
        <w:rPr>
          <w:rFonts w:eastAsia="Calibri"/>
        </w:rPr>
        <w:t>, influenciado por Mészáros</w:t>
      </w:r>
      <w:r w:rsidRPr="009F22CD" w:rsidR="009F22CD">
        <w:rPr>
          <w:rFonts w:eastAsia="Calibri"/>
        </w:rPr>
        <w:t xml:space="preserve"> </w:t>
      </w:r>
      <w:r w:rsidR="003E0D13">
        <w:rPr>
          <w:rFonts w:eastAsia="Calibri"/>
        </w:rPr>
        <w:t xml:space="preserve">ao </w:t>
      </w:r>
      <w:r w:rsidRPr="009F22CD" w:rsidR="009F22CD">
        <w:rPr>
          <w:rFonts w:eastAsia="Calibri"/>
        </w:rPr>
        <w:t>analisa</w:t>
      </w:r>
      <w:r w:rsidR="003E0D13">
        <w:rPr>
          <w:rFonts w:eastAsia="Calibri"/>
        </w:rPr>
        <w:t>r</w:t>
      </w:r>
      <w:r w:rsidRPr="009F22CD" w:rsidR="009F22CD">
        <w:rPr>
          <w:rFonts w:eastAsia="Calibri"/>
        </w:rPr>
        <w:t xml:space="preserve"> a terra</w:t>
      </w:r>
      <w:r w:rsidR="003E0D13">
        <w:rPr>
          <w:rFonts w:eastAsia="Calibri"/>
        </w:rPr>
        <w:t xml:space="preserve"> ressalta que</w:t>
      </w:r>
      <w:r w:rsidRPr="009F22CD" w:rsidR="009F22CD">
        <w:rPr>
          <w:rFonts w:eastAsia="Calibri"/>
        </w:rPr>
        <w:t xml:space="preserve"> </w:t>
      </w:r>
      <w:r w:rsidR="003E0D13">
        <w:rPr>
          <w:rFonts w:eastAsia="Calibri"/>
        </w:rPr>
        <w:t>é a</w:t>
      </w:r>
      <w:r w:rsidRPr="009F22CD" w:rsidR="009F22CD">
        <w:rPr>
          <w:rFonts w:eastAsia="Calibri"/>
        </w:rPr>
        <w:t xml:space="preserve"> base social e política, cujo controle produtivo e distributivo estrutura o destino dos povos; Bourdieu (1993), ao estudar a estrutura agrária, indica que só a terra usada para alimentar e incluir gera identidade, pertencimento e justiça concreta, superando o papel abstrato da lei; Comparato (</w:t>
      </w:r>
      <w:r w:rsidR="00FB4A3F">
        <w:rPr>
          <w:rFonts w:eastAsia="Calibri"/>
        </w:rPr>
        <w:t>2016</w:t>
      </w:r>
      <w:r w:rsidRPr="009F22CD" w:rsidR="009F22CD">
        <w:rPr>
          <w:rFonts w:eastAsia="Calibri"/>
        </w:rPr>
        <w:t>) reforça que o direito à alimentação e à terra produtiva é valor fundamental para a realização plena da existência coletiva.</w:t>
      </w:r>
    </w:p>
    <w:p w:rsidRPr="000A01F5" w:rsidR="00DB48B8" w:rsidP="00095198" w:rsidRDefault="008D46EF" w14:paraId="708C53A0" w14:textId="34AF228B">
      <w:pPr>
        <w:pStyle w:val="Corpodetexto"/>
        <w:spacing w:line="360" w:lineRule="auto"/>
        <w:jc w:val="both"/>
      </w:pPr>
      <w:r w:rsidRPr="000A01F5">
        <w:rPr>
          <w:rFonts w:eastAsia="Calibri"/>
        </w:rPr>
        <w:t>A partir desse conjunto de ideias, o Direito Agrário pode ser sintetizado como o ramo jurídico que disciplina normas sobre propriedade, posse, uso, organização, trabalho e políticas referentes ao solo rural e sua produção, sempre orientado pela justiça social, pela função social da terra, pela segurança alimentar e pelo progresso humano. É uma ciência multidisciplinar e sistêmica, integrando políticas econômicas, instrumentos sociais, mecanismos ambientais e salvaguardas jurídicas para garantir que a produção alimentar seja contínua, sustentável e destinada a atender a população. Assim, o Direito Agrário se destaca por construir a ponte entre a produção rural, a proteção do ecossistema e a efetivação dos direitos fundamentais (Marques, 2015)</w:t>
      </w:r>
      <w:r w:rsidR="00EE225E">
        <w:rPr>
          <w:rFonts w:eastAsia="Calibri"/>
        </w:rPr>
        <w:t>.</w:t>
      </w:r>
    </w:p>
    <w:p w:rsidRPr="000A01F5" w:rsidR="00DB48B8" w:rsidP="00095198" w:rsidRDefault="009A7FDC" w14:paraId="708C53A1" w14:textId="16373CC9">
      <w:pPr>
        <w:pStyle w:val="Corpodetexto"/>
        <w:spacing w:line="360" w:lineRule="auto"/>
        <w:jc w:val="both"/>
      </w:pPr>
      <w:r w:rsidRPr="009A7FDC">
        <w:rPr>
          <w:rFonts w:eastAsia="Calibri"/>
        </w:rPr>
        <w:t>A principal ruptura do Direito Agrário com o Direito Civil está em deslocar o foco do interesse patrimonial-individual para um sistema coletivo, distributivo, ecológico e humano, tornando-se fundamento da cidadania e alicerce da soberania popular via alimentação</w:t>
      </w:r>
      <w:r w:rsidR="006E602D">
        <w:rPr>
          <w:rFonts w:eastAsia="Calibri"/>
        </w:rPr>
        <w:t xml:space="preserve">, </w:t>
      </w:r>
      <w:r w:rsidRPr="006E602D" w:rsidR="006E602D">
        <w:rPr>
          <w:rFonts w:eastAsia="Calibri"/>
        </w:rPr>
        <w:t>princípio reconhecido tanto no âmbito nacional quanto internacional.</w:t>
      </w:r>
      <w:r>
        <w:rPr>
          <w:rFonts w:eastAsia="Calibri"/>
        </w:rPr>
        <w:t xml:space="preserve"> </w:t>
      </w:r>
      <w:r w:rsidRPr="009A7FDC">
        <w:rPr>
          <w:rFonts w:eastAsia="Calibri"/>
        </w:rPr>
        <w:t>A terra cumpre função social ao produzir alimentos,</w:t>
      </w:r>
      <w:r>
        <w:rPr>
          <w:rFonts w:eastAsia="Calibri"/>
        </w:rPr>
        <w:t xml:space="preserve"> </w:t>
      </w:r>
      <w:r w:rsidRPr="000A01F5" w:rsidR="008D46EF">
        <w:rPr>
          <w:rFonts w:eastAsia="Calibri"/>
        </w:rPr>
        <w:t xml:space="preserve">e o Direito Agrário é o guardião jurídico dessa missão, organizando a cadeia produtiva e </w:t>
      </w:r>
      <w:r>
        <w:rPr>
          <w:rFonts w:eastAsia="Calibri"/>
        </w:rPr>
        <w:t xml:space="preserve">garantindo gêneros </w:t>
      </w:r>
      <w:r w:rsidRPr="000A01F5" w:rsidR="008D46EF">
        <w:rPr>
          <w:rFonts w:eastAsia="Calibri"/>
        </w:rPr>
        <w:t xml:space="preserve">essenciais </w:t>
      </w:r>
      <w:r>
        <w:rPr>
          <w:rFonts w:eastAsia="Calibri"/>
        </w:rPr>
        <w:t>a</w:t>
      </w:r>
      <w:r w:rsidRPr="000A01F5" w:rsidR="008D46EF">
        <w:rPr>
          <w:rFonts w:eastAsia="Calibri"/>
        </w:rPr>
        <w:t xml:space="preserve">o povo, </w:t>
      </w:r>
      <w:r>
        <w:rPr>
          <w:rFonts w:eastAsia="Calibri"/>
        </w:rPr>
        <w:t xml:space="preserve">em proteção aos valores constitucionais supremos </w:t>
      </w:r>
      <w:r w:rsidRPr="000A01F5" w:rsidR="008D46EF">
        <w:rPr>
          <w:rFonts w:eastAsia="Calibri"/>
        </w:rPr>
        <w:t>(Marques, 2015).</w:t>
      </w:r>
    </w:p>
    <w:p w:rsidR="00E42D8B" w:rsidP="00095198" w:rsidRDefault="008D46EF" w14:paraId="3EA1380F" w14:textId="14B8550D">
      <w:pPr>
        <w:pStyle w:val="Corpodetexto"/>
        <w:spacing w:line="360" w:lineRule="auto"/>
        <w:jc w:val="both"/>
        <w:rPr>
          <w:rFonts w:eastAsia="Calibri"/>
        </w:rPr>
      </w:pPr>
      <w:r>
        <w:rPr>
          <w:rFonts w:eastAsia="Calibri"/>
        </w:rPr>
        <w:t xml:space="preserve">Conclui-se, portanto, que a complexidade e centralidade do Direito Agrário decorrem de seu poder de transformar realidades humanas, </w:t>
      </w:r>
      <w:r w:rsidRPr="00C22516" w:rsidR="00C22516">
        <w:rPr>
          <w:rFonts w:eastAsia="Calibri"/>
        </w:rPr>
        <w:t>promovendo dignidade popular e subordinando terra, alimento e meio ambiente ao bem coletivo</w:t>
      </w:r>
      <w:r w:rsidR="00C22516">
        <w:rPr>
          <w:rFonts w:eastAsia="Calibri"/>
        </w:rPr>
        <w:t xml:space="preserve">. </w:t>
      </w:r>
      <w:r w:rsidR="00E42D8B">
        <w:rPr>
          <w:rFonts w:eastAsia="Calibri"/>
        </w:rPr>
        <w:t>Concluindo ao direito agrário, sua multidisciplinariedade,</w:t>
      </w:r>
      <w:r w:rsidRPr="00C22516" w:rsidR="00C22516">
        <w:rPr>
          <w:rFonts w:ascii="Georgia" w:hAnsi="Georgia" w:cs="Segoe UI"/>
          <w:color w:val="000000"/>
          <w:spacing w:val="-6"/>
        </w:rPr>
        <w:t xml:space="preserve"> </w:t>
      </w:r>
      <w:r w:rsidRPr="00C22516" w:rsidR="00C22516">
        <w:rPr>
          <w:rFonts w:eastAsia="Calibri"/>
        </w:rPr>
        <w:t>social, econômica, ambiental e institucional como dimensão humanística.</w:t>
      </w:r>
    </w:p>
    <w:p w:rsidR="00936DD7" w:rsidP="006005BD" w:rsidRDefault="00936DD7" w14:paraId="64F92501" w14:textId="77777777">
      <w:pPr>
        <w:pStyle w:val="Corpodetexto"/>
        <w:spacing w:after="0" w:line="240" w:lineRule="auto"/>
        <w:jc w:val="both"/>
        <w:rPr>
          <w:rFonts w:eastAsia="Calibri"/>
        </w:rPr>
      </w:pPr>
    </w:p>
    <w:p w:rsidRPr="00936DD7" w:rsidR="00936DD7" w:rsidP="00903947" w:rsidRDefault="00936DD7" w14:paraId="330403CD" w14:textId="77777777">
      <w:pPr>
        <w:pStyle w:val="Corpodetexto"/>
        <w:spacing w:line="240" w:lineRule="auto"/>
        <w:jc w:val="both"/>
        <w:rPr>
          <w:rFonts w:eastAsia="Calibri"/>
        </w:rPr>
      </w:pPr>
    </w:p>
    <w:p w:rsidR="00244900" w:rsidP="00D614A5" w:rsidRDefault="00244900" w14:paraId="43AC869A" w14:textId="15F25E9B">
      <w:pPr>
        <w:spacing w:after="160" w:line="360" w:lineRule="auto"/>
        <w:jc w:val="both"/>
        <w:rPr>
          <w:color w:val="000000"/>
          <w:lang w:val="pt-PT" w:eastAsia="en-US"/>
        </w:rPr>
      </w:pPr>
      <w:r>
        <w:rPr>
          <w:color w:val="000000"/>
          <w:lang w:val="pt-PT" w:eastAsia="en-US"/>
        </w:rPr>
        <w:t>1.</w:t>
      </w:r>
      <w:r w:rsidR="006E602D">
        <w:rPr>
          <w:color w:val="000000"/>
          <w:lang w:val="pt-PT" w:eastAsia="en-US"/>
        </w:rPr>
        <w:t>3</w:t>
      </w:r>
      <w:r>
        <w:rPr>
          <w:color w:val="000000"/>
          <w:lang w:val="pt-PT" w:eastAsia="en-US"/>
        </w:rPr>
        <w:t xml:space="preserve"> </w:t>
      </w:r>
      <w:r w:rsidRPr="00244900" w:rsidR="008D46EF">
        <w:rPr>
          <w:color w:val="000000"/>
          <w:lang w:val="pt-PT" w:eastAsia="en-US"/>
        </w:rPr>
        <w:t>ASPECTOS</w:t>
      </w:r>
      <w:r w:rsidRPr="00244900" w:rsidR="008D46EF">
        <w:rPr>
          <w:color w:val="000000"/>
          <w:spacing w:val="-6"/>
          <w:lang w:val="pt-PT" w:eastAsia="en-US"/>
        </w:rPr>
        <w:t xml:space="preserve"> </w:t>
      </w:r>
      <w:r w:rsidRPr="00244900" w:rsidR="008D46EF">
        <w:rPr>
          <w:color w:val="000000"/>
          <w:lang w:val="pt-PT" w:eastAsia="en-US"/>
        </w:rPr>
        <w:t>SOCIAIS,</w:t>
      </w:r>
      <w:r w:rsidRPr="00244900" w:rsidR="008D46EF">
        <w:rPr>
          <w:color w:val="000000"/>
          <w:spacing w:val="-6"/>
          <w:lang w:val="pt-PT" w:eastAsia="en-US"/>
        </w:rPr>
        <w:t xml:space="preserve"> </w:t>
      </w:r>
      <w:r w:rsidRPr="00244900" w:rsidR="008D46EF">
        <w:rPr>
          <w:color w:val="000000"/>
          <w:lang w:val="pt-PT" w:eastAsia="en-US"/>
        </w:rPr>
        <w:t>ECONÔMICOS,</w:t>
      </w:r>
      <w:r w:rsidRPr="00244900" w:rsidR="008D46EF">
        <w:rPr>
          <w:color w:val="000000"/>
          <w:spacing w:val="-6"/>
          <w:lang w:val="pt-PT" w:eastAsia="en-US"/>
        </w:rPr>
        <w:t xml:space="preserve"> </w:t>
      </w:r>
      <w:r w:rsidRPr="00244900" w:rsidR="008D46EF">
        <w:rPr>
          <w:color w:val="000000"/>
          <w:lang w:val="pt-PT" w:eastAsia="en-US"/>
        </w:rPr>
        <w:t>AMBIENTAIS</w:t>
      </w:r>
      <w:r w:rsidRPr="00244900" w:rsidR="008D46EF">
        <w:rPr>
          <w:color w:val="000000"/>
          <w:spacing w:val="-6"/>
          <w:lang w:val="pt-PT" w:eastAsia="en-US"/>
        </w:rPr>
        <w:t xml:space="preserve"> </w:t>
      </w:r>
      <w:r w:rsidRPr="00244900" w:rsidR="008D46EF">
        <w:rPr>
          <w:color w:val="000000"/>
          <w:lang w:val="pt-PT" w:eastAsia="en-US"/>
        </w:rPr>
        <w:t>E</w:t>
      </w:r>
      <w:r w:rsidRPr="00244900" w:rsidR="008D46EF">
        <w:rPr>
          <w:color w:val="000000"/>
          <w:spacing w:val="-6"/>
          <w:lang w:val="pt-PT" w:eastAsia="en-US"/>
        </w:rPr>
        <w:t xml:space="preserve"> </w:t>
      </w:r>
      <w:r w:rsidRPr="00244900" w:rsidR="008D46EF">
        <w:rPr>
          <w:color w:val="000000"/>
          <w:lang w:val="pt-PT" w:eastAsia="en-US"/>
        </w:rPr>
        <w:t>JUR</w:t>
      </w:r>
      <w:r w:rsidR="007E634C">
        <w:rPr>
          <w:color w:val="000000"/>
          <w:lang w:val="pt-PT" w:eastAsia="en-US"/>
        </w:rPr>
        <w:t>Í</w:t>
      </w:r>
      <w:r w:rsidRPr="00244900" w:rsidR="008D46EF">
        <w:rPr>
          <w:color w:val="000000"/>
          <w:lang w:val="pt-PT" w:eastAsia="en-US"/>
        </w:rPr>
        <w:t>DICOS</w:t>
      </w:r>
      <w:r w:rsidRPr="00244900" w:rsidR="008D46EF">
        <w:rPr>
          <w:color w:val="000000"/>
          <w:spacing w:val="-6"/>
          <w:lang w:val="pt-PT" w:eastAsia="en-US"/>
        </w:rPr>
        <w:t xml:space="preserve"> </w:t>
      </w:r>
      <w:r w:rsidRPr="00244900" w:rsidR="008D46EF">
        <w:rPr>
          <w:color w:val="000000"/>
          <w:lang w:val="pt-PT" w:eastAsia="en-US"/>
        </w:rPr>
        <w:t>DO</w:t>
      </w:r>
      <w:r w:rsidRPr="00244900" w:rsidR="008D46EF">
        <w:rPr>
          <w:color w:val="000000"/>
          <w:spacing w:val="-6"/>
          <w:lang w:val="pt-PT" w:eastAsia="en-US"/>
        </w:rPr>
        <w:t xml:space="preserve"> </w:t>
      </w:r>
      <w:r w:rsidRPr="00244900" w:rsidR="008D46EF">
        <w:rPr>
          <w:color w:val="000000"/>
          <w:lang w:val="pt-PT" w:eastAsia="en-US"/>
        </w:rPr>
        <w:t>DI- REITO AGRÁRIO</w:t>
      </w:r>
    </w:p>
    <w:p w:rsidR="00D614A5" w:rsidP="00D614A5" w:rsidRDefault="00D614A5" w14:paraId="0A8EC9A3" w14:textId="77777777">
      <w:pPr>
        <w:jc w:val="both"/>
        <w:rPr>
          <w:color w:val="000000"/>
          <w:lang w:val="pt-PT" w:eastAsia="en-US"/>
        </w:rPr>
      </w:pPr>
    </w:p>
    <w:p w:rsidRPr="00244900" w:rsidR="00D614A5" w:rsidP="00D614A5" w:rsidRDefault="00D614A5" w14:paraId="1D7F76E8" w14:textId="77777777">
      <w:pPr>
        <w:spacing w:line="360" w:lineRule="auto"/>
        <w:jc w:val="both"/>
        <w:rPr>
          <w:color w:val="000000"/>
          <w:lang w:val="pt-PT" w:eastAsia="en-US"/>
        </w:rPr>
      </w:pPr>
    </w:p>
    <w:p w:rsidR="00936DD7" w:rsidP="00095198" w:rsidRDefault="00936DD7" w14:paraId="03972099" w14:textId="0097509D">
      <w:pPr>
        <w:pStyle w:val="Corpodetexto"/>
        <w:spacing w:line="360" w:lineRule="auto"/>
        <w:jc w:val="both"/>
        <w:rPr>
          <w:lang w:val="pt-PT" w:eastAsia="en-US"/>
        </w:rPr>
      </w:pPr>
      <w:bookmarkStart w:name="OLE_LINK16" w:id="5"/>
      <w:r w:rsidRPr="00936DD7">
        <w:rPr>
          <w:lang w:eastAsia="en-US"/>
        </w:rPr>
        <w:t>O Direito Agrário, como ramo jurídico autônomo, ganha reconhecimento crescente como instrumento para realizar direitos humanos fundamentais.</w:t>
      </w:r>
      <w:r w:rsidR="006E602D">
        <w:rPr>
          <w:lang w:eastAsia="en-US"/>
        </w:rPr>
        <w:t xml:space="preserve"> </w:t>
      </w:r>
      <w:r w:rsidRPr="00936DD7">
        <w:rPr>
          <w:lang w:eastAsia="en-US"/>
        </w:rPr>
        <w:t>Vai além da mera ordenação da posse ou produção rural, promovendo segurança alimentar, mediando relações sociais e defendendo a dignidade dos povos.</w:t>
      </w:r>
      <w:bookmarkEnd w:id="5"/>
    </w:p>
    <w:p w:rsidR="00DB48B8" w:rsidP="00095198" w:rsidRDefault="008D46EF" w14:paraId="708C53A6" w14:textId="0EA49551">
      <w:pPr>
        <w:pStyle w:val="Corpodetexto"/>
        <w:spacing w:line="360" w:lineRule="auto"/>
        <w:jc w:val="both"/>
      </w:pPr>
      <w:r>
        <w:rPr>
          <w:lang w:val="pt-PT" w:eastAsia="en-US"/>
        </w:rPr>
        <w:t xml:space="preserve">Do ponto de vista social, a evolução do direito agrário se confunde com a luta contra desigualdades históricas. </w:t>
      </w:r>
      <w:r w:rsidRPr="00D614A5" w:rsidR="00D614A5">
        <w:rPr>
          <w:lang w:eastAsia="en-US"/>
        </w:rPr>
        <w:t>Neto</w:t>
      </w:r>
      <w:r w:rsidRPr="00D614A5" w:rsidR="00D614A5">
        <w:rPr>
          <w:lang w:val="pt-PT" w:eastAsia="en-US"/>
        </w:rPr>
        <w:t xml:space="preserve"> </w:t>
      </w:r>
      <w:r>
        <w:rPr>
          <w:lang w:val="pt-PT" w:eastAsia="en-US"/>
        </w:rPr>
        <w:t>(</w:t>
      </w:r>
      <w:r w:rsidR="00D614A5">
        <w:rPr>
          <w:lang w:val="pt-PT" w:eastAsia="en-US"/>
        </w:rPr>
        <w:t>2016</w:t>
      </w:r>
      <w:r>
        <w:rPr>
          <w:lang w:val="pt-PT" w:eastAsia="en-US"/>
        </w:rPr>
        <w:t>) destaca que a multifuncionalidade da agricultura</w:t>
      </w:r>
      <w:r w:rsidR="00C143C9">
        <w:rPr>
          <w:lang w:val="pt-PT" w:eastAsia="en-US"/>
        </w:rPr>
        <w:t xml:space="preserve"> </w:t>
      </w:r>
      <w:r>
        <w:rPr>
          <w:lang w:val="pt-PT" w:eastAsia="en-US"/>
        </w:rPr>
        <w:t xml:space="preserve">(social, ambiental, </w:t>
      </w:r>
      <w:r w:rsidR="000D758D">
        <w:rPr>
          <w:lang w:val="pt-PT" w:eastAsia="en-US"/>
        </w:rPr>
        <w:t>econômica) orienta</w:t>
      </w:r>
      <w:r>
        <w:rPr>
          <w:lang w:val="pt-PT" w:eastAsia="en-US"/>
        </w:rPr>
        <w:t xml:space="preserve"> este ramo do direito para além da simples ótica produtivista, tornando-se um eixo para o desenvolvimento sustentável e a coesão social. No plano internacional, que defende o direito agrário como mecanismo de proteção dos economicamente mais débeis, valorizando tradições, costumes e a cooperação global para garantir alimentação adequada e equidade entre nações</w:t>
      </w:r>
      <w:r w:rsidR="00E17293">
        <w:rPr>
          <w:lang w:val="pt-PT" w:eastAsia="en-US"/>
        </w:rPr>
        <w:t xml:space="preserve"> (Hernandez </w:t>
      </w:r>
      <w:r w:rsidRPr="002F797D" w:rsidR="00E17293">
        <w:rPr>
          <w:i/>
          <w:iCs/>
          <w:lang w:val="pt-PT" w:eastAsia="en-US"/>
        </w:rPr>
        <w:t>apud</w:t>
      </w:r>
      <w:r w:rsidR="00E17293">
        <w:rPr>
          <w:lang w:val="pt-PT" w:eastAsia="en-US"/>
        </w:rPr>
        <w:t xml:space="preserve"> Maniglia, 2009)</w:t>
      </w:r>
      <w:r>
        <w:rPr>
          <w:lang w:val="pt-PT" w:eastAsia="en-US"/>
        </w:rPr>
        <w:t xml:space="preserve">. </w:t>
      </w:r>
      <w:r w:rsidRPr="00373428" w:rsidR="00373428">
        <w:rPr>
          <w:lang w:eastAsia="en-US"/>
        </w:rPr>
        <w:t>Hausen</w:t>
      </w:r>
      <w:r w:rsidRPr="00373428" w:rsidR="00373428">
        <w:rPr>
          <w:lang w:val="pt-PT" w:eastAsia="en-US"/>
        </w:rPr>
        <w:t xml:space="preserve"> </w:t>
      </w:r>
      <w:r w:rsidR="00373428">
        <w:rPr>
          <w:lang w:val="pt-PT" w:eastAsia="en-US"/>
        </w:rPr>
        <w:t xml:space="preserve">e </w:t>
      </w:r>
      <w:r w:rsidRPr="00373428" w:rsidR="00373428">
        <w:rPr>
          <w:lang w:eastAsia="en-US"/>
        </w:rPr>
        <w:t>Launiala</w:t>
      </w:r>
      <w:r w:rsidRPr="00373428" w:rsidR="00373428">
        <w:rPr>
          <w:lang w:val="pt-PT" w:eastAsia="en-US"/>
        </w:rPr>
        <w:t xml:space="preserve"> </w:t>
      </w:r>
      <w:r>
        <w:rPr>
          <w:lang w:val="pt-PT" w:eastAsia="en-US"/>
        </w:rPr>
        <w:t>(</w:t>
      </w:r>
      <w:r w:rsidR="00540CAD">
        <w:rPr>
          <w:lang w:val="pt-PT" w:eastAsia="en-US"/>
        </w:rPr>
        <w:t>2015</w:t>
      </w:r>
      <w:r>
        <w:rPr>
          <w:lang w:val="pt-PT" w:eastAsia="en-US"/>
        </w:rPr>
        <w:t xml:space="preserve">, p. </w:t>
      </w:r>
      <w:r w:rsidR="00540CAD">
        <w:rPr>
          <w:lang w:val="pt-PT" w:eastAsia="en-US"/>
        </w:rPr>
        <w:t>15</w:t>
      </w:r>
      <w:r>
        <w:rPr>
          <w:lang w:val="pt-PT" w:eastAsia="en-US"/>
        </w:rPr>
        <w:t>) reforça</w:t>
      </w:r>
      <w:r w:rsidR="006E602D">
        <w:rPr>
          <w:lang w:val="pt-PT" w:eastAsia="en-US"/>
        </w:rPr>
        <w:t>m</w:t>
      </w:r>
      <w:r>
        <w:rPr>
          <w:lang w:val="pt-PT" w:eastAsia="en-US"/>
        </w:rPr>
        <w:t>: "</w:t>
      </w:r>
      <w:r w:rsidRPr="002F797D" w:rsidR="002F797D">
        <w:rPr>
          <w:rFonts w:ascii="Noto Sans" w:hAnsi="Noto Sans" w:cs="Noto Sans"/>
          <w:color w:val="111111"/>
          <w:sz w:val="27"/>
          <w:szCs w:val="27"/>
          <w:shd w:val="clear" w:color="auto" w:fill="FFFFFF"/>
        </w:rPr>
        <w:t xml:space="preserve"> </w:t>
      </w:r>
      <w:r w:rsidRPr="002F797D" w:rsidR="002F797D">
        <w:rPr>
          <w:lang w:eastAsia="en-US"/>
        </w:rPr>
        <w:t>Direitos humanos são indivisíveis. Sejam de natureza civil, política, econômica, social ou cultural, eles são todos inerentes à dignidade de toda pessoa humana.</w:t>
      </w:r>
      <w:r w:rsidRPr="002F797D" w:rsidR="002F797D">
        <w:rPr>
          <w:lang w:val="pt-PT" w:eastAsia="en-US"/>
        </w:rPr>
        <w:t xml:space="preserve"> </w:t>
      </w:r>
      <w:r>
        <w:rPr>
          <w:lang w:val="pt-PT" w:eastAsia="en-US"/>
        </w:rPr>
        <w:t>". A interdisciplinaridade também é ressaltada como basilar: “</w:t>
      </w:r>
      <w:r w:rsidRPr="00373428" w:rsidR="00373428">
        <w:rPr>
          <w:lang w:eastAsia="en-US"/>
        </w:rPr>
        <w:t>Nesse propósito é basilar a interdisciplinaridade e</w:t>
      </w:r>
      <w:r w:rsidR="00373428">
        <w:rPr>
          <w:lang w:eastAsia="en-US"/>
        </w:rPr>
        <w:t>m a</w:t>
      </w:r>
      <w:r w:rsidRPr="00373428" w:rsidR="00373428">
        <w:rPr>
          <w:lang w:eastAsia="en-US"/>
        </w:rPr>
        <w:t>bordagens que contemplam interseções entre as institucionalidades do mundo sociojurídico e as intersubjetividades das relações cotidianas</w:t>
      </w:r>
      <w:r>
        <w:rPr>
          <w:lang w:val="pt-PT" w:eastAsia="en-US"/>
        </w:rPr>
        <w:t xml:space="preserve">” (Freitas; Ponzilacqua, 2020, p. 10). </w:t>
      </w:r>
    </w:p>
    <w:p w:rsidRPr="00531427" w:rsidR="00531427" w:rsidP="00095198" w:rsidRDefault="00531427" w14:paraId="331DB856" w14:textId="5FAFBE11">
      <w:pPr>
        <w:pStyle w:val="Corpodetexto"/>
        <w:spacing w:line="360" w:lineRule="auto"/>
        <w:jc w:val="both"/>
      </w:pPr>
      <w:bookmarkStart w:name="OLE_LINK18" w:id="6"/>
      <w:r w:rsidRPr="00531427">
        <w:t>Na dimensão econômica, o Direito Agrário revela que o controle do alimento é um vetor de poder: não se trata apenas da produção ou da exportação, mas do peso estratégico que o alimento representa. Historicamente, a manutenção artificial de estoques, políticas de escassez e especulação de alimentos são usadas como instrumentos de barganha política e econômica, privilegiando grandes nações ou conglomerados econômicos em detrimento da soberania de povos menos favorecidos. Assim, o alimento, além de seu valor nutricional, adquire perfil geopolítico</w:t>
      </w:r>
      <w:r>
        <w:t xml:space="preserve">, </w:t>
      </w:r>
      <w:r w:rsidRPr="00531427">
        <w:t>sendo mantido, encarecido ou redirecionado para setores estratégico</w:t>
      </w:r>
      <w:r>
        <w:t>s</w:t>
      </w:r>
      <w:r w:rsidRPr="00531427">
        <w:t>, afetando diretamente a segurança de comunidades vulneráveis e perpetuando relações de dependência. Quando ocorrem crises políticas, econômicas ou ambientais, a fome pode ser instrumentalizada, intensificando desigualdades e ferindo a dignidade e soberania dos povos (Sen, 2010). Por isso, o Direito Agrário, ao disciplinar não só a posse, mas também as obrigações de uso social, produtivo e distributivo da terra, pode ser o principal instrumento para frear a instrumentalização estratégica do alimento, promovendo justiça e reduzindo vulnerabilidades.</w:t>
      </w:r>
    </w:p>
    <w:bookmarkEnd w:id="6"/>
    <w:p w:rsidR="00DB48B8" w:rsidP="00095198" w:rsidRDefault="008E31F2" w14:paraId="708C53AA" w14:textId="70F4EE32">
      <w:pPr>
        <w:pStyle w:val="Corpodetexto"/>
        <w:spacing w:line="360" w:lineRule="auto"/>
        <w:jc w:val="both"/>
      </w:pPr>
      <w:r w:rsidRPr="008E31F2">
        <w:rPr>
          <w:lang w:eastAsia="en-US"/>
        </w:rPr>
        <w:t>A dimensão jurídica evidencia-se, no Brasil, na teia de normas e princípios que estruturam o Direito Agrário</w:t>
      </w:r>
      <w:r w:rsidR="008D46EF">
        <w:rPr>
          <w:lang w:val="pt-PT" w:eastAsia="en-US"/>
        </w:rPr>
        <w:t>: além da função social (art. 186 CF</w:t>
      </w:r>
      <w:r w:rsidR="00157BD3">
        <w:rPr>
          <w:lang w:val="pt-PT" w:eastAsia="en-US"/>
        </w:rPr>
        <w:t>RB</w:t>
      </w:r>
      <w:r w:rsidR="008D46EF">
        <w:rPr>
          <w:lang w:val="pt-PT" w:eastAsia="en-US"/>
        </w:rPr>
        <w:t>), há a proteção à pequena propriedade familiar (art. 5º, XXVI CF</w:t>
      </w:r>
      <w:r w:rsidR="00157BD3">
        <w:rPr>
          <w:lang w:val="pt-PT" w:eastAsia="en-US"/>
        </w:rPr>
        <w:t>RB</w:t>
      </w:r>
      <w:r w:rsidR="008D46EF">
        <w:rPr>
          <w:lang w:val="pt-PT" w:eastAsia="en-US"/>
        </w:rPr>
        <w:t>), igualdade de direitos entre trabalhadores urbanos e rurais (art. 7º CF</w:t>
      </w:r>
      <w:r w:rsidR="00157BD3">
        <w:rPr>
          <w:lang w:val="pt-PT" w:eastAsia="en-US"/>
        </w:rPr>
        <w:t>RB</w:t>
      </w:r>
      <w:r w:rsidR="008D46EF">
        <w:rPr>
          <w:lang w:val="pt-PT" w:eastAsia="en-US"/>
        </w:rPr>
        <w:t>), limitação para aquisição/arrendamento de terras, e punição para uso ilícito da terra (art. 243 CF</w:t>
      </w:r>
      <w:r w:rsidR="00157BD3">
        <w:rPr>
          <w:lang w:val="pt-PT" w:eastAsia="en-US"/>
        </w:rPr>
        <w:t>RB</w:t>
      </w:r>
      <w:r w:rsidR="008D46EF">
        <w:rPr>
          <w:lang w:val="pt-PT" w:eastAsia="en-US"/>
        </w:rPr>
        <w:t>). O diálogo com o direito constitucional que coloca a dignidade da pessoa humana como fundamento (art. 1º, III CF</w:t>
      </w:r>
      <w:r w:rsidR="00157BD3">
        <w:rPr>
          <w:lang w:val="pt-PT" w:eastAsia="en-US"/>
        </w:rPr>
        <w:t>RB</w:t>
      </w:r>
      <w:r w:rsidR="008D46EF">
        <w:rPr>
          <w:lang w:val="pt-PT" w:eastAsia="en-US"/>
        </w:rPr>
        <w:t xml:space="preserve">): </w:t>
      </w:r>
      <w:r w:rsidR="006E602D">
        <w:rPr>
          <w:lang w:val="pt-PT" w:eastAsia="en-US"/>
        </w:rPr>
        <w:t xml:space="preserve">revela </w:t>
      </w:r>
      <w:r w:rsidR="008D46EF">
        <w:rPr>
          <w:lang w:val="pt-PT" w:eastAsia="en-US"/>
        </w:rPr>
        <w:t>o caráter humanístico do direito agrário, tornando-o elo entre justiça social, proteção ambiental e promoção de políticas públicas inclusivas.</w:t>
      </w:r>
    </w:p>
    <w:p w:rsidR="008B6A5A" w:rsidP="00095198" w:rsidRDefault="008D46EF" w14:paraId="70D7C7F9" w14:textId="47F50C81">
      <w:pPr>
        <w:pStyle w:val="Corpodetexto"/>
        <w:spacing w:line="360" w:lineRule="auto"/>
        <w:jc w:val="both"/>
        <w:rPr>
          <w:lang w:val="pt-PT" w:eastAsia="en-US"/>
        </w:rPr>
      </w:pPr>
      <w:r>
        <w:rPr>
          <w:lang w:val="pt-PT" w:eastAsia="en-US"/>
        </w:rPr>
        <w:t>Em contextos de crise, como guerras, catástrofes ambientais ou instabilidades políticas, a instrumentalização da fome se torna uma realidade perversa: a restrição de acesso aos alimentos é usada como vetor de dominação, exclusão ou desmobilização das comunidades. Nessas situações, o fortalecimento do direito agrário e a efetiva aplicação de seus princípios tornam-se essenciais para proteger a dignidade humana, garantir soberania e, sobretudo, assegurar que as escolhas alimentares das populações não sejam submetidas a interesses alheios aos seus direitos fundamentais.</w:t>
      </w:r>
      <w:r w:rsidR="008B6A5A">
        <w:rPr>
          <w:lang w:val="pt-PT" w:eastAsia="en-US"/>
        </w:rPr>
        <w:t xml:space="preserve"> </w:t>
      </w:r>
    </w:p>
    <w:p w:rsidR="00EB5B97" w:rsidP="00095198" w:rsidRDefault="001A1A6E" w14:paraId="77CC9D9B" w14:textId="247AA848">
      <w:pPr>
        <w:suppressAutoHyphens/>
        <w:spacing w:line="360" w:lineRule="auto"/>
        <w:jc w:val="both"/>
        <w:rPr>
          <w:b/>
          <w:bCs/>
        </w:rPr>
      </w:pPr>
      <w:r w:rsidRPr="001A1A6E">
        <w:rPr>
          <w:lang w:eastAsia="en-US"/>
        </w:rPr>
        <w:t>Portanto, somente um Direito Agrário vivo, pautado pela justiça social, pelo compromisso democrático e pela sustentabilidade, pode garantir, ao mesmo tempo, alimentação digna e respeito aos povos do campo</w:t>
      </w:r>
      <w:r>
        <w:rPr>
          <w:lang w:eastAsia="en-US"/>
        </w:rPr>
        <w:t xml:space="preserve">, </w:t>
      </w:r>
      <w:r w:rsidRPr="001A1A6E">
        <w:rPr>
          <w:lang w:eastAsia="en-US"/>
        </w:rPr>
        <w:t xml:space="preserve">não apenas superando a fome, mas forjando soberania plena diante </w:t>
      </w:r>
      <w:r>
        <w:rPr>
          <w:lang w:eastAsia="en-US"/>
        </w:rPr>
        <w:t>das adversidades.</w:t>
      </w:r>
      <w:r w:rsidR="00EB5B97">
        <w:rPr>
          <w:b/>
          <w:bCs/>
        </w:rPr>
        <w:br w:type="page"/>
      </w:r>
    </w:p>
    <w:p w:rsidR="00EB5B97" w:rsidP="00095198" w:rsidRDefault="00EB5B97" w14:paraId="23D4B715" w14:textId="77777777">
      <w:pPr>
        <w:tabs>
          <w:tab w:val="left" w:pos="566"/>
          <w:tab w:val="left" w:pos="3686"/>
        </w:tabs>
        <w:spacing w:after="100" w:line="360" w:lineRule="auto"/>
        <w:ind w:right="138"/>
        <w:jc w:val="both"/>
      </w:pPr>
      <w:r>
        <w:rPr>
          <w:b/>
          <w:color w:val="000000"/>
        </w:rPr>
        <w:t>CAPÍTULO 2 SEGURIDADE ALIMENTAR E SOBERANIA DOS POVOS: FUNDAMENTOS E CONCEPÇÕES</w:t>
      </w:r>
    </w:p>
    <w:p w:rsidR="00EB5B97" w:rsidP="00095198" w:rsidRDefault="00EB5B97" w14:paraId="68CEB3E7" w14:textId="77777777">
      <w:pPr>
        <w:pStyle w:val="Corpodetexto"/>
        <w:spacing w:line="360" w:lineRule="auto"/>
        <w:jc w:val="both"/>
        <w:rPr>
          <w:b/>
          <w:bCs/>
        </w:rPr>
      </w:pPr>
    </w:p>
    <w:p w:rsidR="000A01F5" w:rsidP="00095198" w:rsidRDefault="000A01F5" w14:paraId="45510725" w14:textId="77777777">
      <w:pPr>
        <w:pStyle w:val="Corpodetexto"/>
        <w:spacing w:line="360" w:lineRule="auto"/>
        <w:jc w:val="both"/>
        <w:rPr>
          <w:b/>
          <w:bCs/>
        </w:rPr>
      </w:pPr>
    </w:p>
    <w:p w:rsidRPr="000011AE" w:rsidR="000A01F5" w:rsidP="00095198" w:rsidRDefault="000A01F5" w14:paraId="67E764FE" w14:textId="77777777">
      <w:pPr>
        <w:spacing w:line="360" w:lineRule="auto"/>
        <w:jc w:val="both"/>
      </w:pPr>
      <w:r w:rsidRPr="000011AE">
        <w:t>2.1 HISTÓRICO E EVOLUÇÃO DA SEGURIDADE ALIMENTAR</w:t>
      </w:r>
    </w:p>
    <w:p w:rsidRPr="000011AE" w:rsidR="000A01F5" w:rsidP="00095198" w:rsidRDefault="000A01F5" w14:paraId="331A4E26" w14:textId="77777777">
      <w:pPr>
        <w:spacing w:line="360" w:lineRule="auto"/>
        <w:jc w:val="both"/>
        <w:rPr>
          <w:b/>
          <w:bCs/>
        </w:rPr>
      </w:pPr>
    </w:p>
    <w:p w:rsidRPr="000011AE" w:rsidR="000A01F5" w:rsidP="00095198" w:rsidRDefault="000A01F5" w14:paraId="1334D489" w14:textId="77777777">
      <w:pPr>
        <w:spacing w:line="360" w:lineRule="auto"/>
        <w:jc w:val="both"/>
        <w:rPr>
          <w:b/>
          <w:bCs/>
        </w:rPr>
      </w:pPr>
    </w:p>
    <w:p w:rsidRPr="000011AE" w:rsidR="000A01F5" w:rsidP="00095198" w:rsidRDefault="000A01F5" w14:paraId="6CCA3F3E" w14:textId="77777777">
      <w:pPr>
        <w:spacing w:after="140" w:line="360" w:lineRule="auto"/>
        <w:jc w:val="both"/>
      </w:pPr>
      <w:r w:rsidRPr="000011AE">
        <w:t>Ao reconhecer o Direito Agrário como direito humano fundamental, conforme delineado no capítulo anterior, emerge necessariamente um de seus pilares estruturais: a seguridade alimentar como finalidade concreta da relação jurídica com a terra e condição indispensável à autonomia de um país e de seu povo. Nesse contexto, o Direito Agrário transcende a mera regulação patrimonial do solo para se afirmar como instrumento ético de contenção da fome e de realização da dignidade humana, reposicionando a função social da terra como eixo de soberania coletiva.</w:t>
      </w:r>
    </w:p>
    <w:p w:rsidRPr="00903947" w:rsidR="00903947" w:rsidP="00903947" w:rsidRDefault="00903947" w14:paraId="1F66664E" w14:textId="77777777">
      <w:pPr>
        <w:spacing w:after="140" w:line="360" w:lineRule="auto"/>
        <w:jc w:val="both"/>
      </w:pPr>
      <w:r w:rsidRPr="00903947">
        <w:t>Como vimos anteriormente, em âmbito brasileiro, o Direito Agrário configura-se como ramo jurídico que disciplina as relações entre pessoas e terra, tendo o solo rural como núcleo das dinâmicas negociais, produtivas e sociais. Benedito Ferreira Marques, em sua obra Direito Agrário Brasileiro, caracteriza-o como disciplina de natureza dicotômica, pois integra simultaneamente normas de direito público (políticas agrárias, intervenção estatal, função social) e privado (propriedade, contratos agrários, obrigações), superando assim uma visão estritamente patrimonialista. Para Marques (2015), essa dualidade normativa reflete a complexidade da terra rural, que não pode ser regulada apenas como bem econômico, mas como instrumento de justiça social e garantia de subsistência coletiva. Essa dicotomia explica por que a terra, embora objeto de apropriação individual, tem seu uso condicionado ao interesse coletivo, especialmente na produção de alimentos que sustentem a vida social.</w:t>
      </w:r>
    </w:p>
    <w:p w:rsidRPr="000011AE" w:rsidR="000A01F5" w:rsidP="00095198" w:rsidRDefault="000A01F5" w14:paraId="7C52B87C" w14:textId="1D039B0C">
      <w:pPr>
        <w:spacing w:line="360" w:lineRule="auto"/>
        <w:jc w:val="both"/>
      </w:pPr>
      <w:r w:rsidRPr="000011AE">
        <w:t>A Constituição Federal de 1988 reforça essa estrutura ao inaugurar, em seu Preâmbulo, um Estado Democrático de Direito:</w:t>
      </w:r>
    </w:p>
    <w:p w:rsidR="000A01F5" w:rsidP="00095198" w:rsidRDefault="000A01F5" w14:paraId="122FD175" w14:textId="77777777">
      <w:pPr>
        <w:spacing w:line="360" w:lineRule="auto"/>
        <w:ind w:left="2268"/>
        <w:jc w:val="both"/>
        <w:rPr>
          <w:sz w:val="20"/>
          <w:szCs w:val="20"/>
        </w:rPr>
      </w:pPr>
    </w:p>
    <w:p w:rsidRPr="00E76721" w:rsidR="000A01F5" w:rsidP="00E76721" w:rsidRDefault="000A01F5" w14:paraId="7A0FB3A6" w14:textId="6C3B9DCD">
      <w:pPr>
        <w:spacing w:line="360" w:lineRule="auto"/>
        <w:ind w:left="2268"/>
        <w:jc w:val="both"/>
        <w:rPr>
          <w:sz w:val="20"/>
          <w:szCs w:val="20"/>
        </w:rPr>
      </w:pPr>
      <w:r w:rsidRPr="000011AE">
        <w:rPr>
          <w:sz w:val="20"/>
          <w:szCs w:val="20"/>
        </w:rPr>
        <w:t>Destinado a assegurar o exercício dos direitos sociais e individuais, a liberdade, a segurança, o bem-estar, o desenvolvimento, a igualdade e a justiça como valores supremos de uma sociedade fraterna, pluralista e sem preconceitos, fundada na harmonia social. (Brasil, 1988)</w:t>
      </w:r>
    </w:p>
    <w:p w:rsidRPr="000011AE" w:rsidR="000A01F5" w:rsidP="00ED1D58" w:rsidRDefault="000A01F5" w14:paraId="1041C353" w14:textId="0310AB2F">
      <w:pPr>
        <w:spacing w:after="60" w:line="360" w:lineRule="auto"/>
        <w:jc w:val="both"/>
      </w:pPr>
      <w:r w:rsidRPr="002449BD">
        <w:t>O</w:t>
      </w:r>
      <w:r w:rsidR="00903947">
        <w:t xml:space="preserve"> </w:t>
      </w:r>
      <w:r w:rsidRPr="002449BD">
        <w:t>artigo 1</w:t>
      </w:r>
      <w:r w:rsidR="00903947">
        <w:t xml:space="preserve"> </w:t>
      </w:r>
      <w:r w:rsidRPr="002449BD">
        <w:t>elenca soberania, cidadania, dignidade da pessoa humana e valores sociais do trabalho como fundamentos da República, orientando toda atividade econômica – inclusive a agrária – para fins sociais. Já o artigo 186 define a função social da propriedade rural como atendida quando o imóvel explora de modo racional, preserva o meio ambiente, respeita normas trabalhistas e favorece o bem-estar de proprietários e trabalhadores, justificando assim que a terra deve produzir não só riqueza, mas alimentos essenciais à subsistência coletiva: </w:t>
      </w:r>
    </w:p>
    <w:p w:rsidRPr="00ED1D58" w:rsidR="000A01F5" w:rsidP="00ED1D58" w:rsidRDefault="000A01F5" w14:paraId="750D1F42" w14:textId="72814F8A">
      <w:pPr>
        <w:spacing w:after="60" w:line="360" w:lineRule="auto"/>
        <w:ind w:left="2268"/>
        <w:jc w:val="both"/>
        <w:rPr>
          <w:sz w:val="20"/>
          <w:szCs w:val="20"/>
        </w:rPr>
      </w:pPr>
      <w:r w:rsidRPr="000011AE">
        <w:rPr>
          <w:sz w:val="20"/>
          <w:szCs w:val="20"/>
        </w:rPr>
        <w:t>A função social é cumprida quando a propriedade rural atende, simultaneamente, segundo critérios e graus de exigência estabelecidos em lei, aos seguintes requisitos: I - aproveitamento racional e adequado; II - utilização adequada dos recursos naturais disponíveis e preservação do meio ambiente; III - observância das disposições que regulam as relações de trabalho; IV - exploração que favoreça o bem-estar dos proprietários e dos trabalhadores. (Brasil, 1988, art. 186)</w:t>
      </w:r>
    </w:p>
    <w:p w:rsidR="000A01F5" w:rsidP="001A328B" w:rsidRDefault="00BA582F" w14:paraId="7ADD16FE" w14:textId="7ED0F0E2">
      <w:pPr>
        <w:spacing w:after="140" w:line="360" w:lineRule="auto"/>
        <w:jc w:val="both"/>
      </w:pPr>
      <w:r w:rsidRPr="00BA582F">
        <w:t>O conceito de seguridade alimentar não é</w:t>
      </w:r>
      <w:r w:rsidR="008E31F2">
        <w:t xml:space="preserve"> linear</w:t>
      </w:r>
      <w:r w:rsidRPr="00BA582F">
        <w:t>; na prática, apresenta-se como uma espiral, e sua história revela um percurso de constantes reelaborações em diálogo com variáveis econômicas, políticas e socioculturais, tornando-o multidimensional e diretamente ligado à pobreza, à fome, à desnutrição, à desigualdade e à exclusão social. Essa trajetória nunca se desvinculou da atividade agrária: o Direito Agrário deixa de regular apenas a propriedade para assumir papel relevante na contenção da fome,</w:t>
      </w:r>
      <w:r>
        <w:t xml:space="preserve"> </w:t>
      </w:r>
      <w:r w:rsidRPr="000011AE" w:rsidR="000A01F5">
        <w:t xml:space="preserve">ancorando a função social da terra na soberania dos </w:t>
      </w:r>
      <w:r w:rsidRPr="000011AE" w:rsidR="00F05D42">
        <w:t>povos</w:t>
      </w:r>
      <w:r w:rsidR="00F05D42">
        <w:t xml:space="preserve"> (</w:t>
      </w:r>
      <w:r w:rsidR="00C0416F">
        <w:t xml:space="preserve">Souza </w:t>
      </w:r>
      <w:r w:rsidRPr="00C0416F" w:rsidR="00C0416F">
        <w:rPr>
          <w:i/>
          <w:iCs/>
        </w:rPr>
        <w:t>apud</w:t>
      </w:r>
      <w:r w:rsidR="00C0416F">
        <w:t xml:space="preserve"> Maniglia, 2009)</w:t>
      </w:r>
      <w:r w:rsidR="00EE225E">
        <w:t>.</w:t>
      </w:r>
    </w:p>
    <w:p w:rsidRPr="000A01F5" w:rsidR="00E95E43" w:rsidP="00095198" w:rsidRDefault="00E95E43" w14:paraId="1047BD61" w14:textId="73E622EB">
      <w:pPr>
        <w:spacing w:after="140" w:line="360" w:lineRule="auto"/>
        <w:jc w:val="both"/>
      </w:pPr>
      <w:bookmarkStart w:name="OLE_LINK20" w:id="7"/>
      <w:r w:rsidRPr="00E95E43">
        <w:t>A Primeira Guerra Mundial (1914-1918) inicia a construção moderna da seguridade alimentar como segurança nacional, via autarquia interna para evitar dependência de importações em conflitos, com políticas focadas em disponibilidade física e estabilidade de oferta por incentivos produtivos e controles comerciais. O período entre guerras (1919-1939) expôs limites: excesso agrícola sem escoamento contribuiu para a Crise de 1929, levando a restrições que encareceram alimentos e agravaram pobreza. Essa visão demográfica de escassez potencial condicionou políticas por décadas; no século XIX, surgiu o Instituto Internacional de Agricultura (IIA), criado em Roma em 1905 por David Lubin</w:t>
      </w:r>
      <w:r w:rsidR="009F63B7">
        <w:t xml:space="preserve">, </w:t>
      </w:r>
      <w:r w:rsidRPr="00E95E43">
        <w:t xml:space="preserve">agricultor e ativista apoiado pelo rei Vítor Emanuel III, para coletar dados sobre fome, má nutrição e desenvolvimento agrícola global, informando governos sobre produção e comércio internacional. Interrompido pela Segunda Guerra Mundial, o IIA antecipou a </w:t>
      </w:r>
      <w:r w:rsidRPr="005E60F2" w:rsidR="005E60F2">
        <w:t>Food and Agriculture Organization of the United Nations (FAO)</w:t>
      </w:r>
      <w:r w:rsidRPr="005E60F2">
        <w:t>,</w:t>
      </w:r>
      <w:r w:rsidRPr="00E95E43">
        <w:t xml:space="preserve"> fundada em 16 de outubro de 1945 como agência da ONU para pesquisa agrícola, níveis de nutrição elevados, conservação de recursos naturais e distribuição equitativa de alimentos</w:t>
      </w:r>
      <w:r w:rsidR="00EE225E">
        <w:t xml:space="preserve"> </w:t>
      </w:r>
      <w:r w:rsidRPr="00E91BFE" w:rsidR="00E91BFE">
        <w:t>(Shaw, 2007)</w:t>
      </w:r>
      <w:r w:rsidR="00EE225E">
        <w:t>.</w:t>
      </w:r>
    </w:p>
    <w:p w:rsidRPr="00E91BFE" w:rsidR="00D97D55" w:rsidP="00E91BFE" w:rsidRDefault="00D97D55" w14:paraId="4B3974D9" w14:textId="05ACD245">
      <w:pPr>
        <w:spacing w:after="140" w:line="360" w:lineRule="auto"/>
        <w:jc w:val="both"/>
      </w:pPr>
      <w:bookmarkStart w:name="OLE_LINK21" w:id="8"/>
      <w:bookmarkEnd w:id="7"/>
      <w:r w:rsidRPr="00E91BFE">
        <w:t xml:space="preserve">Pós-Segunda Guerra Mundial (1945), a devastação exigiu respostas estruturadas: a Conferência de </w:t>
      </w:r>
      <w:r w:rsidRPr="00E91BFE">
        <w:rPr>
          <w:i/>
          <w:iCs/>
        </w:rPr>
        <w:t>Hot Springs</w:t>
      </w:r>
      <w:r w:rsidRPr="00E91BFE">
        <w:t xml:space="preserve"> (1943</w:t>
      </w:r>
      <w:r w:rsidR="00E91BFE">
        <w:t>, pág. 15</w:t>
      </w:r>
      <w:r w:rsidRPr="00E91BFE">
        <w:t xml:space="preserve">) </w:t>
      </w:r>
      <w:r w:rsidR="00E91BFE">
        <w:t xml:space="preserve">manifestando que </w:t>
      </w:r>
      <w:r w:rsidRPr="00E91BFE">
        <w:t>"</w:t>
      </w:r>
      <w:r w:rsidRPr="00E91BFE" w:rsidR="00E91BFE">
        <w:t>ur</w:t>
      </w:r>
      <w:r w:rsidRPr="00E91BFE" w:rsidR="00E91BFE">
        <w:rPr>
          <w:lang w:val="pt-PT"/>
        </w:rPr>
        <w:t xml:space="preserve">gente é a necessidade de construir uma economia de </w:t>
      </w:r>
      <w:r w:rsidRPr="003A37FE" w:rsidR="003A37FE">
        <w:rPr>
          <w:lang w:val="pt-PT"/>
        </w:rPr>
        <w:t xml:space="preserve">abundância em </w:t>
      </w:r>
      <w:r w:rsidRPr="00E91BFE" w:rsidR="00E91BFE">
        <w:rPr>
          <w:lang w:val="pt-PT"/>
        </w:rPr>
        <w:t>escala mundial</w:t>
      </w:r>
      <w:r w:rsidRPr="00E91BFE">
        <w:t xml:space="preserve">", gerando a FAO e seu </w:t>
      </w:r>
      <w:r w:rsidRPr="00E91BFE">
        <w:rPr>
          <w:i/>
          <w:iCs/>
        </w:rPr>
        <w:t>World Food Survey</w:t>
      </w:r>
      <w:r w:rsidRPr="00E91BFE">
        <w:t xml:space="preserve"> (1946), que recomendou eficiência agrícola. Assim, a </w:t>
      </w:r>
      <w:r w:rsidRPr="00E91BFE" w:rsidR="007C2922">
        <w:t>DUDH</w:t>
      </w:r>
      <w:r w:rsidRPr="00E91BFE">
        <w:t xml:space="preserve"> (1948, art. 25) e o </w:t>
      </w:r>
      <w:r w:rsidRPr="00E91BFE" w:rsidR="007C2922">
        <w:rPr>
          <w:rFonts w:eastAsia="Calibri"/>
        </w:rPr>
        <w:t xml:space="preserve">PIDESC </w:t>
      </w:r>
      <w:r w:rsidRPr="00E91BFE">
        <w:t>(1966, art. 11) consagraram o direito à alimentação adequada</w:t>
      </w:r>
      <w:r w:rsidRPr="00E91BFE" w:rsidR="009F63B7">
        <w:t>,</w:t>
      </w:r>
      <w:r w:rsidRPr="00E91BFE">
        <w:t xml:space="preserve"> com produção melhorada e repartição equitativa</w:t>
      </w:r>
      <w:r w:rsidRPr="00E91BFE" w:rsidR="009F63B7">
        <w:t>,</w:t>
      </w:r>
      <w:r w:rsidRPr="00E91BFE">
        <w:t xml:space="preserve"> culminando no </w:t>
      </w:r>
      <w:r w:rsidRPr="00106592" w:rsidR="00106592">
        <w:t xml:space="preserve">Direito Humano à Alimentação Adequada </w:t>
      </w:r>
      <w:r w:rsidR="00106592">
        <w:t>(</w:t>
      </w:r>
      <w:r w:rsidRPr="00E91BFE">
        <w:t>DHAA</w:t>
      </w:r>
      <w:r w:rsidR="00106592">
        <w:t>)</w:t>
      </w:r>
      <w:r w:rsidRPr="00E91BFE">
        <w:t>.</w:t>
      </w:r>
    </w:p>
    <w:bookmarkEnd w:id="8"/>
    <w:p w:rsidRPr="0096576A" w:rsidR="0096576A" w:rsidP="00B21DFA" w:rsidRDefault="0096576A" w14:paraId="6FBC7FCD" w14:textId="31029205">
      <w:pPr>
        <w:spacing w:after="140" w:line="360" w:lineRule="auto"/>
        <w:jc w:val="both"/>
      </w:pPr>
      <w:r w:rsidRPr="0096576A">
        <w:t>A Conferência Mundial de Alimentação (</w:t>
      </w:r>
      <w:r w:rsidR="005E60F2">
        <w:t xml:space="preserve">FAO, </w:t>
      </w:r>
      <w:r w:rsidRPr="0096576A">
        <w:t>1974,</w:t>
      </w:r>
      <w:r w:rsidR="003347DF">
        <w:t xml:space="preserve"> </w:t>
      </w:r>
      <w:r w:rsidR="0075778D">
        <w:t>C, pág. 56</w:t>
      </w:r>
      <w:r w:rsidRPr="0096576A">
        <w:t>) definiu "segurança alimentar" como "</w:t>
      </w:r>
      <w:r w:rsidRPr="0075778D" w:rsidR="0075778D">
        <w:rPr>
          <w:lang w:val="pt-PT"/>
        </w:rPr>
        <w:t>Políticas e programas para melhorar os padrões de consumo em todos os países, também com o objetivo de</w:t>
      </w:r>
      <w:r w:rsidR="0075778D">
        <w:rPr>
          <w:lang w:val="pt-PT"/>
        </w:rPr>
        <w:t xml:space="preserve"> </w:t>
      </w:r>
      <w:r w:rsidRPr="0075778D" w:rsidR="0075778D">
        <w:rPr>
          <w:lang w:val="pt-PT"/>
        </w:rPr>
        <w:t>garantir a disponibilidade adequada de alimentos nos</w:t>
      </w:r>
      <w:r w:rsidR="0075778D">
        <w:rPr>
          <w:lang w:val="pt-PT"/>
        </w:rPr>
        <w:t xml:space="preserve"> </w:t>
      </w:r>
      <w:r w:rsidRPr="0075778D" w:rsidR="0075778D">
        <w:rPr>
          <w:lang w:val="pt-PT"/>
        </w:rPr>
        <w:t>países em desenvolvimento, especialmente para os grupos vulneráveis</w:t>
      </w:r>
      <w:r w:rsidRPr="0096576A">
        <w:t>", reconhecendo responsabilidade compartilhada, mas com viés produtivista (estoques, preços).</w:t>
      </w:r>
    </w:p>
    <w:p w:rsidRPr="0096576A" w:rsidR="0096576A" w:rsidP="00B21DFA" w:rsidRDefault="0096576A" w14:paraId="2D7FD95B" w14:textId="28749E52">
      <w:pPr>
        <w:spacing w:after="140" w:line="360" w:lineRule="auto"/>
        <w:jc w:val="both"/>
      </w:pPr>
      <w:r w:rsidRPr="0096576A">
        <w:t>Nos anos 1980,</w:t>
      </w:r>
      <w:r w:rsidR="00E51C5B">
        <w:t xml:space="preserve"> </w:t>
      </w:r>
      <w:r w:rsidRPr="00E51C5B" w:rsidR="00E51C5B">
        <w:t>o foco da seguridade alimentar desloca-se para o acesso</w:t>
      </w:r>
      <w:r w:rsidRPr="0096576A">
        <w:t>.</w:t>
      </w:r>
      <w:r w:rsidR="00E51C5B">
        <w:t xml:space="preserve"> Sen</w:t>
      </w:r>
      <w:r w:rsidRPr="00E51C5B" w:rsidR="00E51C5B">
        <w:t xml:space="preserve"> (</w:t>
      </w:r>
      <w:r w:rsidR="00E51C5B">
        <w:t>2010</w:t>
      </w:r>
      <w:r w:rsidRPr="00E51C5B" w:rsidR="00E51C5B">
        <w:t>) relaciona a fome à exclusão política, econômica e social e ao subdesenvolvimento, compreendendo que a falta de acesso aos alimentos gera desnutrição, debilita a saúde e compromete a inserção econômica, política, social, histórica, cultural, ambiental e educacional. Nesse contexto, a FAO (1983) passa a defini-la como a garantia de produção adequada, estabilidade de suprimentos e acesso aos que necessitam, enquanto o Banco Mundial (1986) enfatiza o acesso universal a alimentos suficientes para uma vida ativa e saudável.</w:t>
      </w:r>
      <w:r w:rsidRPr="00BA582F" w:rsidR="00BA582F">
        <w:t> Em síntese, consolida-se a compreensão de que a fome decorre menos da escassez e mais da desigualdade no acesso.</w:t>
      </w:r>
    </w:p>
    <w:p w:rsidR="00B21DFA" w:rsidP="00095198" w:rsidRDefault="0096576A" w14:paraId="3E0AE2BA" w14:textId="2E4D3FE6">
      <w:pPr>
        <w:spacing w:line="360" w:lineRule="auto"/>
        <w:jc w:val="both"/>
      </w:pPr>
      <w:r w:rsidRPr="0096576A">
        <w:t>Na década de 1990, incorporou nutrição: a Conferência de Nutrição (1992, FAO/OMS) declarou o acesso à alimentação nutricionalmente adequada como direito humano individual, ligado a água, saneamento e educação, "atribuindo uma face humana para o conceito de segurança alimentar" (Maniglia, 2009</w:t>
      </w:r>
      <w:r w:rsidR="00B21DFA">
        <w:t>, pág. 126</w:t>
      </w:r>
      <w:r w:rsidRPr="0096576A">
        <w:t>). A Cúpula de Roma (1996</w:t>
      </w:r>
      <w:r w:rsidR="00B21DFA">
        <w:t>, pág. 1</w:t>
      </w:r>
      <w:r w:rsidRPr="0096576A">
        <w:t xml:space="preserve">) consolidou: </w:t>
      </w:r>
    </w:p>
    <w:p w:rsidRPr="00B21DFA" w:rsidR="00B21DFA" w:rsidP="00B21DFA" w:rsidRDefault="00B21DFA" w14:paraId="615319DC" w14:textId="59CC3DF7">
      <w:pPr>
        <w:spacing w:after="140" w:line="360" w:lineRule="auto"/>
        <w:ind w:left="2268"/>
        <w:jc w:val="both"/>
        <w:rPr>
          <w:sz w:val="20"/>
          <w:szCs w:val="20"/>
        </w:rPr>
      </w:pPr>
      <w:r w:rsidRPr="00B21DFA">
        <w:rPr>
          <w:sz w:val="20"/>
          <w:szCs w:val="20"/>
        </w:rPr>
        <w:t xml:space="preserve">Existe segurança alimentar quando as pessoas têm, a todo momento, acesso físico e económico a alimentos seguros, nutritivos e suficientes para satisfazer as suas necessidades dietéticas e preferências alimentares, a fim de levarem uma vida </w:t>
      </w:r>
      <w:r w:rsidRPr="003A37FE" w:rsidR="003A37FE">
        <w:rPr>
          <w:sz w:val="20"/>
          <w:szCs w:val="20"/>
        </w:rPr>
        <w:t xml:space="preserve">ativa </w:t>
      </w:r>
      <w:r w:rsidRPr="00B21DFA">
        <w:rPr>
          <w:sz w:val="20"/>
          <w:szCs w:val="20"/>
        </w:rPr>
        <w:t>e sã</w:t>
      </w:r>
    </w:p>
    <w:p w:rsidR="000A01F5" w:rsidP="00095198" w:rsidRDefault="00B21DFA" w14:paraId="19195291" w14:textId="38988462">
      <w:pPr>
        <w:spacing w:line="360" w:lineRule="auto"/>
        <w:jc w:val="both"/>
      </w:pPr>
      <w:r>
        <w:t xml:space="preserve">Assim, </w:t>
      </w:r>
      <w:r w:rsidRPr="0096576A" w:rsidR="0096576A">
        <w:t>reafirmando liberdade da fome e DHAA.</w:t>
      </w:r>
      <w:r w:rsidR="00B707C1">
        <w:t xml:space="preserve"> </w:t>
      </w:r>
      <w:r w:rsidRPr="0096576A" w:rsidR="0096576A">
        <w:t>Essa multidimensão (disponibilidade, estabilidade, acesso, consumo) marca sua transição de preocupação demográfica setecentista a direito humano essencial, intrinsecamente ligado à terra e à função social da propriedade (Maniglia, 2009; Albuquerque, 2009).</w:t>
      </w:r>
    </w:p>
    <w:p w:rsidR="00ED1D58" w:rsidP="00095198" w:rsidRDefault="00ED1D58" w14:paraId="126796F3" w14:textId="77777777">
      <w:pPr>
        <w:spacing w:line="360" w:lineRule="auto"/>
        <w:jc w:val="both"/>
      </w:pPr>
    </w:p>
    <w:p w:rsidRPr="000A01F5" w:rsidR="00ED1D58" w:rsidP="00095198" w:rsidRDefault="00ED1D58" w14:paraId="6D33D8E2" w14:textId="77777777">
      <w:pPr>
        <w:spacing w:line="360" w:lineRule="auto"/>
        <w:jc w:val="both"/>
      </w:pPr>
    </w:p>
    <w:p w:rsidRPr="000011AE" w:rsidR="000A01F5" w:rsidP="00095198" w:rsidRDefault="000A01F5" w14:paraId="0FE652A6" w14:textId="77777777">
      <w:pPr>
        <w:spacing w:line="360" w:lineRule="auto"/>
        <w:jc w:val="both"/>
      </w:pPr>
      <w:r w:rsidRPr="000011AE">
        <w:t>2.2 A SEGURIDADE ALIMENTAR COMO DIREITO HUMANO ESSENCIAL</w:t>
      </w:r>
    </w:p>
    <w:p w:rsidRPr="000011AE" w:rsidR="000A01F5" w:rsidP="00095198" w:rsidRDefault="000A01F5" w14:paraId="11FD680C" w14:textId="77777777">
      <w:pPr>
        <w:spacing w:line="360" w:lineRule="auto"/>
        <w:jc w:val="both"/>
        <w:rPr>
          <w:b/>
          <w:bCs/>
        </w:rPr>
      </w:pPr>
    </w:p>
    <w:p w:rsidRPr="000011AE" w:rsidR="000A01F5" w:rsidP="00095198" w:rsidRDefault="000A01F5" w14:paraId="418D619C" w14:textId="77777777">
      <w:pPr>
        <w:spacing w:line="360" w:lineRule="auto"/>
        <w:jc w:val="both"/>
        <w:rPr>
          <w:b/>
          <w:bCs/>
        </w:rPr>
      </w:pPr>
    </w:p>
    <w:p w:rsidRPr="00C0699D" w:rsidR="00C0699D" w:rsidP="00C0699D" w:rsidRDefault="00C0699D" w14:paraId="177DDF08" w14:textId="45F194CA">
      <w:pPr>
        <w:spacing w:after="140" w:line="360" w:lineRule="auto"/>
        <w:jc w:val="both"/>
      </w:pPr>
      <w:r w:rsidRPr="00C0699D">
        <w:t xml:space="preserve">A Declaração Universal dos Direitos Humanos, adotada e proclamada pela Assembleia Geral das Nações Unidas em 1948 (Resolução 217 A III), constitui um marco fundamental para a compreensão da seguridade alimentar como direito humano essencial à vida (ONU, 1948). Em seu preâmbulo, reconhece-se que a </w:t>
      </w:r>
      <w:r>
        <w:t>“</w:t>
      </w:r>
      <w:r w:rsidRPr="00C0699D">
        <w:t>dignidade inerente a todos os membros da família humana e seus direitos iguais e inalienáveis fundamentam a liberdade, a justiça e a paz</w:t>
      </w:r>
      <w:r w:rsidR="001C16DC">
        <w:t>”</w:t>
      </w:r>
      <w:r w:rsidRPr="00C0699D">
        <w:t xml:space="preserve">, ao mesmo tempo em que se afirma que o </w:t>
      </w:r>
      <w:r w:rsidR="001C16DC">
        <w:t>“</w:t>
      </w:r>
      <w:r w:rsidRPr="00C0699D">
        <w:t>desrespeito a esses direitos levou a atos bárbaros que ultrajaram a consciência da humanidade</w:t>
      </w:r>
      <w:r w:rsidR="001C16DC">
        <w:t>”</w:t>
      </w:r>
      <w:r w:rsidRPr="00C0699D">
        <w:t xml:space="preserve">. Destaca-se, ainda, a necessidade de </w:t>
      </w:r>
      <w:r w:rsidR="001C16DC">
        <w:t>“</w:t>
      </w:r>
      <w:r w:rsidRPr="00C0699D">
        <w:t>proteção desses direitos pelo império da lei, a fim de evitar que o ser humano seja levado à rebelião contra a tirania e a opressão</w:t>
      </w:r>
      <w:r w:rsidR="001C16DC">
        <w:t>”</w:t>
      </w:r>
      <w:r w:rsidRPr="00C0699D">
        <w:t xml:space="preserve">, bem como a importância da </w:t>
      </w:r>
      <w:r w:rsidR="001C16DC">
        <w:t>“</w:t>
      </w:r>
      <w:r w:rsidRPr="00C0699D">
        <w:t>promoção de relações amistosas entre as nações</w:t>
      </w:r>
      <w:r w:rsidR="001C16DC">
        <w:t>”</w:t>
      </w:r>
      <w:r w:rsidRPr="00C0699D">
        <w:t xml:space="preserve"> (ONU, 1948).</w:t>
      </w:r>
    </w:p>
    <w:p w:rsidRPr="000011AE" w:rsidR="000A01F5" w:rsidP="00095198" w:rsidRDefault="00C0699D" w14:paraId="67E681EC" w14:textId="11A0DAE6">
      <w:pPr>
        <w:spacing w:after="140" w:line="360" w:lineRule="auto"/>
        <w:jc w:val="both"/>
      </w:pPr>
      <w:r w:rsidRPr="00C0699D">
        <w:t xml:space="preserve">Nessa mesma direção, os artigos 1º e 2º estabelecem que </w:t>
      </w:r>
      <w:r w:rsidR="001C16DC">
        <w:t>“</w:t>
      </w:r>
      <w:r w:rsidRPr="00C0699D">
        <w:t>todos os seres humanos nascem livres e iguais em dignidade e direitos</w:t>
      </w:r>
      <w:r w:rsidR="001C16DC">
        <w:t>”</w:t>
      </w:r>
      <w:r w:rsidRPr="00C0699D">
        <w:t xml:space="preserve">, assegurando a toda pessoa o gozo das liberdades previstas </w:t>
      </w:r>
      <w:r w:rsidR="001C16DC">
        <w:t>“</w:t>
      </w:r>
      <w:r w:rsidRPr="00C0699D">
        <w:t>sem distinção de qualquer natureza</w:t>
      </w:r>
      <w:r w:rsidR="001C16DC">
        <w:t>”</w:t>
      </w:r>
      <w:r w:rsidRPr="00C0699D">
        <w:t>, inclusive quanto à origem nacional ou à condição internacional do território, reforçando o princípio da universalidade e da igualdade que sustenta os direitos humanos (ONU, 1948)</w:t>
      </w:r>
      <w:r w:rsidRPr="000011AE" w:rsidR="000A01F5">
        <w:t>.</w:t>
      </w:r>
    </w:p>
    <w:p w:rsidRPr="000011AE" w:rsidR="00E66BD5" w:rsidP="00095198" w:rsidRDefault="00E66BD5" w14:paraId="03E46440" w14:textId="1A796ABD">
      <w:pPr>
        <w:spacing w:after="140" w:line="360" w:lineRule="auto"/>
        <w:jc w:val="both"/>
      </w:pPr>
      <w:r w:rsidRPr="00726027">
        <w:t>Nesse quadro, o art. 25 é particularmente relevante ao garantir padrão de vida capaz de assegurar alimentação, serviços sociais indispensáveis e segurança em caso de perda dos meios de subsistência em circunstâncias fora de seu controle (ONU, 1948). Ao incluir a alimentação entre os elementos centrais desse padrão de vida, a Declaração torna explícito que a privação alimentar não é apenas carência material, mas violação de um direito humano reconhecido pela comunidade internacional, em harmonia com Comparato (201</w:t>
      </w:r>
      <w:r w:rsidR="00FB4A3F">
        <w:t>6</w:t>
      </w:r>
      <w:r w:rsidRPr="00726027">
        <w:t>), para quem os direitos humanos consagram valores essenciais à continuidade da vida em sociedade e estruturam o mínimo que não pode ser negado sem ruptura da própria ordem jurídica. O preâmbulo, ao vincular a proteção dos direitos à prevenção da “tirania e da opressão”, permite perceber que o controle ou a negação do acesso à alimentação pode, em determinados contextos, ser utilizado como forma de opressão dirigida contra determinados povos e grupos, revelando a dimensão política da fome (</w:t>
      </w:r>
      <w:r w:rsidRPr="00726027" w:rsidR="00732FA2">
        <w:t xml:space="preserve">ONU, 1948; </w:t>
      </w:r>
      <w:r w:rsidRPr="00726027" w:rsidR="00FB4A3F">
        <w:t>Comparato</w:t>
      </w:r>
      <w:r w:rsidRPr="00726027" w:rsidR="00732FA2">
        <w:t>, 201</w:t>
      </w:r>
      <w:r w:rsidR="00FB4A3F">
        <w:t>6</w:t>
      </w:r>
      <w:r w:rsidRPr="00726027" w:rsidR="00732FA2">
        <w:t>).</w:t>
      </w:r>
    </w:p>
    <w:p w:rsidRPr="00726027" w:rsidR="00B556F9" w:rsidP="00095198" w:rsidRDefault="00726027" w14:paraId="52931577" w14:textId="2264E0F2">
      <w:pPr>
        <w:spacing w:after="140" w:line="360" w:lineRule="auto"/>
        <w:jc w:val="both"/>
      </w:pPr>
      <w:r w:rsidRPr="00726027">
        <w:t xml:space="preserve">A partir desse marco, portanto, compreende-se a seguridade alimentar como direito humano essencial à vida, dialogando com sua trajetória histórico-conceitual. </w:t>
      </w:r>
      <w:r w:rsidRPr="00BD67E3" w:rsidR="00BD67E3">
        <w:t>Nessa perspectiva, supera a lógica estritamente econômica centrada em estoques e preços, assumindo dimensão social vinculada à dignidade humana e a direitos como saúde, educação, trabalho e participação política</w:t>
      </w:r>
      <w:r w:rsidR="00BD67E3">
        <w:t xml:space="preserve">. </w:t>
      </w:r>
      <w:r w:rsidRPr="00726027">
        <w:t>Esse deslocamento afirma o direito à alimentação no contexto da vida, dignidade, autodeterminação e necessidades básicas</w:t>
      </w:r>
      <w:r w:rsidR="00BD67E3">
        <w:t xml:space="preserve">. </w:t>
      </w:r>
      <w:r w:rsidRPr="00726027">
        <w:t>Assim, deixa de ser necessidade biológica ou variável econômica para, nesta pesquisa, condição material mínima</w:t>
      </w:r>
      <w:r w:rsidR="0009023C">
        <w:t>,</w:t>
      </w:r>
      <w:r w:rsidRPr="00726027">
        <w:t xml:space="preserve"> sem a qual direitos civis, políticos, sociais, econômicos e culturais permanecem formais (Maniglia, 2009; Comparato, 201</w:t>
      </w:r>
      <w:r w:rsidR="00FB4A3F">
        <w:t>6</w:t>
      </w:r>
      <w:r w:rsidR="00BD67E3">
        <w:t xml:space="preserve">; </w:t>
      </w:r>
      <w:r w:rsidRPr="00BD67E3" w:rsidR="00BD67E3">
        <w:t>Albuquerque, 2009</w:t>
      </w:r>
      <w:r w:rsidRPr="00726027">
        <w:t>).</w:t>
      </w:r>
    </w:p>
    <w:p w:rsidR="001E6E82" w:rsidP="00095198" w:rsidRDefault="000A01F5" w14:paraId="6AE32236" w14:textId="2A3A2293">
      <w:pPr>
        <w:spacing w:after="140" w:line="360" w:lineRule="auto"/>
        <w:jc w:val="both"/>
      </w:pPr>
      <w:r w:rsidRPr="000011AE">
        <w:t xml:space="preserve">Esse entendimento é reforçado pelo Pacto Internacional dos Direitos Econômicos, Sociais e Culturais (PIDESC), de 1966, que reconhece, em seu artigo 11 “o direito de toda pessoa a um nível de vida adequado para si e sua família, inclusive alimentação, vestimenta e moradia adequadas”, e proclama, no § 2º, “o direito fundamental de toda pessoa de estar protegida contra a fome”, </w:t>
      </w:r>
      <w:r w:rsidRPr="00BD67E3" w:rsidR="00BD67E3">
        <w:t>os Estados o dever de adotar medidas para melhorar a produção, conservação e distribuição de alimentos, bem como assegurar sua repartição equitativa (ONU, 1966).</w:t>
      </w:r>
    </w:p>
    <w:p w:rsidR="001E6E82" w:rsidP="00095198" w:rsidRDefault="000A01F5" w14:paraId="22F386EF" w14:textId="77777777">
      <w:pPr>
        <w:spacing w:after="140" w:line="360" w:lineRule="auto"/>
        <w:jc w:val="both"/>
      </w:pPr>
      <w:r w:rsidRPr="000011AE">
        <w:t>O Comentário Geral n. 12 do Comitê de Direitos Econômicos, Sociais e Culturais aprofunda esse conteúdo ao afirmar que “o direito à alimentação adequada é realizado quando todo homem, mulher e criança, sozinho ou em comunidade com outros, tem acesso físico e econômico, em todos os momentos, à alimentação adequada ou aos meios para sua obtenção</w:t>
      </w:r>
      <w:r w:rsidRPr="00DA1AD7">
        <w:t>”, advertindo que esse direito não pode ser reduzido a um “pacote mínimo de calorias, proteínas e outros nutrientes específicos”</w:t>
      </w:r>
      <w:r w:rsidRPr="000011AE">
        <w:t xml:space="preserve"> e que se vincula intrinsecamente à dignidade e às condições sociais e culturais de cada povo (ONU, 1999</w:t>
      </w:r>
      <w:r w:rsidR="00DA1AD7">
        <w:t>; Comentário nº 12</w:t>
      </w:r>
      <w:r w:rsidRPr="000011AE">
        <w:t>).</w:t>
      </w:r>
    </w:p>
    <w:p w:rsidR="00EF1CC3" w:rsidP="00095198" w:rsidRDefault="000A01F5" w14:paraId="02489BED" w14:textId="10B8F74A">
      <w:pPr>
        <w:spacing w:after="140" w:line="360" w:lineRule="auto"/>
        <w:jc w:val="both"/>
      </w:pPr>
      <w:r w:rsidRPr="000011AE">
        <w:t>A partir dessa base, a seguridade alimentar se consolida, no plano internacional, como direito humano essencial à vida digna, pois materializa, em termos concretos, a garantia de que ninguém será privado, de modo contínuo ou deliberado, dos meios mínimos de subsistência (ONU, 1966; ONU, 1999).</w:t>
      </w:r>
      <w:r w:rsidR="00EF1CC3">
        <w:t xml:space="preserve"> </w:t>
      </w:r>
    </w:p>
    <w:p w:rsidR="00B84C22" w:rsidP="00095198" w:rsidRDefault="00B84C22" w14:paraId="4277EF25" w14:textId="2389F0A4">
      <w:pPr>
        <w:spacing w:after="140" w:line="360" w:lineRule="auto"/>
        <w:jc w:val="both"/>
      </w:pPr>
      <w:r w:rsidRPr="00B84C22">
        <w:t>A segurança alimentar evoluiu, portanto, além da disponibilidade global de alimentos, incorporando, assim, acesso, qualidade nutricional e respeito às práticas alimentares (FAO, 1996; CONSEA, 2004). Pois, ao vincular fome e pobreza, dietas inadequadas comprometem saúde física e mental, reduzem produtividade, impedem integração social e bloqueiam direitos como educação, trabalho, habitação, água, saneamento, cultura e lazer (</w:t>
      </w:r>
      <w:r w:rsidRPr="00F712E8" w:rsidR="00F712E8">
        <w:rPr>
          <w:color w:val="000000"/>
        </w:rPr>
        <w:t>World Bank</w:t>
      </w:r>
      <w:r w:rsidRPr="00B84C22">
        <w:t xml:space="preserve">, </w:t>
      </w:r>
      <w:r w:rsidR="00F712E8">
        <w:t>1986</w:t>
      </w:r>
      <w:r w:rsidRPr="00B84C22">
        <w:t>)</w:t>
      </w:r>
      <w:r w:rsidR="004F00C8">
        <w:t xml:space="preserve">. </w:t>
      </w:r>
      <w:r w:rsidRPr="00B84C22">
        <w:t xml:space="preserve">Trindade </w:t>
      </w:r>
      <w:r w:rsidR="008D25BE">
        <w:t xml:space="preserve">e Leal </w:t>
      </w:r>
      <w:r w:rsidRPr="00B84C22">
        <w:t>(</w:t>
      </w:r>
      <w:r w:rsidR="008D25BE">
        <w:t>2017</w:t>
      </w:r>
      <w:r w:rsidRPr="00B84C22">
        <w:t>) reforça</w:t>
      </w:r>
      <w:r w:rsidR="008D25BE">
        <w:t>m</w:t>
      </w:r>
      <w:r w:rsidRPr="00B84C22">
        <w:t xml:space="preserve"> que a fome </w:t>
      </w:r>
      <w:r w:rsidR="008D25BE">
        <w:t>configura um</w:t>
      </w:r>
      <w:r w:rsidRPr="00B84C22">
        <w:t xml:space="preserve"> problema estrutural, exigindo abordagem em direitos humanos, </w:t>
      </w:r>
      <w:r w:rsidR="004F00C8">
        <w:t xml:space="preserve">e </w:t>
      </w:r>
      <w:r w:rsidRPr="00B84C22">
        <w:t xml:space="preserve">não como fatalidade. Logo, sua violação deflagra rupturas fundamentais: agrava doenças, dificulta aprendizado, inviabiliza trabalho, restringe participação política e rompe </w:t>
      </w:r>
      <w:r w:rsidR="00E345A2">
        <w:t xml:space="preserve">a </w:t>
      </w:r>
      <w:r w:rsidRPr="00B84C22">
        <w:t>cidadania (</w:t>
      </w:r>
      <w:r w:rsidRPr="00F712E8" w:rsidR="00F712E8">
        <w:rPr>
          <w:color w:val="000000"/>
        </w:rPr>
        <w:t>World Bank</w:t>
      </w:r>
      <w:r w:rsidRPr="00B84C22" w:rsidR="00F712E8">
        <w:t xml:space="preserve">, </w:t>
      </w:r>
      <w:r w:rsidR="00F712E8">
        <w:t>1986</w:t>
      </w:r>
      <w:r w:rsidRPr="00B84C22">
        <w:t xml:space="preserve">; </w:t>
      </w:r>
      <w:r w:rsidRPr="00B84C22" w:rsidR="008D25BE">
        <w:t>Albuquerque</w:t>
      </w:r>
      <w:r w:rsidRPr="00B84C22">
        <w:t>, 2009).</w:t>
      </w:r>
    </w:p>
    <w:p w:rsidR="00CA4A5A" w:rsidP="00095198" w:rsidRDefault="000A01F5" w14:paraId="1B85223B" w14:textId="0BC37935">
      <w:pPr>
        <w:spacing w:after="140" w:line="360" w:lineRule="auto"/>
        <w:jc w:val="both"/>
      </w:pPr>
      <w:r w:rsidRPr="000011AE">
        <w:t>Ao deslocar o foco da mera produção para o acesso e a realização de direitos, a seguridade alimentar passa a ser compreendida, neste trabalho, como objeto direto da proteção dos direitos humanos</w:t>
      </w:r>
      <w:r w:rsidR="0009023C">
        <w:t xml:space="preserve"> </w:t>
      </w:r>
      <w:r w:rsidRPr="000011AE">
        <w:t>e não apenas como política pública setorial (</w:t>
      </w:r>
      <w:r w:rsidRPr="000011AE" w:rsidR="00A43CDA">
        <w:t>Maniglia</w:t>
      </w:r>
      <w:r w:rsidRPr="000011AE">
        <w:t xml:space="preserve">, 2009; </w:t>
      </w:r>
      <w:r w:rsidRPr="000011AE" w:rsidR="008D25BE">
        <w:t>Albuquerque</w:t>
      </w:r>
      <w:r w:rsidRPr="000011AE">
        <w:t xml:space="preserve">, 2009). </w:t>
      </w:r>
      <w:r w:rsidRPr="004A4587" w:rsidR="004A4587">
        <w:t>No debate sobre direitos humanos</w:t>
      </w:r>
      <w:r w:rsidR="00B21DFA">
        <w:t xml:space="preserve"> </w:t>
      </w:r>
      <w:r w:rsidRPr="004A4587" w:rsidR="004A4587">
        <w:t>Comparato (201</w:t>
      </w:r>
      <w:r w:rsidR="00FB4A3F">
        <w:t>6</w:t>
      </w:r>
      <w:r w:rsidRPr="004A4587" w:rsidR="004A4587">
        <w:t xml:space="preserve">) os define como valores fundamentais para a manutenção da sociedade, descrevendo-os como reconhecimento jurídico do indispensável à </w:t>
      </w:r>
      <w:r w:rsidR="008D25BE">
        <w:t>“</w:t>
      </w:r>
      <w:r w:rsidRPr="004A4587" w:rsidR="004A4587">
        <w:t>ocorrência coletiva da vida</w:t>
      </w:r>
      <w:r w:rsidR="008D25BE">
        <w:t>”</w:t>
      </w:r>
      <w:r w:rsidR="00B21DFA">
        <w:t xml:space="preserve">. </w:t>
      </w:r>
      <w:r w:rsidRPr="004A4587" w:rsidR="004A4587">
        <w:t>Sob esse prisma, a seguridade alimentar não é benefício acessório, mas proteção essencial sem a qual a vida em comum se desestrutura, pois condiciona materialmente a existência digna e o exercício de todos os demais direitos</w:t>
      </w:r>
      <w:bookmarkStart w:name="OLE_LINK23" w:id="9"/>
      <w:r w:rsidR="00CA4A5A">
        <w:t>.</w:t>
      </w:r>
    </w:p>
    <w:p w:rsidR="007E6D98" w:rsidP="00095198" w:rsidRDefault="007E6D98" w14:paraId="7DEA7F3C" w14:textId="098D16CE">
      <w:pPr>
        <w:spacing w:after="140" w:line="360" w:lineRule="auto"/>
        <w:jc w:val="both"/>
      </w:pPr>
      <w:r w:rsidRPr="007E6D98">
        <w:t>A segurança/seguridade alimentar desenvolve-se, portanto, sob o prisma dos direitos humanos e do Direito Agrário, dialogando fluidamente com diversas áreas do conhecimento (</w:t>
      </w:r>
      <w:r w:rsidRPr="007E6D98" w:rsidR="00CA4A5A">
        <w:t>Maniglia</w:t>
      </w:r>
      <w:r w:rsidRPr="007E6D98">
        <w:t>, 2009). Nesse sentido, Maniglia (2009) ressalta que pensar segurança alimentar equivale a articular produção, distribuição e acesso aos alimentos como direito fundamental da existência humana, promovendo dignidade, cidadania e justiça social. Ademais, a literatura constitucional interpreta o direito à vida (CF</w:t>
      </w:r>
      <w:r w:rsidR="00E06240">
        <w:t>RB</w:t>
      </w:r>
      <w:r w:rsidRPr="007E6D98">
        <w:t>/1988) em clave material como “existência digna”, desdobrando-se em saúde e alimentação, pois a dignidade (art. 1º, III) e o rol social (art. 6º) reafirmam brevemente, no âmbito interno, o mínimo existencial que o Estado não pode negligenciar (</w:t>
      </w:r>
      <w:r w:rsidRPr="007E6D98" w:rsidR="00E06240">
        <w:t>Tavares</w:t>
      </w:r>
      <w:r w:rsidRPr="007E6D98">
        <w:t xml:space="preserve">, 2021; </w:t>
      </w:r>
      <w:r w:rsidRPr="007E6D98" w:rsidR="00E06240">
        <w:t>Brasil</w:t>
      </w:r>
      <w:r w:rsidRPr="007E6D98">
        <w:t>, 1988).</w:t>
      </w:r>
      <w:bookmarkEnd w:id="9"/>
    </w:p>
    <w:p w:rsidRPr="000011AE" w:rsidR="000A01F5" w:rsidP="00095198" w:rsidRDefault="000A01F5" w14:paraId="7CBC4C76" w14:textId="7E82E079">
      <w:pPr>
        <w:spacing w:after="140" w:line="360" w:lineRule="auto"/>
        <w:jc w:val="both"/>
      </w:pPr>
      <w:r w:rsidRPr="000011AE">
        <w:t xml:space="preserve">Os documentos nacionais de política pública, como os elaborados pelo Conselho Nacional de Segurança Alimentar e Nutricional (CONSEA), definem a Segurança Alimentar e Nutricional (SAN) como: </w:t>
      </w:r>
    </w:p>
    <w:p w:rsidR="000A01F5" w:rsidP="00095198" w:rsidRDefault="006A2E96" w14:paraId="5ECE3BB5" w14:textId="2ADA7CA1">
      <w:pPr>
        <w:spacing w:line="360" w:lineRule="auto"/>
        <w:ind w:left="2268"/>
        <w:jc w:val="both"/>
        <w:rPr>
          <w:sz w:val="20"/>
          <w:szCs w:val="20"/>
        </w:rPr>
      </w:pPr>
      <w:r>
        <w:rPr>
          <w:sz w:val="20"/>
          <w:szCs w:val="20"/>
        </w:rPr>
        <w:t>A</w:t>
      </w:r>
      <w:r w:rsidRPr="000011AE" w:rsidR="000A01F5">
        <w:rPr>
          <w:sz w:val="20"/>
          <w:szCs w:val="20"/>
        </w:rPr>
        <w:t xml:space="preserve"> realização do direito de todos ao acesso regular e permanente a alimentos de qualidade, em quantidade suficiente, sem comprometer o acesso a outras necessidades essenciais, tendo como base práticas alimentares promotoras de saúde, que respeitem a diversidade cultural e que sejam social, econômica e ambientalmente sustentáveis (CONSEA, 2004, p. 4).</w:t>
      </w:r>
    </w:p>
    <w:p w:rsidRPr="000011AE" w:rsidR="000A01F5" w:rsidP="00095198" w:rsidRDefault="000A01F5" w14:paraId="2A0BA28B" w14:textId="77777777">
      <w:pPr>
        <w:spacing w:line="360" w:lineRule="auto"/>
        <w:ind w:left="2268"/>
        <w:jc w:val="both"/>
        <w:rPr>
          <w:sz w:val="20"/>
          <w:szCs w:val="20"/>
        </w:rPr>
      </w:pPr>
    </w:p>
    <w:p w:rsidR="003949AA" w:rsidP="00095198" w:rsidRDefault="00F46E46" w14:paraId="01C4FE58" w14:textId="28A34A11">
      <w:pPr>
        <w:spacing w:after="140" w:line="360" w:lineRule="auto"/>
        <w:jc w:val="both"/>
      </w:pPr>
      <w:r>
        <w:t>S</w:t>
      </w:r>
      <w:r w:rsidRPr="00F46E46">
        <w:t>ob a abordagem de direitos humanos, Albuquerque (2009) e a CAISAN (2021) destacam</w:t>
      </w:r>
      <w:r w:rsidRPr="005E6A32" w:rsidR="005E6A32">
        <w:t xml:space="preserve"> que a segurança alimentar transcende a ausência de fome, assegurando acesso físico e econômico contínuo a alimentos e recursos como emprego, renda e água, além de significados culturais como educação, sociabilidade, informação, moradia e pertencimento</w:t>
      </w:r>
      <w:r w:rsidR="00A63905">
        <w:t xml:space="preserve">. </w:t>
      </w:r>
      <w:r w:rsidRPr="003949AA" w:rsidR="003949AA">
        <w:t>Nesse quadro, portanto, a segurança alimentar configura-se como preocupação central do DHAA. Ademais, transcende erradicação de fome para focar, enfaticamente, a qualidade das relações que se constroem em torno do alimento (CONSEA, 2004; CAISAN, 2021).</w:t>
      </w:r>
    </w:p>
    <w:p w:rsidR="00BE0A2D" w:rsidP="00A63905" w:rsidRDefault="00BE0A2D" w14:paraId="5941AC89" w14:textId="092C7B44">
      <w:pPr>
        <w:spacing w:after="140" w:line="360" w:lineRule="auto"/>
        <w:jc w:val="both"/>
      </w:pPr>
      <w:r w:rsidRPr="00BE0A2D">
        <w:t>No contexto brasileiro, direitos fundamentais são irrenunciáveis e essenciais à dignidade humana; a CF</w:t>
      </w:r>
      <w:r w:rsidR="003E0EBE">
        <w:t>RB</w:t>
      </w:r>
      <w:r w:rsidRPr="00BE0A2D">
        <w:t>/1988, ao dedicar títulos próprios aos direitos e garantias fundamentais, expressa essa centralidade (</w:t>
      </w:r>
      <w:r w:rsidRPr="00BE0A2D" w:rsidR="003E0EBE">
        <w:t>Brasil</w:t>
      </w:r>
      <w:r w:rsidRPr="00BE0A2D">
        <w:t>, 1988). Dallari (</w:t>
      </w:r>
      <w:r w:rsidR="003E0EBE">
        <w:t>2021</w:t>
      </w:r>
      <w:r w:rsidRPr="00BE0A2D" w:rsidR="00F46E46">
        <w:t xml:space="preserve">) </w:t>
      </w:r>
      <w:r w:rsidRPr="00F46E46" w:rsidR="00F46E46">
        <w:t xml:space="preserve">ocupam posição de relevo por expressarem valores superiores que orientam todo o sistema jurídico. </w:t>
      </w:r>
      <w:r w:rsidRPr="00BE0A2D">
        <w:t>Assim, reconhecer a segurança alimentar como direito essencial à vida situa-a como eixo conectando existência biológica, saúde, educação, trabalho, cultura e participação política</w:t>
      </w:r>
      <w:r w:rsidR="0009023C">
        <w:t>,</w:t>
      </w:r>
      <w:r w:rsidRPr="00BE0A2D">
        <w:t xml:space="preserve"> em síntese, como condição material indispensável para que a promessa de dignidade da pessoa humana se converta em realidade (</w:t>
      </w:r>
      <w:r w:rsidRPr="00BE0A2D" w:rsidR="00CA4A5A">
        <w:t>Maniglia, 200</w:t>
      </w:r>
      <w:r w:rsidRPr="00BE0A2D">
        <w:t xml:space="preserve">9; </w:t>
      </w:r>
      <w:r w:rsidRPr="00BE0A2D" w:rsidR="003A2F50">
        <w:t>Valente</w:t>
      </w:r>
      <w:r w:rsidRPr="00BE0A2D">
        <w:t xml:space="preserve">, </w:t>
      </w:r>
      <w:r w:rsidR="003A2F50">
        <w:t>2021</w:t>
      </w:r>
      <w:r w:rsidRPr="00BE0A2D">
        <w:t xml:space="preserve">; </w:t>
      </w:r>
      <w:r w:rsidR="00B57747">
        <w:t>De Aguiar; Padrão</w:t>
      </w:r>
      <w:r w:rsidRPr="007414F2" w:rsidR="00B57747">
        <w:t>, 2022</w:t>
      </w:r>
      <w:r w:rsidRPr="00BE0A2D">
        <w:t>).</w:t>
      </w:r>
    </w:p>
    <w:p w:rsidR="000A01F5" w:rsidP="00095198" w:rsidRDefault="00721336" w14:paraId="77B458E1" w14:textId="61FC2EFC">
      <w:pPr>
        <w:spacing w:line="360" w:lineRule="auto"/>
        <w:jc w:val="both"/>
      </w:pPr>
      <w:r w:rsidRPr="00721336">
        <w:t>A partir dessa base, consolida-se que a segurança alimentar é um direito humano que não pode ser legitimamente negado, visto que toca diretamente o direito à vida em sua dimensão elementar</w:t>
      </w:r>
      <w:r w:rsidR="0009023C">
        <w:t xml:space="preserve">, </w:t>
      </w:r>
      <w:r w:rsidRPr="00721336">
        <w:t>o acesso a alimento adequado e suficiente. Tal compreensão prepara o terreno para o próximo passo: compreender o alimento como elemento social, cultural e político, transcendendo a mera necessidade vital para revelar-se espaço de construção de identidades, afirmação de modos de vida e disputas de poder vinculadas à soberania e resistência dos povos.</w:t>
      </w:r>
    </w:p>
    <w:p w:rsidR="00721336" w:rsidP="00095198" w:rsidRDefault="00721336" w14:paraId="1F72E5FD" w14:textId="77777777">
      <w:pPr>
        <w:spacing w:line="360" w:lineRule="auto"/>
        <w:jc w:val="both"/>
      </w:pPr>
    </w:p>
    <w:p w:rsidR="00A63905" w:rsidP="00095198" w:rsidRDefault="00A63905" w14:paraId="3AEBB5D6" w14:textId="77777777">
      <w:pPr>
        <w:spacing w:line="360" w:lineRule="auto"/>
        <w:jc w:val="both"/>
      </w:pPr>
    </w:p>
    <w:p w:rsidRPr="0007759B" w:rsidR="000A01F5" w:rsidP="00095198" w:rsidRDefault="000A01F5" w14:paraId="11353728" w14:textId="59E17FAB">
      <w:pPr>
        <w:spacing w:line="360" w:lineRule="auto"/>
        <w:jc w:val="both"/>
      </w:pPr>
      <w:r w:rsidRPr="0007759B">
        <w:t>2.3 O ALIMENTO COMO ELEMENTO SOCIAL, CULTURAL E POLÍTICO</w:t>
      </w:r>
    </w:p>
    <w:p w:rsidRPr="00A63905" w:rsidR="000A01F5" w:rsidP="00095198" w:rsidRDefault="000A01F5" w14:paraId="4191A3A4" w14:textId="77777777">
      <w:pPr>
        <w:spacing w:line="360" w:lineRule="auto"/>
        <w:jc w:val="both"/>
      </w:pPr>
    </w:p>
    <w:p w:rsidRPr="00A63905" w:rsidR="000A01F5" w:rsidP="00A63905" w:rsidRDefault="000A01F5" w14:paraId="0B3FA791" w14:textId="77777777">
      <w:pPr>
        <w:jc w:val="both"/>
      </w:pPr>
    </w:p>
    <w:p w:rsidR="000A01F5" w:rsidP="00095198" w:rsidRDefault="00337138" w14:paraId="240C291D" w14:textId="7FC25411">
      <w:pPr>
        <w:spacing w:after="140" w:line="360" w:lineRule="auto"/>
        <w:jc w:val="both"/>
      </w:pPr>
      <w:r>
        <w:t xml:space="preserve">A </w:t>
      </w:r>
      <w:r w:rsidRPr="000011AE" w:rsidR="007D20B7">
        <w:t>segur</w:t>
      </w:r>
      <w:r w:rsidR="007D20B7">
        <w:t>ança</w:t>
      </w:r>
      <w:r w:rsidRPr="000011AE" w:rsidR="000A01F5">
        <w:t xml:space="preserve"> alimentar é um direito humano que não pode ser legitimamente negado e organiza juridicamente o acesso à alimentação em dimensões </w:t>
      </w:r>
      <w:r w:rsidRPr="00A63905" w:rsidR="000A01F5">
        <w:t>quantitativas, qualitativas</w:t>
      </w:r>
      <w:r w:rsidRPr="000011AE" w:rsidR="000A01F5">
        <w:t xml:space="preserve"> e culturais, o passo seguinte consiste em deslocar o foco da norma para o próprio alimento e para o ato de comer. A alimentação, concebida como direito humano essencial à vida digna, aparece aqui como prática concreta pela qual se estrutura a existência em sociedade: não apenas se come para sobreviver, mas, ao comer, constroem</w:t>
      </w:r>
      <w:r w:rsidRPr="000011AE" w:rsidR="000A01F5">
        <w:noBreakHyphen/>
      </w:r>
      <w:r w:rsidRPr="000011AE" w:rsidR="000A01F5">
        <w:t>se identidades, pertencimentos, memórias e relações de poder (</w:t>
      </w:r>
      <w:r w:rsidRPr="000011AE" w:rsidR="000B6A5C">
        <w:t>Valente</w:t>
      </w:r>
      <w:r w:rsidRPr="000011AE" w:rsidR="000A01F5">
        <w:t xml:space="preserve">, </w:t>
      </w:r>
      <w:r w:rsidR="003A2F50">
        <w:t>2021</w:t>
      </w:r>
      <w:r w:rsidRPr="000011AE" w:rsidR="000A01F5">
        <w:t xml:space="preserve">; </w:t>
      </w:r>
      <w:r w:rsidRPr="000011AE" w:rsidR="00CA4A5A">
        <w:t>Maniglia</w:t>
      </w:r>
      <w:r w:rsidRPr="000011AE" w:rsidR="000A01F5">
        <w:t>, 2009). Nessa perspectiva, o alimento não é apenas recurso biológico ou objeto de política pública; além disso, ele é elemento social, cultural e político que atravessa o conjunto dos direitos humanos, influenciando o modo como indivíduos e povos vivem, se reconhecem e se relacionam.</w:t>
      </w:r>
    </w:p>
    <w:p w:rsidRPr="000011AE" w:rsidR="00833DCD" w:rsidP="00095198" w:rsidRDefault="00833DCD" w14:paraId="0CAD97E4" w14:textId="35969F22">
      <w:pPr>
        <w:spacing w:after="140" w:line="360" w:lineRule="auto"/>
        <w:jc w:val="both"/>
        <w:rPr>
          <w:color w:val="000000"/>
        </w:rPr>
      </w:pPr>
      <w:bookmarkStart w:name="OLE_LINK26" w:id="10"/>
      <w:r w:rsidRPr="00833DCD">
        <w:rPr>
          <w:color w:val="000000"/>
        </w:rPr>
        <w:t xml:space="preserve">O </w:t>
      </w:r>
      <w:r w:rsidRPr="000B6A5C">
        <w:rPr>
          <w:color w:val="000000"/>
        </w:rPr>
        <w:t>DHAA</w:t>
      </w:r>
      <w:r w:rsidRPr="00833DCD">
        <w:rPr>
          <w:color w:val="000000"/>
        </w:rPr>
        <w:t xml:space="preserve"> enfatiza justamente a densidade ampliada do alimento. Segundo Valente (</w:t>
      </w:r>
      <w:r w:rsidR="003A2F50">
        <w:rPr>
          <w:color w:val="000000"/>
        </w:rPr>
        <w:t>2021</w:t>
      </w:r>
      <w:r w:rsidRPr="00833DCD">
        <w:rPr>
          <w:color w:val="000000"/>
        </w:rPr>
        <w:t>), o direito à alimentação adequada transcende a simples ingestão de nutrientes, configurando extensão da vida, saúde, cultura, educação, trabalho e dignidade humana. Ao evocar refeições familiares ou entre amigos com pratos da infância e cultura local, o autor destaca que tal experiência renova o indivíduo além do físico, fortalecendo saúde mental e dignidade</w:t>
      </w:r>
      <w:r w:rsidR="00A63905">
        <w:rPr>
          <w:color w:val="000000"/>
        </w:rPr>
        <w:t xml:space="preserve">. </w:t>
      </w:r>
      <w:r w:rsidRPr="00833DCD">
        <w:rPr>
          <w:color w:val="000000"/>
        </w:rPr>
        <w:t xml:space="preserve">Dessas formulações, afirma-se que o alimento incorpora memória, afeto e vínculo: o ato de comer torna-se momento sociável em que o sujeito </w:t>
      </w:r>
      <w:r w:rsidRPr="003A37FE" w:rsidR="003A37FE">
        <w:rPr>
          <w:color w:val="000000"/>
        </w:rPr>
        <w:t xml:space="preserve">se integra </w:t>
      </w:r>
      <w:r w:rsidRPr="00833DCD">
        <w:rPr>
          <w:color w:val="000000"/>
        </w:rPr>
        <w:t>a</w:t>
      </w:r>
      <w:r>
        <w:rPr>
          <w:color w:val="000000"/>
        </w:rPr>
        <w:t xml:space="preserve">o </w:t>
      </w:r>
      <w:r w:rsidRPr="00833DCD">
        <w:rPr>
          <w:color w:val="000000"/>
        </w:rPr>
        <w:t xml:space="preserve">grupo, </w:t>
      </w:r>
      <w:r>
        <w:rPr>
          <w:color w:val="000000"/>
        </w:rPr>
        <w:t xml:space="preserve">de uma </w:t>
      </w:r>
      <w:r w:rsidRPr="00833DCD">
        <w:rPr>
          <w:color w:val="000000"/>
        </w:rPr>
        <w:t xml:space="preserve">história e </w:t>
      </w:r>
      <w:r>
        <w:rPr>
          <w:color w:val="000000"/>
        </w:rPr>
        <w:t xml:space="preserve">de uma trama de </w:t>
      </w:r>
      <w:r w:rsidRPr="00833DCD">
        <w:rPr>
          <w:color w:val="000000"/>
        </w:rPr>
        <w:t>relações, ultrapassando a mera ingestão de nutrientes</w:t>
      </w:r>
      <w:r w:rsidR="00A63905">
        <w:rPr>
          <w:color w:val="000000"/>
        </w:rPr>
        <w:t xml:space="preserve"> </w:t>
      </w:r>
      <w:r w:rsidRPr="00833DCD" w:rsidR="00A63905">
        <w:rPr>
          <w:color w:val="000000"/>
        </w:rPr>
        <w:t>(</w:t>
      </w:r>
      <w:r w:rsidRPr="00833DCD" w:rsidR="003A2F50">
        <w:rPr>
          <w:color w:val="000000"/>
        </w:rPr>
        <w:t>Valente</w:t>
      </w:r>
      <w:r w:rsidRPr="00833DCD" w:rsidR="00A63905">
        <w:rPr>
          <w:color w:val="000000"/>
        </w:rPr>
        <w:t xml:space="preserve">, </w:t>
      </w:r>
      <w:r w:rsidR="003A2F50">
        <w:rPr>
          <w:color w:val="000000"/>
        </w:rPr>
        <w:t>2021</w:t>
      </w:r>
      <w:r w:rsidRPr="00833DCD" w:rsidR="00A63905">
        <w:rPr>
          <w:color w:val="000000"/>
        </w:rPr>
        <w:t>).</w:t>
      </w:r>
    </w:p>
    <w:bookmarkEnd w:id="10"/>
    <w:p w:rsidRPr="00226485" w:rsidR="00833DCD" w:rsidP="00A63905" w:rsidRDefault="00833DCD" w14:paraId="01FE017C" w14:textId="7E27990D">
      <w:pPr>
        <w:spacing w:after="140" w:line="360" w:lineRule="auto"/>
        <w:jc w:val="both"/>
        <w:rPr>
          <w:color w:val="000000"/>
        </w:rPr>
      </w:pPr>
      <w:r w:rsidRPr="00226485">
        <w:rPr>
          <w:color w:val="000000"/>
        </w:rPr>
        <w:t>Maniglia (2009</w:t>
      </w:r>
      <w:r w:rsidR="00106592">
        <w:rPr>
          <w:color w:val="000000"/>
        </w:rPr>
        <w:t>, pág. 125</w:t>
      </w:r>
      <w:r w:rsidRPr="00226485">
        <w:rPr>
          <w:color w:val="000000"/>
        </w:rPr>
        <w:t xml:space="preserve">), portanto, para quem o direito à alimentação se insere no contexto mais amplo do direito à vida, à dignidade, à autodeterminação e à satisfação de necessidades básicas, enfatiza que </w:t>
      </w:r>
      <w:r w:rsidR="00106592">
        <w:rPr>
          <w:color w:val="000000"/>
        </w:rPr>
        <w:t>“</w:t>
      </w:r>
      <w:r w:rsidRPr="00226485">
        <w:rPr>
          <w:color w:val="000000"/>
        </w:rPr>
        <w:t>sem alimento não há vida, sem trabalho dignidade plena e sem democracia igualdades</w:t>
      </w:r>
      <w:r w:rsidR="00106592">
        <w:rPr>
          <w:color w:val="000000"/>
        </w:rPr>
        <w:t>”</w:t>
      </w:r>
      <w:r w:rsidRPr="00226485">
        <w:rPr>
          <w:color w:val="000000"/>
        </w:rPr>
        <w:t>. Assim, a alimentação articula-se com</w:t>
      </w:r>
      <w:r w:rsidRPr="00226485" w:rsidR="00E534F5">
        <w:rPr>
          <w:color w:val="000000"/>
        </w:rPr>
        <w:t xml:space="preserve"> o </w:t>
      </w:r>
      <w:r w:rsidRPr="00226485">
        <w:rPr>
          <w:color w:val="000000"/>
        </w:rPr>
        <w:t>trabalho, participação política e democracia, compondo condições materiais sem as quais os demais direitos tornam-se meramente formais</w:t>
      </w:r>
      <w:r w:rsidR="007A6CE0">
        <w:rPr>
          <w:color w:val="000000"/>
        </w:rPr>
        <w:t xml:space="preserve">. </w:t>
      </w:r>
      <w:r w:rsidRPr="00226485">
        <w:rPr>
          <w:color w:val="000000"/>
        </w:rPr>
        <w:t xml:space="preserve">Logo, negá-la não expõe apenas à carência nutricional, mas compromete direitos fundamentais como estudar, trabalhar, conviver e decidir, reforçando a centralidade do alimento </w:t>
      </w:r>
      <w:r w:rsidRPr="00226485" w:rsidR="00E534F5">
        <w:rPr>
          <w:color w:val="000000"/>
        </w:rPr>
        <w:t xml:space="preserve">no exercício pleno da </w:t>
      </w:r>
      <w:r w:rsidRPr="00226485">
        <w:rPr>
          <w:color w:val="000000"/>
        </w:rPr>
        <w:t>cidadania.</w:t>
      </w:r>
    </w:p>
    <w:p w:rsidRPr="00106592" w:rsidR="00A90F38" w:rsidP="000602A9" w:rsidRDefault="000602A9" w14:paraId="72D282F3" w14:textId="2A05C009">
      <w:pPr>
        <w:spacing w:after="140" w:line="360" w:lineRule="auto"/>
        <w:jc w:val="both"/>
        <w:rPr>
          <w:color w:val="000000"/>
        </w:rPr>
      </w:pPr>
      <w:r w:rsidRPr="00106592">
        <w:rPr>
          <w:color w:val="000000"/>
        </w:rPr>
        <w:t>Como visto anteriormente, não se pode tratar a alimentação como tema meramente nutricional, pois ela se relaciona à organização social da vida e é atravessada por fatores culturais, sociais, econômicos e históricos</w:t>
      </w:r>
      <w:r w:rsidR="00A617CA">
        <w:rPr>
          <w:color w:val="000000"/>
        </w:rPr>
        <w:t>.</w:t>
      </w:r>
      <w:r w:rsidRPr="00106592">
        <w:rPr>
          <w:color w:val="000000"/>
        </w:rPr>
        <w:t xml:space="preserve"> Nesse sentido, a mera formalização jurídica sem compreensão do fenômeno alimentar não é capaz de construir intervenções significativas, uma vez que os hábitos alimentares são modelados tanto por recomendações nutricionais quanto pelo prazer, pela convivência e pela busca de uma existência digna, em que comer implica estar com outros, recordar memórias e afirmar um lugar no mundo.</w:t>
      </w:r>
      <w:r w:rsidR="00A617CA">
        <w:rPr>
          <w:color w:val="000000"/>
        </w:rPr>
        <w:t xml:space="preserve"> </w:t>
      </w:r>
      <w:r w:rsidRPr="00106592" w:rsidR="00A617CA">
        <w:rPr>
          <w:color w:val="000000"/>
        </w:rPr>
        <w:t>(Maniglia, 2009).</w:t>
      </w:r>
    </w:p>
    <w:p w:rsidRPr="000602A9" w:rsidR="000602A9" w:rsidP="000602A9" w:rsidRDefault="000602A9" w14:paraId="2CDE2692" w14:textId="65AB7CB5">
      <w:pPr>
        <w:spacing w:after="140" w:line="360" w:lineRule="auto"/>
        <w:jc w:val="both"/>
        <w:rPr>
          <w:color w:val="000000"/>
        </w:rPr>
      </w:pPr>
      <w:r w:rsidRPr="00106592">
        <w:rPr>
          <w:color w:val="000000"/>
        </w:rPr>
        <w:t>Nessa linha, a alimentação concretiza-se no consumo de alimentos e não de “nutrientes abstratos”, carregando consigo aspirações culturais, afetivas, comportamentais e psicológicas; o que está em jogo é um conjunto de significados que o alimento representa, inclusive como veículo de memória, de pertencimento comunitário e de afirmação de modos de vida. Valente (</w:t>
      </w:r>
      <w:r w:rsidRPr="00106592" w:rsidR="003A2F50">
        <w:rPr>
          <w:color w:val="000000"/>
        </w:rPr>
        <w:t>2021</w:t>
      </w:r>
      <w:r w:rsidRPr="00106592">
        <w:rPr>
          <w:color w:val="000000"/>
        </w:rPr>
        <w:t>) retoma esse ponto ao lembrar que o direito à alimentação adequada não se limita à garantia de que o indivíduo “coma para não morrer”, mas envolve a certeza de que suas necessidades biológicas, físicas e mentais são atendidas em consonância com práticas e hábitos alimentares coerentes com a cultura e os costumes de seu grupo, contribuindo diretamente para a inclusão social</w:t>
      </w:r>
      <w:r w:rsidRPr="00106592" w:rsidR="00D47A47">
        <w:rPr>
          <w:color w:val="000000"/>
        </w:rPr>
        <w:t>.</w:t>
      </w:r>
    </w:p>
    <w:p w:rsidRPr="000011AE" w:rsidR="000A01F5" w:rsidP="00095198" w:rsidRDefault="00A90F38" w14:paraId="5D575965" w14:textId="1EF89C08">
      <w:pPr>
        <w:spacing w:after="140" w:line="360" w:lineRule="auto"/>
        <w:jc w:val="both"/>
        <w:rPr>
          <w:color w:val="000000"/>
        </w:rPr>
      </w:pPr>
      <w:r w:rsidRPr="00A90F38">
        <w:rPr>
          <w:color w:val="000000"/>
        </w:rPr>
        <w:t>Sob essa perspectiva, a negação da alimentação adequada, seja pela pobreza estrutural, por políticas excludentes ou por contextos de crise, não representa apenas uma privação material</w:t>
      </w:r>
      <w:r w:rsidR="00E06003">
        <w:rPr>
          <w:color w:val="000000"/>
        </w:rPr>
        <w:t xml:space="preserve">, </w:t>
      </w:r>
      <w:r w:rsidRPr="00E06003" w:rsidR="00E06003">
        <w:rPr>
          <w:color w:val="000000"/>
        </w:rPr>
        <w:t>mas também uma forma de exclusão socia</w:t>
      </w:r>
      <w:r w:rsidR="00F05D42">
        <w:rPr>
          <w:color w:val="000000"/>
        </w:rPr>
        <w:t>l</w:t>
      </w:r>
      <w:r w:rsidRPr="000011AE" w:rsidR="000A01F5">
        <w:rPr>
          <w:color w:val="000000"/>
        </w:rPr>
        <w:t>. Ao impedir o acesso aos alimentos que compõem a identidade alimentar de um povo, restringe</w:t>
      </w:r>
      <w:r w:rsidRPr="000011AE" w:rsidR="000A01F5">
        <w:rPr>
          <w:color w:val="000000"/>
        </w:rPr>
        <w:noBreakHyphen/>
      </w:r>
      <w:r w:rsidRPr="000011AE" w:rsidR="000A01F5">
        <w:rPr>
          <w:color w:val="000000"/>
        </w:rPr>
        <w:t>se também a participação em rituais, festas e reuniões familiares em que a comida ocupa lugar central, rompendo laços, fragilizando autoestima coletiva e enfraquecendo a capacidade de o grupo se reconhecer como sujeito de direitos (</w:t>
      </w:r>
      <w:r w:rsidRPr="000011AE" w:rsidR="003A2F50">
        <w:rPr>
          <w:color w:val="000000"/>
        </w:rPr>
        <w:t>Valente</w:t>
      </w:r>
      <w:r w:rsidRPr="000011AE" w:rsidR="000A01F5">
        <w:rPr>
          <w:color w:val="000000"/>
        </w:rPr>
        <w:t xml:space="preserve">, </w:t>
      </w:r>
      <w:r w:rsidR="003A2F50">
        <w:rPr>
          <w:color w:val="000000"/>
        </w:rPr>
        <w:t>2021</w:t>
      </w:r>
      <w:r w:rsidRPr="000011AE" w:rsidR="000A01F5">
        <w:rPr>
          <w:color w:val="000000"/>
        </w:rPr>
        <w:t xml:space="preserve">; </w:t>
      </w:r>
      <w:r w:rsidRPr="00F712E8" w:rsidR="00F712E8">
        <w:rPr>
          <w:color w:val="000000"/>
        </w:rPr>
        <w:t>World Bank</w:t>
      </w:r>
      <w:r w:rsidRPr="00B84C22" w:rsidR="00F712E8">
        <w:t xml:space="preserve">, </w:t>
      </w:r>
      <w:r w:rsidR="00F712E8">
        <w:t>1986</w:t>
      </w:r>
      <w:r w:rsidRPr="000011AE" w:rsidR="000A01F5">
        <w:rPr>
          <w:color w:val="000000"/>
        </w:rPr>
        <w:t xml:space="preserve">). A partir </w:t>
      </w:r>
      <w:r w:rsidRPr="000011AE" w:rsidR="00C16770">
        <w:rPr>
          <w:color w:val="000000"/>
        </w:rPr>
        <w:t>daqui o</w:t>
      </w:r>
      <w:r w:rsidRPr="000011AE" w:rsidR="000A01F5">
        <w:rPr>
          <w:color w:val="000000"/>
        </w:rPr>
        <w:t xml:space="preserve"> alimento começa a revelar, com maior nitidez, sua condição de elemento social, cultural e político.</w:t>
      </w:r>
    </w:p>
    <w:p w:rsidRPr="000011AE" w:rsidR="000A01F5" w:rsidP="00095198" w:rsidRDefault="000A01F5" w14:paraId="7B0D5739" w14:textId="5385E8CF">
      <w:pPr>
        <w:spacing w:after="140" w:line="360" w:lineRule="auto"/>
        <w:jc w:val="both"/>
        <w:rPr>
          <w:color w:val="000000"/>
        </w:rPr>
      </w:pPr>
      <w:r w:rsidRPr="000011AE">
        <w:rPr>
          <w:color w:val="000000"/>
        </w:rPr>
        <w:t xml:space="preserve">A antropologia da alimentação demonstra que a comida é uma das linguagens centrais da cultura. </w:t>
      </w:r>
      <w:r w:rsidR="00AC18E0">
        <w:rPr>
          <w:color w:val="000000"/>
        </w:rPr>
        <w:t xml:space="preserve">Na </w:t>
      </w:r>
      <w:r w:rsidRPr="000011AE">
        <w:rPr>
          <w:color w:val="000000"/>
        </w:rPr>
        <w:t>alimentação humana, natureza e cultura se encontram, pois se comer é uma necessidade vital, “o quê, quando e com quem comer são aspectos que fazem parte de um sistema que implica atribuição de significados ao ato alimentar” (</w:t>
      </w:r>
      <w:r w:rsidRPr="000011AE" w:rsidR="00E06003">
        <w:rPr>
          <w:color w:val="000000"/>
        </w:rPr>
        <w:t>Maciel</w:t>
      </w:r>
      <w:r w:rsidRPr="000011AE">
        <w:rPr>
          <w:color w:val="000000"/>
        </w:rPr>
        <w:t>, 2004, pág. 2). A alimentação humana, por ser ato social e cultural, dá origem a diferentes sistemas alimentares, nos quais intervêm fatores ecológicos, históricos, culturais, sociais e econômicos que produzem representações e imaginários sobre o que é “comida”, o que é “luxo”, o que é “proibido” e quem tem direito a quê (</w:t>
      </w:r>
      <w:r w:rsidRPr="000011AE" w:rsidR="00E06003">
        <w:rPr>
          <w:color w:val="000000"/>
        </w:rPr>
        <w:t>Maciel</w:t>
      </w:r>
      <w:r w:rsidRPr="000011AE">
        <w:rPr>
          <w:color w:val="000000"/>
        </w:rPr>
        <w:t xml:space="preserve">, 2004; </w:t>
      </w:r>
      <w:r w:rsidRPr="000011AE" w:rsidR="00E80A86">
        <w:rPr>
          <w:color w:val="000000"/>
        </w:rPr>
        <w:t>Laraia</w:t>
      </w:r>
      <w:r w:rsidRPr="000011AE">
        <w:rPr>
          <w:color w:val="000000"/>
        </w:rPr>
        <w:t>, 2001). Assim, “o que comemos diz quem somos”: o prato cotidiano indica classe, gênero, território, raça, religião, trajetórias de migração e formas de pertencimento, tornando o alimento um marcador identitário fundamental (</w:t>
      </w:r>
      <w:r w:rsidR="00E80A86">
        <w:rPr>
          <w:color w:val="000000"/>
        </w:rPr>
        <w:t>Contreras; Gracia</w:t>
      </w:r>
      <w:r w:rsidRPr="000011AE">
        <w:rPr>
          <w:color w:val="000000"/>
        </w:rPr>
        <w:t xml:space="preserve">, </w:t>
      </w:r>
      <w:r w:rsidR="00E80A86">
        <w:rPr>
          <w:color w:val="000000"/>
        </w:rPr>
        <w:t>2011</w:t>
      </w:r>
      <w:r w:rsidR="000439A8">
        <w:rPr>
          <w:color w:val="000000"/>
        </w:rPr>
        <w:t xml:space="preserve">, </w:t>
      </w:r>
      <w:r w:rsidR="00E80A86">
        <w:rPr>
          <w:color w:val="000000"/>
        </w:rPr>
        <w:t>pág. 16</w:t>
      </w:r>
      <w:r w:rsidRPr="000011AE">
        <w:rPr>
          <w:color w:val="000000"/>
        </w:rPr>
        <w:t>).</w:t>
      </w:r>
    </w:p>
    <w:p w:rsidRPr="000011AE" w:rsidR="000A01F5" w:rsidP="00095198" w:rsidRDefault="000A01F5" w14:paraId="49D81640" w14:textId="67A452FD">
      <w:pPr>
        <w:spacing w:after="140" w:line="360" w:lineRule="auto"/>
        <w:jc w:val="both"/>
        <w:rPr>
          <w:color w:val="000000"/>
        </w:rPr>
      </w:pPr>
      <w:r w:rsidRPr="000011AE">
        <w:rPr>
          <w:color w:val="000000"/>
        </w:rPr>
        <w:t xml:space="preserve">A noção de cultura, na tradição antropológica, ajuda a aprofundar essa leitura. </w:t>
      </w:r>
      <w:r w:rsidR="00F05D42">
        <w:rPr>
          <w:color w:val="000000"/>
        </w:rPr>
        <w:t>D</w:t>
      </w:r>
      <w:r w:rsidRPr="000011AE">
        <w:rPr>
          <w:color w:val="000000"/>
        </w:rPr>
        <w:t>efine</w:t>
      </w:r>
      <w:r w:rsidR="00F05D42">
        <w:rPr>
          <w:color w:val="000000"/>
        </w:rPr>
        <w:t>-se</w:t>
      </w:r>
      <w:r w:rsidRPr="000011AE">
        <w:rPr>
          <w:color w:val="000000"/>
        </w:rPr>
        <w:t xml:space="preserve"> cultura como “es</w:t>
      </w:r>
      <w:r w:rsidR="000439A8">
        <w:rPr>
          <w:color w:val="000000"/>
        </w:rPr>
        <w:t>t</w:t>
      </w:r>
      <w:r w:rsidRPr="000011AE">
        <w:rPr>
          <w:color w:val="000000"/>
        </w:rPr>
        <w:t>e todo complexo que inclui conhecimentos, crenças, arte, moral, leis, costumes ou qualquer outra capacidade ou hábitos adquiridos pelo homem como membro de uma sociedade” (</w:t>
      </w:r>
      <w:r w:rsidRPr="000011AE" w:rsidR="000439A8">
        <w:rPr>
          <w:color w:val="000000"/>
        </w:rPr>
        <w:t>Laraia</w:t>
      </w:r>
      <w:r w:rsidRPr="000011AE">
        <w:rPr>
          <w:color w:val="000000"/>
        </w:rPr>
        <w:t xml:space="preserve">, pág. 14, 2001). Se cultura é esse “todo complexo”, o alimento figura entre seus elementos primários: como observa Petrini </w:t>
      </w:r>
      <w:r w:rsidRPr="000439A8" w:rsidR="000439A8">
        <w:rPr>
          <w:i/>
          <w:iCs/>
          <w:color w:val="000000"/>
        </w:rPr>
        <w:t>apud</w:t>
      </w:r>
      <w:r w:rsidR="000439A8">
        <w:rPr>
          <w:color w:val="000000"/>
        </w:rPr>
        <w:t xml:space="preserve"> Ramos </w:t>
      </w:r>
      <w:r w:rsidRPr="000011AE">
        <w:rPr>
          <w:color w:val="000000"/>
        </w:rPr>
        <w:t>(</w:t>
      </w:r>
      <w:r w:rsidR="000439A8">
        <w:rPr>
          <w:color w:val="000000"/>
        </w:rPr>
        <w:t>2015</w:t>
      </w:r>
      <w:r w:rsidRPr="000011AE">
        <w:rPr>
          <w:color w:val="000000"/>
        </w:rPr>
        <w:t xml:space="preserve">), o alimento pode ser visto como </w:t>
      </w:r>
      <w:r w:rsidR="000346A0">
        <w:rPr>
          <w:color w:val="000000"/>
        </w:rPr>
        <w:t>“</w:t>
      </w:r>
      <w:r w:rsidRPr="000011AE">
        <w:rPr>
          <w:color w:val="000000"/>
        </w:rPr>
        <w:t>elemento cultural primário</w:t>
      </w:r>
      <w:r w:rsidR="000346A0">
        <w:rPr>
          <w:color w:val="000000"/>
        </w:rPr>
        <w:t>”</w:t>
      </w:r>
      <w:r w:rsidRPr="000011AE">
        <w:rPr>
          <w:color w:val="000000"/>
        </w:rPr>
        <w:t xml:space="preserve">, apto para o estudo de culturas e identidades, na medida em que nele se condensam técnicas, saberes, símbolos e valores. A alimentação, nesse sentido, não é tema marginal, mas via privilegiada de leitura da organização social, e, por isso mesmo, torna-se ponto de contato direto entre </w:t>
      </w:r>
      <w:r w:rsidRPr="000011AE" w:rsidR="007D20B7">
        <w:t>segur</w:t>
      </w:r>
      <w:r w:rsidR="007D20B7">
        <w:t>ança</w:t>
      </w:r>
      <w:r w:rsidRPr="000011AE" w:rsidR="007D20B7">
        <w:rPr>
          <w:color w:val="000000"/>
        </w:rPr>
        <w:t xml:space="preserve"> </w:t>
      </w:r>
      <w:r w:rsidRPr="000011AE">
        <w:rPr>
          <w:color w:val="000000"/>
        </w:rPr>
        <w:t>alimentar, dignidade e soberania.</w:t>
      </w:r>
    </w:p>
    <w:p w:rsidR="0072619F" w:rsidP="00853090" w:rsidRDefault="0072619F" w14:paraId="50488EBB" w14:textId="2C3BCA4B">
      <w:pPr>
        <w:spacing w:after="140" w:line="360" w:lineRule="auto"/>
        <w:jc w:val="both"/>
        <w:rPr>
          <w:color w:val="000000"/>
        </w:rPr>
      </w:pPr>
      <w:r w:rsidRPr="0072619F">
        <w:rPr>
          <w:color w:val="000000"/>
        </w:rPr>
        <w:t>A comensalidade reforça essa dimensão relacional, ao analisarem “olhares antropológicos sobre a alimentação”, mostrando que comer junto possui dimensão cultural própria (</w:t>
      </w:r>
      <w:r w:rsidRPr="0072619F" w:rsidR="000346A0">
        <w:rPr>
          <w:color w:val="000000"/>
        </w:rPr>
        <w:t>Daniel; Cravo</w:t>
      </w:r>
      <w:r w:rsidRPr="0072619F">
        <w:rPr>
          <w:color w:val="000000"/>
        </w:rPr>
        <w:t>, 2011). Elias</w:t>
      </w:r>
      <w:r w:rsidR="000346A0">
        <w:rPr>
          <w:color w:val="000000"/>
        </w:rPr>
        <w:t xml:space="preserve"> (</w:t>
      </w:r>
      <w:r w:rsidRPr="0072619F" w:rsidR="000346A0">
        <w:rPr>
          <w:color w:val="000000"/>
        </w:rPr>
        <w:t>1994, p</w:t>
      </w:r>
      <w:r w:rsidR="000346A0">
        <w:rPr>
          <w:color w:val="000000"/>
        </w:rPr>
        <w:t>ág</w:t>
      </w:r>
      <w:r w:rsidRPr="0072619F" w:rsidR="000346A0">
        <w:rPr>
          <w:color w:val="000000"/>
        </w:rPr>
        <w:t>. 124</w:t>
      </w:r>
      <w:r w:rsidR="000346A0">
        <w:rPr>
          <w:color w:val="000000"/>
        </w:rPr>
        <w:t>)</w:t>
      </w:r>
      <w:r w:rsidRPr="0072619F">
        <w:rPr>
          <w:color w:val="000000"/>
        </w:rPr>
        <w:t xml:space="preserve">, ao refletir sobre o processo civilizador, sublinha que comportamentos aparentemente individuais, como modos de comer ou etiqueta à mesa, “nada mais são que concretizações de relações e comportamentos, materialização da vida social e mental”. </w:t>
      </w:r>
      <w:r w:rsidRPr="0072619F" w:rsidR="000346A0">
        <w:rPr>
          <w:color w:val="000000"/>
        </w:rPr>
        <w:t>Simmel</w:t>
      </w:r>
      <w:r w:rsidR="000346A0">
        <w:rPr>
          <w:color w:val="000000"/>
        </w:rPr>
        <w:t xml:space="preserve"> (</w:t>
      </w:r>
      <w:r w:rsidRPr="0072619F" w:rsidR="000346A0">
        <w:rPr>
          <w:color w:val="000000"/>
        </w:rPr>
        <w:t>2004</w:t>
      </w:r>
      <w:r w:rsidR="000346A0">
        <w:rPr>
          <w:color w:val="000000"/>
        </w:rPr>
        <w:t>)</w:t>
      </w:r>
      <w:r w:rsidRPr="0072619F">
        <w:rPr>
          <w:color w:val="000000"/>
        </w:rPr>
        <w:t xml:space="preserve">, em sua sociologia da refeição, acrescenta que a mesa afirma hierarquias e pertencimentos, delimitando quem partilha o alimento e quem </w:t>
      </w:r>
      <w:r w:rsidRPr="003A37FE" w:rsidR="003A37FE">
        <w:rPr>
          <w:color w:val="000000"/>
        </w:rPr>
        <w:t>fica excluído</w:t>
      </w:r>
      <w:r w:rsidRPr="0072619F">
        <w:rPr>
          <w:color w:val="000000"/>
        </w:rPr>
        <w:t>. Assim, a alimentação adequada envolve direito a esses espaços coletivos de reconhecimento, pois a organização familiar e comunitária impacta diretamente escolha dos alimentos, preparo e partilha das refeições; por isso, hábitos alimentares são mediados não só por critérios nutricionais, mas pelo prazer, socialização e busca da existência digna.</w:t>
      </w:r>
    </w:p>
    <w:p w:rsidRPr="000011AE" w:rsidR="00A50D8C" w:rsidP="00853090" w:rsidRDefault="001C0181" w14:paraId="74B2C405" w14:textId="38CF6ACD">
      <w:pPr>
        <w:spacing w:after="140" w:line="360" w:lineRule="auto"/>
        <w:jc w:val="both"/>
        <w:rPr>
          <w:color w:val="000000"/>
        </w:rPr>
      </w:pPr>
      <w:r w:rsidRPr="001C0181">
        <w:rPr>
          <w:color w:val="000000"/>
        </w:rPr>
        <w:t>Do ponto de vista territorial, a alimentação constitui expressão identitária, econômica e simbólica. No cotidiano brasileiro, práticas como o café goiano</w:t>
      </w:r>
      <w:r w:rsidR="00C16770">
        <w:rPr>
          <w:color w:val="000000"/>
        </w:rPr>
        <w:t>,</w:t>
      </w:r>
      <w:r w:rsidRPr="001C0181">
        <w:rPr>
          <w:color w:val="000000"/>
        </w:rPr>
        <w:t xml:space="preserve"> com chipa, queijo e frutos do cerrado</w:t>
      </w:r>
      <w:r w:rsidR="00C16770">
        <w:rPr>
          <w:color w:val="000000"/>
        </w:rPr>
        <w:t xml:space="preserve">, </w:t>
      </w:r>
      <w:r w:rsidRPr="001C0181">
        <w:rPr>
          <w:color w:val="000000"/>
        </w:rPr>
        <w:t>ou a feijoada de domingo, descrita por Cascudo (1983</w:t>
      </w:r>
      <w:r w:rsidR="000346A0">
        <w:rPr>
          <w:color w:val="000000"/>
        </w:rPr>
        <w:t>, pág. 280</w:t>
      </w:r>
      <w:r w:rsidRPr="001C0181">
        <w:rPr>
          <w:color w:val="000000"/>
        </w:rPr>
        <w:t>) como “</w:t>
      </w:r>
      <w:r w:rsidRPr="000346A0" w:rsidR="000346A0">
        <w:rPr>
          <w:color w:val="000000"/>
        </w:rPr>
        <w:t>prato mais gloriosamente nacional do Brasil</w:t>
      </w:r>
      <w:r w:rsidRPr="001C0181" w:rsidR="000346A0">
        <w:rPr>
          <w:color w:val="000000"/>
        </w:rPr>
        <w:t>”, condensam</w:t>
      </w:r>
      <w:r w:rsidRPr="001C0181">
        <w:rPr>
          <w:color w:val="000000"/>
        </w:rPr>
        <w:t xml:space="preserve"> memórias de migração, trabalho no campo, sociabilidade familiar e apropriação de ingredientes herdados de processos coloniais. Esses alimentos ultrapassam a função nutricional e tornam-se sínteses de trajetórias históricas, misturas étnicas e resistências culturais. Ao mesmo tempo, a culinária regional assume papel estratégico ao gerar renda, turismo e reconhecimento, conectando segurança alimentar, desenvolvimento territorial e afirmação simbólica de grupos e povos (</w:t>
      </w:r>
      <w:r w:rsidRPr="001C0181" w:rsidR="000346A0">
        <w:rPr>
          <w:color w:val="000000"/>
        </w:rPr>
        <w:t>Cascudo</w:t>
      </w:r>
      <w:r w:rsidRPr="001C0181">
        <w:rPr>
          <w:color w:val="000000"/>
        </w:rPr>
        <w:t>, 1983; EMBRAPA, 2020</w:t>
      </w:r>
      <w:r w:rsidRPr="0072619F">
        <w:rPr>
          <w:color w:val="000000"/>
        </w:rPr>
        <w:t>).</w:t>
      </w:r>
      <w:r w:rsidRPr="0072619F" w:rsidR="00685036">
        <w:rPr>
          <w:color w:val="000000"/>
        </w:rPr>
        <w:t xml:space="preserve"> </w:t>
      </w:r>
      <w:r w:rsidRPr="00A50D8C" w:rsidR="00A50D8C">
        <w:rPr>
          <w:color w:val="000000"/>
        </w:rPr>
        <w:t>Revelando a posição estratégica do alimento na estrutura social, ao relacionar segurança alimentar, desenvolvimento territorial e afirmação identitária de grupos e povos.</w:t>
      </w:r>
    </w:p>
    <w:p w:rsidR="0032174D" w:rsidP="00095198" w:rsidRDefault="000A01F5" w14:paraId="020D1D12" w14:textId="2A3F59C2">
      <w:pPr>
        <w:spacing w:after="140" w:line="360" w:lineRule="auto"/>
        <w:jc w:val="both"/>
        <w:rPr>
          <w:color w:val="000000"/>
        </w:rPr>
      </w:pPr>
      <w:r w:rsidRPr="000011AE">
        <w:rPr>
          <w:color w:val="000000"/>
        </w:rPr>
        <w:t xml:space="preserve">A dimensão afetiva reforça essa centralidade. </w:t>
      </w:r>
      <w:r w:rsidR="00B57B6D">
        <w:rPr>
          <w:color w:val="000000"/>
        </w:rPr>
        <w:t xml:space="preserve">Zart </w:t>
      </w:r>
      <w:r w:rsidRPr="00B57B6D" w:rsidR="00B57B6D">
        <w:rPr>
          <w:i/>
          <w:iCs/>
          <w:color w:val="000000"/>
        </w:rPr>
        <w:t>apud</w:t>
      </w:r>
      <w:r w:rsidR="00B57B6D">
        <w:rPr>
          <w:color w:val="000000"/>
        </w:rPr>
        <w:t xml:space="preserve"> Serafini e Jacques (2018, pág. 1)</w:t>
      </w:r>
      <w:r w:rsidRPr="000011AE">
        <w:rPr>
          <w:color w:val="000000"/>
        </w:rPr>
        <w:t xml:space="preserve"> sintetiza </w:t>
      </w:r>
      <w:r w:rsidR="002957A7">
        <w:rPr>
          <w:color w:val="000000"/>
        </w:rPr>
        <w:t xml:space="preserve">esse âmbito </w:t>
      </w:r>
      <w:r w:rsidRPr="000011AE">
        <w:rPr>
          <w:color w:val="000000"/>
        </w:rPr>
        <w:t>ao afirmar que “há memória e afeto em cada refeição”, pois “a comida e o afeto estão unidos numa complexa trama social de conexão inseparável. Ornellas</w:t>
      </w:r>
      <w:r w:rsidR="00B57B6D">
        <w:rPr>
          <w:color w:val="000000"/>
        </w:rPr>
        <w:t xml:space="preserve"> (2008)</w:t>
      </w:r>
      <w:r w:rsidRPr="000011AE">
        <w:rPr>
          <w:color w:val="000000"/>
        </w:rPr>
        <w:t>, por sua vez, chama atenção para o fato de que, após o nascimento, diversos fatores incidem sobre o indivíduo moldando</w:t>
      </w:r>
      <w:r w:rsidRPr="000011AE">
        <w:rPr>
          <w:color w:val="000000"/>
        </w:rPr>
        <w:noBreakHyphen/>
      </w:r>
      <w:r w:rsidRPr="000011AE">
        <w:rPr>
          <w:color w:val="000000"/>
        </w:rPr>
        <w:t>o, sendo parte desses fatores diretamente ligados à alimentação</w:t>
      </w:r>
      <w:r w:rsidR="00B57B6D">
        <w:rPr>
          <w:color w:val="000000"/>
        </w:rPr>
        <w:t xml:space="preserve">. </w:t>
      </w:r>
      <w:r w:rsidRPr="002957A7" w:rsidR="002957A7">
        <w:rPr>
          <w:color w:val="000000"/>
        </w:rPr>
        <w:t>Os hábitos alimentares moldam a subjetividade, influenciando a percepção de corpo, saúde e pertencimento.</w:t>
      </w:r>
      <w:r w:rsidR="002957A7">
        <w:rPr>
          <w:color w:val="000000"/>
        </w:rPr>
        <w:t xml:space="preserve"> </w:t>
      </w:r>
      <w:r w:rsidR="004F46C2">
        <w:rPr>
          <w:color w:val="000000"/>
        </w:rPr>
        <w:t xml:space="preserve">Em suma, </w:t>
      </w:r>
      <w:r w:rsidRPr="000011AE">
        <w:rPr>
          <w:color w:val="000000"/>
        </w:rPr>
        <w:t>direito à alimentação</w:t>
      </w:r>
      <w:r w:rsidR="004F46C2">
        <w:rPr>
          <w:color w:val="000000"/>
        </w:rPr>
        <w:t xml:space="preserve"> </w:t>
      </w:r>
      <w:r w:rsidR="00A50D8C">
        <w:rPr>
          <w:color w:val="000000"/>
        </w:rPr>
        <w:t xml:space="preserve">envolve </w:t>
      </w:r>
      <w:r w:rsidRPr="000011AE">
        <w:rPr>
          <w:color w:val="000000"/>
        </w:rPr>
        <w:t>também o direito de se formar como pessoa em diálogo com a cultura e com o grupo social do qual se faz parte.</w:t>
      </w:r>
    </w:p>
    <w:p w:rsidRPr="000011AE" w:rsidR="000A01F5" w:rsidP="00095198" w:rsidRDefault="000A01F5" w14:paraId="58E3B160" w14:textId="50294C3C">
      <w:pPr>
        <w:spacing w:after="140" w:line="360" w:lineRule="auto"/>
        <w:jc w:val="both"/>
        <w:rPr>
          <w:color w:val="000000"/>
        </w:rPr>
      </w:pPr>
      <w:r w:rsidRPr="000011AE">
        <w:rPr>
          <w:color w:val="000000"/>
        </w:rPr>
        <w:t>A dimensão religiosa evidencia outro aspecto dessa complexidade. Documentos oficiais e estudos sobre hábitos alimentares no Brasil apontam que crenças e normas religiosas influenciam de modo significativo as escolhas de alimentos, os modos de preparo e as ocasiões em que se come (BRASIL, MEC, 2007). Em diferentes tradições, regras alimentares definem alimentos permitidos e proibidos, horários, jejum e formas de partilha, de modo que comer e deixar de comer se tornam atos carregados de sentido normativo e teológico. Exemplos amplamente discutidos na literatura incluem a interdição da carne de porco em tradições judaica e islâmica, o vegetarianismo associado a princípios espirituais em correntes do hinduísmo e a centralidade do pão e do vinho na eucaristia cristã, em que a alimentação assume valor simbólico máximo (</w:t>
      </w:r>
      <w:r w:rsidRPr="000011AE" w:rsidR="00D74A02">
        <w:rPr>
          <w:color w:val="000000"/>
        </w:rPr>
        <w:t>Carneiro</w:t>
      </w:r>
      <w:r w:rsidRPr="000011AE">
        <w:rPr>
          <w:color w:val="000000"/>
        </w:rPr>
        <w:t xml:space="preserve">, 2005). A </w:t>
      </w:r>
      <w:r w:rsidRPr="000011AE" w:rsidR="00D74A02">
        <w:rPr>
          <w:color w:val="000000"/>
        </w:rPr>
        <w:t>própria narrativa judaico-cristã</w:t>
      </w:r>
      <w:r w:rsidRPr="000011AE">
        <w:rPr>
          <w:color w:val="000000"/>
        </w:rPr>
        <w:t xml:space="preserve"> da “queda” de Adão e Eva é centrada em um gesto alimentar, comer o fruto proibido, confirmando que, em muitos contextos, a comida é ao mesmo tempo linguagem religiosa, norma disciplinar e critério de pertencimento comunitário.</w:t>
      </w:r>
    </w:p>
    <w:p w:rsidR="00853090" w:rsidP="00095198" w:rsidRDefault="00853090" w14:paraId="788937B1" w14:textId="54F521FB">
      <w:pPr>
        <w:spacing w:after="140" w:line="360" w:lineRule="auto"/>
        <w:jc w:val="both"/>
        <w:rPr>
          <w:color w:val="000000"/>
        </w:rPr>
      </w:pPr>
      <w:r w:rsidRPr="003A2955">
        <w:rPr>
          <w:color w:val="000000"/>
        </w:rPr>
        <w:t>Historicamente, o alimento tem sido utilizado como ferramenta de controle em espaços institucionais</w:t>
      </w:r>
      <w:r w:rsidRPr="003A2955" w:rsidR="00D566A5">
        <w:rPr>
          <w:color w:val="000000"/>
        </w:rPr>
        <w:t>,</w:t>
      </w:r>
      <w:r w:rsidRPr="003A2955">
        <w:rPr>
          <w:color w:val="000000"/>
        </w:rPr>
        <w:t xml:space="preserve"> de hospitais a abrigos. Ao padronizar dietas e horários de forma rígida, ignora-se a subjetividade e a cultura de quem come, reduzindo a refeição a uma mera entrega de nutrientes. Essa lógica de 'mínimo necessário' não apenas anula a autonomia individual, mas cristaliza a vulnerabilidade desses grupos, especialmente quando tal modelo é replicado em larga escala por políticas públicas.</w:t>
      </w:r>
    </w:p>
    <w:p w:rsidRPr="000011AE" w:rsidR="000A01F5" w:rsidP="00095198" w:rsidRDefault="000A01F5" w14:paraId="47791F54" w14:textId="3FFD71A3">
      <w:pPr>
        <w:spacing w:after="140" w:line="360" w:lineRule="auto"/>
        <w:jc w:val="both"/>
        <w:rPr>
          <w:color w:val="000000"/>
        </w:rPr>
      </w:pPr>
      <w:r w:rsidRPr="000011AE">
        <w:rPr>
          <w:color w:val="000000"/>
        </w:rPr>
        <w:t>A antropologia da alimentação mostra ainda que a comida pode funcionar como símbolo de identidade e, em certos contextos, como forma de resistência.</w:t>
      </w:r>
      <w:r w:rsidR="00A50D8C">
        <w:rPr>
          <w:color w:val="000000"/>
        </w:rPr>
        <w:t xml:space="preserve"> T</w:t>
      </w:r>
      <w:r w:rsidRPr="000011AE">
        <w:rPr>
          <w:color w:val="000000"/>
        </w:rPr>
        <w:t xml:space="preserve">radições culinárias servem como </w:t>
      </w:r>
      <w:r w:rsidRPr="000011AE" w:rsidR="00D566A5">
        <w:rPr>
          <w:color w:val="000000"/>
        </w:rPr>
        <w:t>marcadores</w:t>
      </w:r>
      <w:r w:rsidRPr="000011AE">
        <w:rPr>
          <w:color w:val="000000"/>
        </w:rPr>
        <w:t xml:space="preserve"> de identidade e resistência, especialmente em comunidades diaspóricas que mantêm vínculos com suas terras de origem, e que práticas alimentares podem se tornar locais de orgulho cultural ou de resistência política</w:t>
      </w:r>
      <w:r w:rsidR="00D74A02">
        <w:rPr>
          <w:color w:val="000000"/>
        </w:rPr>
        <w:t xml:space="preserve"> </w:t>
      </w:r>
      <w:r w:rsidRPr="000011AE">
        <w:rPr>
          <w:color w:val="000000"/>
        </w:rPr>
        <w:t>frente a processos de dominação ou assimilação forçada (</w:t>
      </w:r>
      <w:r w:rsidRPr="000011AE" w:rsidR="00D74A02">
        <w:rPr>
          <w:color w:val="000000"/>
        </w:rPr>
        <w:t>Counihan; Esterik</w:t>
      </w:r>
      <w:r w:rsidR="00D36535">
        <w:rPr>
          <w:color w:val="000000"/>
        </w:rPr>
        <w:t>; Julier</w:t>
      </w:r>
      <w:r w:rsidRPr="000011AE">
        <w:rPr>
          <w:color w:val="000000"/>
        </w:rPr>
        <w:t xml:space="preserve">, 2013; </w:t>
      </w:r>
      <w:r w:rsidRPr="000011AE" w:rsidR="00D36535">
        <w:rPr>
          <w:color w:val="000000"/>
        </w:rPr>
        <w:t>Mintz</w:t>
      </w:r>
      <w:r w:rsidRPr="000011AE">
        <w:rPr>
          <w:color w:val="000000"/>
        </w:rPr>
        <w:t>, 1985). Nesses casos, insistir em preparar e consumir alimentos tradicionais, mesmo sob escassez, proibição ou estigmatização, é insistir em permanecer sendo quem se é, o que reforça a compreensão de que a alimentação atravessa não só a biologia, mas a própria possibilidade de um povo afirmar sua existência coletiva (</w:t>
      </w:r>
      <w:r w:rsidRPr="000011AE" w:rsidR="00D36535">
        <w:rPr>
          <w:color w:val="000000"/>
        </w:rPr>
        <w:t xml:space="preserve">Anthropology Of Food, </w:t>
      </w:r>
      <w:r w:rsidRPr="000011AE">
        <w:rPr>
          <w:color w:val="000000"/>
        </w:rPr>
        <w:t>2012).</w:t>
      </w:r>
    </w:p>
    <w:p w:rsidRPr="000011AE" w:rsidR="000A01F5" w:rsidP="00095198" w:rsidRDefault="00C43DDE" w14:paraId="0CB3A366" w14:textId="5ED68702">
      <w:pPr>
        <w:spacing w:after="140" w:line="360" w:lineRule="auto"/>
        <w:jc w:val="both"/>
        <w:rPr>
          <w:color w:val="000000"/>
        </w:rPr>
      </w:pPr>
      <w:r>
        <w:rPr>
          <w:color w:val="000000"/>
        </w:rPr>
        <w:t>A</w:t>
      </w:r>
      <w:r w:rsidRPr="000011AE" w:rsidR="000A01F5">
        <w:rPr>
          <w:color w:val="000000"/>
        </w:rPr>
        <w:t xml:space="preserve"> </w:t>
      </w:r>
      <w:r w:rsidRPr="00C43DDE">
        <w:rPr>
          <w:color w:val="000000"/>
        </w:rPr>
        <w:t>refeição tradicional atua como ato de lembrar e recusar apagamento: cozinhar “como antes” e comer “como o grupo sempre comeu”</w:t>
      </w:r>
      <w:r w:rsidR="00D36535">
        <w:rPr>
          <w:color w:val="000000"/>
        </w:rPr>
        <w:t xml:space="preserve"> </w:t>
      </w:r>
      <w:r w:rsidRPr="000011AE" w:rsidR="000A01F5">
        <w:rPr>
          <w:color w:val="000000"/>
        </w:rPr>
        <w:t>torna</w:t>
      </w:r>
      <w:r w:rsidRPr="000011AE" w:rsidR="000A01F5">
        <w:rPr>
          <w:color w:val="000000"/>
        </w:rPr>
        <w:noBreakHyphen/>
      </w:r>
      <w:r w:rsidRPr="000011AE" w:rsidR="000A01F5">
        <w:rPr>
          <w:color w:val="000000"/>
        </w:rPr>
        <w:t>se prática cotidiana de resistência à homogeneização cultural, às políticas de assimilação e às formas sutis de colonização dos gostos (</w:t>
      </w:r>
      <w:r w:rsidRPr="000011AE" w:rsidR="00D36535">
        <w:rPr>
          <w:color w:val="000000"/>
        </w:rPr>
        <w:t>Maciel</w:t>
      </w:r>
      <w:r w:rsidRPr="000011AE" w:rsidR="000A01F5">
        <w:rPr>
          <w:color w:val="000000"/>
        </w:rPr>
        <w:t>, 2004).</w:t>
      </w:r>
      <w:r w:rsidR="00240543">
        <w:rPr>
          <w:color w:val="000000"/>
        </w:rPr>
        <w:t xml:space="preserve"> </w:t>
      </w:r>
      <w:r w:rsidRPr="00240543" w:rsidR="00240543">
        <w:rPr>
          <w:color w:val="000000"/>
        </w:rPr>
        <w:t>Nesses gestos, revela-se dimensão política: preservar práticas culinárias tradicionais contribui para a continuidade de referências culturais e identitárias, relacionando-se à capacidade do grupo manter autonomia frente a processos externos de homogeneização</w:t>
      </w:r>
      <w:r w:rsidR="00EE225E">
        <w:rPr>
          <w:color w:val="000000"/>
        </w:rPr>
        <w:t>.</w:t>
      </w:r>
    </w:p>
    <w:p w:rsidRPr="000011AE" w:rsidR="000A01F5" w:rsidP="007643E8" w:rsidRDefault="00A43EAA" w14:paraId="62903746" w14:textId="08C2B303">
      <w:pPr>
        <w:spacing w:after="140" w:line="360" w:lineRule="auto"/>
        <w:jc w:val="both"/>
        <w:rPr>
          <w:color w:val="000000"/>
        </w:rPr>
      </w:pPr>
      <w:r w:rsidRPr="00853090">
        <w:rPr>
          <w:color w:val="000000"/>
        </w:rPr>
        <w:t xml:space="preserve">Ao analisar o DHAA, observa-se uma convergência com esse panorama sociocultural. </w:t>
      </w:r>
      <w:r w:rsidRPr="00853090" w:rsidR="000A01F5">
        <w:rPr>
          <w:color w:val="000000"/>
        </w:rPr>
        <w:t>Valente</w:t>
      </w:r>
      <w:r w:rsidRPr="00853090" w:rsidR="00853090">
        <w:rPr>
          <w:color w:val="000000"/>
        </w:rPr>
        <w:t xml:space="preserve"> (</w:t>
      </w:r>
      <w:r w:rsidR="003A2F50">
        <w:rPr>
          <w:color w:val="000000"/>
        </w:rPr>
        <w:t>2021</w:t>
      </w:r>
      <w:r w:rsidRPr="00853090" w:rsidR="00853090">
        <w:rPr>
          <w:color w:val="000000"/>
        </w:rPr>
        <w:t>, pág 125)</w:t>
      </w:r>
      <w:r w:rsidRPr="00853090" w:rsidR="000A01F5">
        <w:rPr>
          <w:color w:val="000000"/>
        </w:rPr>
        <w:t xml:space="preserve"> sustenta que o DHAA “vai muito além da mera ingestão de nutrientes presentes na natureza”, constituindo “extensão e garantia do direito à vida, à saúde, à cultura, à educação, ao trabalho e à dignidade da pessoa humana”, e que, ao alimentar</w:t>
      </w:r>
      <w:r w:rsidRPr="00853090" w:rsidR="000A01F5">
        <w:rPr>
          <w:color w:val="000000"/>
        </w:rPr>
        <w:noBreakHyphen/>
      </w:r>
      <w:r w:rsidRPr="00853090" w:rsidR="000A01F5">
        <w:rPr>
          <w:color w:val="000000"/>
        </w:rPr>
        <w:t>se em família ou entre amigos, com pratos característicos da infância e da cultura</w:t>
      </w:r>
      <w:r w:rsidRPr="00853090" w:rsidR="00853090">
        <w:rPr>
          <w:color w:val="000000"/>
        </w:rPr>
        <w:t>.</w:t>
      </w:r>
    </w:p>
    <w:p w:rsidRPr="000011AE" w:rsidR="000A01F5" w:rsidP="00095198" w:rsidRDefault="000A01F5" w14:paraId="51A5739C" w14:textId="7C385473">
      <w:pPr>
        <w:spacing w:after="140" w:line="360" w:lineRule="auto"/>
        <w:jc w:val="both"/>
      </w:pPr>
      <w:r w:rsidRPr="000011AE">
        <w:t xml:space="preserve">Valente </w:t>
      </w:r>
      <w:r w:rsidR="00102214">
        <w:t>(</w:t>
      </w:r>
      <w:r w:rsidR="003A2F50">
        <w:t>2021</w:t>
      </w:r>
      <w:r w:rsidR="00102214">
        <w:t xml:space="preserve">) </w:t>
      </w:r>
      <w:r w:rsidRPr="000011AE">
        <w:t>sintetiza essa interdependência ao reforçar que o DHAA articula dimensões biológicas, psíquicas, sociais e culturais, de modo que não se restringe à mera garantia do ato de se alimentar, apenas para manter-se vivo, mas exige certeza de que o indivíduo supre suas necessidades biológicas, físicas e mentais e de que a alimentação contribui para a formação social e cultural, ao proporcionar práticas e hábitos alimentares conforme a cultura e costumes</w:t>
      </w:r>
      <w:r w:rsidR="00FB05ED">
        <w:t xml:space="preserve">, </w:t>
      </w:r>
      <w:r w:rsidRPr="000011AE">
        <w:t>o que contribui diretamente para a inclusão social. A partir dessa leitura, negar o acesso a alimentos que compõem a identidade alimentar de um povo significa atingir simultaneamente o corpo e a trama de relações que sustenta sua vida coletiva. Retirar a comida de um grupo, portanto, não é apenas privá</w:t>
      </w:r>
      <w:r w:rsidRPr="000011AE">
        <w:noBreakHyphen/>
      </w:r>
      <w:r w:rsidRPr="000011AE">
        <w:t>lo de nutrientes: é colocar em risco a memória, a cultura, a autoestima e a capacidade de se reconhecer como sujeito de direitos (</w:t>
      </w:r>
      <w:r w:rsidRPr="000011AE" w:rsidR="003A2F50">
        <w:t>Valente</w:t>
      </w:r>
      <w:r w:rsidRPr="000011AE">
        <w:t xml:space="preserve">, </w:t>
      </w:r>
      <w:r w:rsidR="003A2F50">
        <w:t>2021</w:t>
      </w:r>
      <w:r w:rsidRPr="000011AE">
        <w:t xml:space="preserve">; </w:t>
      </w:r>
      <w:r w:rsidRPr="00F712E8" w:rsidR="00F712E8">
        <w:rPr>
          <w:color w:val="000000"/>
        </w:rPr>
        <w:t>World Bank</w:t>
      </w:r>
      <w:r w:rsidRPr="00B84C22" w:rsidR="00F712E8">
        <w:t xml:space="preserve">, </w:t>
      </w:r>
      <w:r w:rsidR="00F712E8">
        <w:t>1986</w:t>
      </w:r>
      <w:r w:rsidRPr="000011AE">
        <w:t>).</w:t>
      </w:r>
    </w:p>
    <w:p w:rsidR="00216025" w:rsidP="00095198" w:rsidRDefault="000A01F5" w14:paraId="594A601C" w14:textId="16C6F30A">
      <w:pPr>
        <w:spacing w:after="140" w:line="360" w:lineRule="auto"/>
        <w:jc w:val="both"/>
        <w:rPr>
          <w:color w:val="000000"/>
        </w:rPr>
      </w:pPr>
      <w:r w:rsidRPr="000011AE">
        <w:rPr>
          <w:color w:val="000000"/>
        </w:rPr>
        <w:t>À luz desse conjunto de contribuições, pode</w:t>
      </w:r>
      <w:r w:rsidRPr="000011AE">
        <w:rPr>
          <w:color w:val="000000"/>
        </w:rPr>
        <w:noBreakHyphen/>
      </w:r>
      <w:r w:rsidRPr="000011AE">
        <w:rPr>
          <w:color w:val="000000"/>
        </w:rPr>
        <w:t>se afirmar que o alimento é elemento social, cultural e político, e que tratá</w:t>
      </w:r>
      <w:r w:rsidRPr="000011AE">
        <w:rPr>
          <w:color w:val="000000"/>
        </w:rPr>
        <w:noBreakHyphen/>
      </w:r>
      <w:r w:rsidRPr="000011AE">
        <w:rPr>
          <w:color w:val="000000"/>
        </w:rPr>
        <w:t>lo como mero bem de consumo ou simples fator de produtividade é ignorar sua densidade humana. O que está em jogo, quando se garante ou se nega o direito à alimentação adequada, é a própria possibilidade de um povo existir com dignidade, preservar suas práticas culturais, participar da vida social e exercer sua cidadania. Um povo que depende estruturalmente de terceiros para comer, ou que convive com fome generalizada, tem sua autodeterminação severamente limitada (</w:t>
      </w:r>
      <w:r w:rsidRPr="000011AE" w:rsidR="00CA4A5A">
        <w:rPr>
          <w:color w:val="000000"/>
        </w:rPr>
        <w:t>Maniglia</w:t>
      </w:r>
      <w:r w:rsidRPr="000011AE">
        <w:rPr>
          <w:color w:val="000000"/>
        </w:rPr>
        <w:t xml:space="preserve">, 2009; </w:t>
      </w:r>
      <w:r w:rsidR="00D614A5">
        <w:rPr>
          <w:color w:val="000000"/>
        </w:rPr>
        <w:t>Neto</w:t>
      </w:r>
      <w:r w:rsidRPr="000011AE">
        <w:rPr>
          <w:color w:val="000000"/>
        </w:rPr>
        <w:t xml:space="preserve">, </w:t>
      </w:r>
      <w:r w:rsidR="00D614A5">
        <w:rPr>
          <w:color w:val="000000"/>
        </w:rPr>
        <w:t>2016</w:t>
      </w:r>
      <w:r w:rsidRPr="000011AE">
        <w:rPr>
          <w:color w:val="000000"/>
        </w:rPr>
        <w:t>). Um Estado que organiza seu direito agrário prioritariamente em torno da acumulação econômica, sem articular a produção agrária</w:t>
      </w:r>
      <w:r w:rsidR="00216025">
        <w:rPr>
          <w:color w:val="000000"/>
        </w:rPr>
        <w:t xml:space="preserve">, </w:t>
      </w:r>
      <w:r w:rsidRPr="00216025" w:rsidR="00216025">
        <w:rPr>
          <w:color w:val="000000"/>
        </w:rPr>
        <w:t>atividade essencial que alimenta o mundo, com seu viés social de garantia da função da terra</w:t>
      </w:r>
      <w:r w:rsidR="00216025">
        <w:rPr>
          <w:color w:val="000000"/>
        </w:rPr>
        <w:t>,</w:t>
      </w:r>
      <w:r w:rsidRPr="000011AE">
        <w:rPr>
          <w:color w:val="000000"/>
        </w:rPr>
        <w:t xml:space="preserve"> à garantia de alimentação, tende</w:t>
      </w:r>
      <w:r w:rsidR="00950F13">
        <w:rPr>
          <w:color w:val="000000"/>
        </w:rPr>
        <w:t xml:space="preserve"> a</w:t>
      </w:r>
      <w:r w:rsidRPr="000011AE">
        <w:rPr>
          <w:color w:val="000000"/>
        </w:rPr>
        <w:t xml:space="preserve"> </w:t>
      </w:r>
      <w:r w:rsidRPr="00216025" w:rsidR="00216025">
        <w:rPr>
          <w:color w:val="000000"/>
        </w:rPr>
        <w:t>criar condições estruturais em que a fome e a insegurança alimentar se mantêm e se reproduzem, com impactos relevantes sobre grupos vulneráveis e a efetivação da função social da terra e da propriedade (</w:t>
      </w:r>
      <w:r w:rsidRPr="00216025" w:rsidR="00FB4A3F">
        <w:rPr>
          <w:color w:val="000000"/>
        </w:rPr>
        <w:t>Castro</w:t>
      </w:r>
      <w:r w:rsidRPr="00216025" w:rsidR="00216025">
        <w:rPr>
          <w:color w:val="000000"/>
        </w:rPr>
        <w:t xml:space="preserve">, </w:t>
      </w:r>
      <w:r w:rsidR="00FB4A3F">
        <w:rPr>
          <w:rFonts w:eastAsia="Calibri"/>
        </w:rPr>
        <w:t>1984</w:t>
      </w:r>
      <w:r w:rsidRPr="00216025" w:rsidR="00216025">
        <w:rPr>
          <w:color w:val="000000"/>
        </w:rPr>
        <w:t>).</w:t>
      </w:r>
    </w:p>
    <w:p w:rsidRPr="000011AE" w:rsidR="000A01F5" w:rsidP="00095198" w:rsidRDefault="000A01F5" w14:paraId="69402764" w14:textId="4EB0858A">
      <w:pPr>
        <w:spacing w:after="140" w:line="360" w:lineRule="auto"/>
        <w:jc w:val="both"/>
      </w:pPr>
      <w:r w:rsidRPr="000011AE">
        <w:t>Essa dimensão de poder relaciona</w:t>
      </w:r>
      <w:r w:rsidRPr="000011AE">
        <w:noBreakHyphen/>
      </w:r>
      <w:r w:rsidRPr="000011AE">
        <w:t>se com processos históricos de colonialismo e de construção de hegemonias políticas e econômicas.</w:t>
      </w:r>
      <w:r w:rsidR="006547A1">
        <w:t xml:space="preserve"> </w:t>
      </w:r>
      <w:r w:rsidRPr="000011AE">
        <w:t xml:space="preserve">Josué de Castro, </w:t>
      </w:r>
      <w:r w:rsidR="006547A1">
        <w:t xml:space="preserve">por meio da </w:t>
      </w:r>
      <w:r w:rsidRPr="006547A1" w:rsidR="006547A1">
        <w:t xml:space="preserve">geopolítica da fome, </w:t>
      </w:r>
      <w:r w:rsidRPr="000011AE">
        <w:t>mostra que a distribuição desigual de alimentos e de meios de produção agrária não resulta apenas de “falhas naturais”, mas de escolhas políticas e econômicas que estruturam dependências entre centros e periferias (</w:t>
      </w:r>
      <w:r w:rsidRPr="00216025" w:rsidR="00FB4A3F">
        <w:rPr>
          <w:color w:val="000000"/>
        </w:rPr>
        <w:t xml:space="preserve">Castro, </w:t>
      </w:r>
      <w:r w:rsidR="00FB4A3F">
        <w:rPr>
          <w:rFonts w:eastAsia="Calibri"/>
        </w:rPr>
        <w:t>1984</w:t>
      </w:r>
      <w:r w:rsidRPr="000011AE">
        <w:t>). Em contextos contemporâneos, práticas de bloqueio de insumos, controle de rotas comerciais e imposição de modelos produtivos podem reproduzir, em chave atualizada, formas de dominação que lembram padrões coloniais e, em certos casos, alimentam discursos ultranacionalistas que se valem da retórica de defesa do “pão da nação” para justificar exclusões e violências. Ao fundo, permanece a mesma tensão: quem controla o alimento</w:t>
      </w:r>
      <w:r w:rsidR="00FB05ED">
        <w:t xml:space="preserve">, sua </w:t>
      </w:r>
      <w:r w:rsidRPr="000011AE">
        <w:t>produção, circulação e acesso</w:t>
      </w:r>
      <w:r w:rsidR="00FB05ED">
        <w:t xml:space="preserve">, </w:t>
      </w:r>
      <w:r w:rsidRPr="000011AE">
        <w:t>detém um dos instrumentos mais sensíveis de afirmação ou restrição da soberania dos povos (</w:t>
      </w:r>
      <w:r w:rsidRPr="000011AE" w:rsidR="00D36535">
        <w:t>Mintz</w:t>
      </w:r>
      <w:r w:rsidRPr="000011AE">
        <w:t xml:space="preserve">, 1985; </w:t>
      </w:r>
      <w:r w:rsidRPr="000011AE" w:rsidR="00CA4A5A">
        <w:t>Maniglia</w:t>
      </w:r>
      <w:r w:rsidRPr="000011AE">
        <w:t>, 2009).</w:t>
      </w:r>
    </w:p>
    <w:p w:rsidRPr="00CA62BC" w:rsidR="00EB5B97" w:rsidP="00095198" w:rsidRDefault="0042536C" w14:paraId="7A4B1C4D" w14:textId="54D8B487">
      <w:pPr>
        <w:spacing w:line="360" w:lineRule="auto"/>
        <w:jc w:val="both"/>
        <w:rPr>
          <w:color w:val="000000"/>
        </w:rPr>
      </w:pPr>
      <w:r w:rsidRPr="0042536C">
        <w:rPr>
          <w:color w:val="000000"/>
        </w:rPr>
        <w:t>A comida é o alicerce da vida humana: sem ela, não há vida digna. O alimento nutre o corpo, os afetos, a cultura, a memória e a identidade, tanto individual quanto coletiva, reconfigurando histórias, crenças e laços sociais. Privá</w:t>
      </w:r>
      <w:r w:rsidRPr="0042536C">
        <w:rPr>
          <w:color w:val="000000"/>
        </w:rPr>
        <w:noBreakHyphen/>
      </w:r>
      <w:r w:rsidRPr="0042536C">
        <w:rPr>
          <w:color w:val="000000"/>
        </w:rPr>
        <w:t>lo compromete não apenas a sobrevivência física, mas também a autonomia cultural e a participação social, aprofundando vulnerabilidade e marginalização. Nessa fronteira, em que o alimento deixa de ser apenas suporte biológico para se tornar condição de dignidade e de soberania, localiza</w:t>
      </w:r>
      <w:r w:rsidRPr="0042536C">
        <w:rPr>
          <w:color w:val="000000"/>
        </w:rPr>
        <w:noBreakHyphen/>
      </w:r>
      <w:r w:rsidRPr="0042536C">
        <w:rPr>
          <w:color w:val="000000"/>
        </w:rPr>
        <w:t>se a próxima análise: a instrumentalização da fome em crises, especialmente no caso palestino, a partir do controle alimentar como instrumento de restrição de direitos e de autodeterminação.</w:t>
      </w:r>
      <w:r w:rsidR="0007759B">
        <w:rPr>
          <w:b/>
          <w:bCs/>
        </w:rPr>
        <w:br w:type="page"/>
      </w:r>
    </w:p>
    <w:p w:rsidRPr="000011AE" w:rsidR="000A01F5" w:rsidP="00095198" w:rsidRDefault="000A01F5" w14:paraId="2468D3EB" w14:textId="77777777">
      <w:pPr>
        <w:tabs>
          <w:tab w:val="left" w:pos="620"/>
          <w:tab w:val="left" w:pos="3686"/>
        </w:tabs>
        <w:spacing w:after="100" w:line="360" w:lineRule="auto"/>
        <w:ind w:right="138"/>
        <w:jc w:val="both"/>
        <w:rPr>
          <w:b/>
          <w:color w:val="000000"/>
        </w:rPr>
      </w:pPr>
      <w:r w:rsidRPr="000011AE">
        <w:rPr>
          <w:b/>
          <w:color w:val="000000"/>
        </w:rPr>
        <w:t>CAPÍTULO 3 INSTRUMENTALIZAÇÃO</w:t>
      </w:r>
      <w:r w:rsidRPr="000011AE">
        <w:rPr>
          <w:b/>
          <w:color w:val="000000"/>
          <w:spacing w:val="40"/>
        </w:rPr>
        <w:t xml:space="preserve"> </w:t>
      </w:r>
      <w:r w:rsidRPr="000011AE">
        <w:rPr>
          <w:b/>
          <w:color w:val="000000"/>
        </w:rPr>
        <w:t>DA</w:t>
      </w:r>
      <w:r w:rsidRPr="000011AE">
        <w:rPr>
          <w:b/>
          <w:color w:val="000000"/>
          <w:spacing w:val="40"/>
        </w:rPr>
        <w:t xml:space="preserve"> </w:t>
      </w:r>
      <w:r w:rsidRPr="000011AE">
        <w:rPr>
          <w:b/>
          <w:color w:val="000000"/>
        </w:rPr>
        <w:t>FOME</w:t>
      </w:r>
      <w:r w:rsidRPr="000011AE">
        <w:rPr>
          <w:b/>
          <w:color w:val="000000"/>
          <w:spacing w:val="40"/>
        </w:rPr>
        <w:t xml:space="preserve"> </w:t>
      </w:r>
      <w:r w:rsidRPr="000011AE">
        <w:rPr>
          <w:b/>
          <w:color w:val="000000"/>
        </w:rPr>
        <w:t>EM</w:t>
      </w:r>
      <w:r w:rsidRPr="000011AE">
        <w:rPr>
          <w:b/>
          <w:color w:val="000000"/>
          <w:spacing w:val="40"/>
        </w:rPr>
        <w:t xml:space="preserve"> </w:t>
      </w:r>
      <w:r w:rsidRPr="000011AE">
        <w:rPr>
          <w:b/>
          <w:color w:val="000000"/>
        </w:rPr>
        <w:t>CONTEXTOS</w:t>
      </w:r>
      <w:r w:rsidRPr="000011AE">
        <w:rPr>
          <w:b/>
          <w:color w:val="000000"/>
          <w:spacing w:val="40"/>
        </w:rPr>
        <w:t xml:space="preserve"> </w:t>
      </w:r>
      <w:r w:rsidRPr="000011AE">
        <w:rPr>
          <w:b/>
          <w:color w:val="000000"/>
        </w:rPr>
        <w:t>DE</w:t>
      </w:r>
      <w:r w:rsidRPr="000011AE">
        <w:rPr>
          <w:b/>
          <w:color w:val="000000"/>
          <w:spacing w:val="40"/>
        </w:rPr>
        <w:t xml:space="preserve"> </w:t>
      </w:r>
      <w:r w:rsidRPr="000011AE">
        <w:rPr>
          <w:b/>
          <w:color w:val="000000"/>
        </w:rPr>
        <w:t>CRISE:</w:t>
      </w:r>
      <w:r w:rsidRPr="000011AE">
        <w:rPr>
          <w:b/>
          <w:color w:val="000000"/>
          <w:spacing w:val="40"/>
        </w:rPr>
        <w:t xml:space="preserve"> </w:t>
      </w:r>
      <w:r w:rsidRPr="000011AE">
        <w:rPr>
          <w:b/>
          <w:color w:val="000000"/>
        </w:rPr>
        <w:t>O CASO PALESTINA</w:t>
      </w:r>
    </w:p>
    <w:p w:rsidRPr="000011AE" w:rsidR="000A01F5" w:rsidP="00095198" w:rsidRDefault="000A01F5" w14:paraId="6496B1C4" w14:textId="77777777">
      <w:pPr>
        <w:tabs>
          <w:tab w:val="left" w:pos="620"/>
          <w:tab w:val="left" w:pos="3686"/>
        </w:tabs>
        <w:spacing w:after="100" w:line="360" w:lineRule="auto"/>
        <w:ind w:right="138"/>
        <w:jc w:val="both"/>
      </w:pPr>
    </w:p>
    <w:p w:rsidRPr="000011AE" w:rsidR="000A01F5" w:rsidP="00095198" w:rsidRDefault="000A01F5" w14:paraId="042E8C6A" w14:textId="77777777">
      <w:pPr>
        <w:tabs>
          <w:tab w:val="left" w:pos="620"/>
          <w:tab w:val="left" w:pos="3686"/>
        </w:tabs>
        <w:spacing w:after="100" w:line="360" w:lineRule="auto"/>
        <w:ind w:right="138"/>
        <w:jc w:val="both"/>
      </w:pPr>
    </w:p>
    <w:p w:rsidRPr="000011AE" w:rsidR="000A01F5" w:rsidP="00095198" w:rsidRDefault="000A01F5" w14:paraId="08CD7AAE" w14:textId="1A067280">
      <w:pPr>
        <w:tabs>
          <w:tab w:val="left" w:pos="860"/>
          <w:tab w:val="left" w:pos="3686"/>
        </w:tabs>
        <w:spacing w:before="3" w:after="100" w:line="360" w:lineRule="auto"/>
        <w:ind w:right="138"/>
        <w:jc w:val="both"/>
        <w:rPr>
          <w:color w:val="000000"/>
        </w:rPr>
      </w:pPr>
      <w:r w:rsidRPr="000011AE">
        <w:rPr>
          <w:color w:val="000000"/>
        </w:rPr>
        <w:t>3.1 BLOQUEIOS ECONÔMICOS E RESTRI</w:t>
      </w:r>
      <w:r w:rsidR="007E634C">
        <w:rPr>
          <w:color w:val="000000"/>
        </w:rPr>
        <w:t>ÇÕ</w:t>
      </w:r>
      <w:r w:rsidRPr="000011AE">
        <w:rPr>
          <w:color w:val="000000"/>
        </w:rPr>
        <w:t>ES ALIMENTARES COMO NEGAÇÃO DO DIREITO À VIDA</w:t>
      </w:r>
    </w:p>
    <w:p w:rsidRPr="000011AE" w:rsidR="000A01F5" w:rsidP="00095198" w:rsidRDefault="000A01F5" w14:paraId="4DE81337" w14:textId="77777777">
      <w:pPr>
        <w:tabs>
          <w:tab w:val="left" w:pos="860"/>
          <w:tab w:val="left" w:pos="3686"/>
        </w:tabs>
        <w:spacing w:before="3" w:after="100" w:line="360" w:lineRule="auto"/>
        <w:ind w:right="138"/>
        <w:jc w:val="both"/>
        <w:rPr>
          <w:color w:val="000000"/>
        </w:rPr>
      </w:pPr>
    </w:p>
    <w:p w:rsidRPr="000011AE" w:rsidR="000A01F5" w:rsidP="00095198" w:rsidRDefault="000A01F5" w14:paraId="5B36130C" w14:textId="77777777">
      <w:pPr>
        <w:tabs>
          <w:tab w:val="left" w:pos="860"/>
          <w:tab w:val="left" w:pos="3686"/>
        </w:tabs>
        <w:spacing w:before="3" w:after="100" w:line="360" w:lineRule="auto"/>
        <w:ind w:right="138"/>
        <w:jc w:val="both"/>
      </w:pPr>
    </w:p>
    <w:p w:rsidRPr="00EC12A3" w:rsidR="00EC12A3" w:rsidP="00EC12A3" w:rsidRDefault="00EC12A3" w14:paraId="000B08D1" w14:textId="01F2ABFD">
      <w:pPr>
        <w:spacing w:after="140" w:line="360" w:lineRule="auto"/>
        <w:jc w:val="both"/>
      </w:pPr>
      <w:r w:rsidRPr="00EC12A3">
        <w:t xml:space="preserve">Compreende-se que, em contextos de crise, sejam guerras declaradas, ocupações prolongadas, colapsos econômicos ou sanções internacionais, a fome deixa de ser apenas expressão de escassez e passa a ser produzida politicamente, mediante decisões conscientes sobre quem terá acesso a alimentos e quem será mantido na privação (De Aguiar; Padrão, 2022; Valente, </w:t>
      </w:r>
      <w:r>
        <w:t>2021</w:t>
      </w:r>
      <w:r w:rsidRPr="00EC12A3">
        <w:t>). Nesses cenários, bloqueios econômicos, embargos e restrições à circulação de bens essenciais operam como instrumentos geopolíticos que reconfiguram o cotidiano das populações atingidas, transformando o controle do alimento em mecanismo de dominação, disciplinamento e enfraquecimento de povos inteiros. Com base na compreensão da seguridade alimentar como direito humano essencial e expressão da soberania dos povos, esses dispositivos deixam de ser meras ferramentas diplomáticas ou militares e configuram violações diretas ao direito à vida digna (ONU, 1999; De Aguiar; Padrão, 2022).</w:t>
      </w:r>
    </w:p>
    <w:p w:rsidRPr="000011AE" w:rsidR="000A01F5" w:rsidP="00EC12A3" w:rsidRDefault="000A01F5" w14:paraId="643BC2D7" w14:textId="662AE8F9">
      <w:pPr>
        <w:spacing w:after="140" w:line="360" w:lineRule="auto"/>
        <w:jc w:val="both"/>
      </w:pPr>
      <w:r w:rsidRPr="000011AE">
        <w:t xml:space="preserve">Ao distinguir entre quem pode decidir sobre sua própria alimentação e quem é forçado à privação, Amartya Sen demonstra que a fome não se resume à falta de calorias, mas à supressão de capacidades substantivas: </w:t>
      </w:r>
    </w:p>
    <w:p w:rsidRPr="000011AE" w:rsidR="000A01F5" w:rsidP="00EC12A3" w:rsidRDefault="007414F2" w14:paraId="3DC7EBB8" w14:textId="59ECF4DA">
      <w:pPr>
        <w:spacing w:after="140" w:line="360" w:lineRule="auto"/>
        <w:ind w:left="2268"/>
        <w:jc w:val="both"/>
        <w:rPr>
          <w:sz w:val="20"/>
          <w:szCs w:val="20"/>
        </w:rPr>
      </w:pPr>
      <w:r w:rsidRPr="007414F2">
        <w:rPr>
          <w:sz w:val="20"/>
          <w:szCs w:val="20"/>
        </w:rPr>
        <w:t xml:space="preserve">Uma pessoa abastada que faz jejum pode ter a mesma realização de funcionamento quanto a comer ou nutrir-se que uma pessoa destituída, forçada a passar fome extrema, mas a primeira pessoa possui um ‘conjunto capacitário’ diferente do da segunda (SEN, 2010, p. </w:t>
      </w:r>
      <w:r w:rsidR="00EC12A3">
        <w:rPr>
          <w:sz w:val="20"/>
          <w:szCs w:val="20"/>
        </w:rPr>
        <w:t>87</w:t>
      </w:r>
      <w:r w:rsidRPr="007414F2">
        <w:rPr>
          <w:sz w:val="20"/>
          <w:szCs w:val="20"/>
        </w:rPr>
        <w:t>).</w:t>
      </w:r>
    </w:p>
    <w:p w:rsidRPr="007414F2" w:rsidR="00EC12A3" w:rsidP="00EC12A3" w:rsidRDefault="00EC12A3" w14:paraId="4A37E6AB" w14:textId="59912812">
      <w:pPr>
        <w:spacing w:after="140" w:line="360" w:lineRule="auto"/>
        <w:jc w:val="both"/>
      </w:pPr>
      <w:r>
        <w:rPr>
          <w:color w:val="000000"/>
        </w:rPr>
        <w:t xml:space="preserve">Nos bloqueios econômicos por razões políticas ou militares, populações inteiras são relegadas à condição de “segunda pessoa” </w:t>
      </w:r>
      <w:r w:rsidR="00950F13">
        <w:rPr>
          <w:color w:val="000000"/>
        </w:rPr>
        <w:t>descrita por</w:t>
      </w:r>
      <w:r>
        <w:rPr>
          <w:color w:val="000000"/>
        </w:rPr>
        <w:t xml:space="preserve"> </w:t>
      </w:r>
      <w:r w:rsidR="00950F13">
        <w:rPr>
          <w:color w:val="000000"/>
        </w:rPr>
        <w:t>Sen:</w:t>
      </w:r>
      <w:r>
        <w:rPr>
          <w:color w:val="000000"/>
        </w:rPr>
        <w:t xml:space="preserve"> não lhes falta apenas alimento, mas a própria capacidade de escolher comer, cuidar de si, manter seus modos de vida e projetar o futuro, o que implica negação do direito à vida e da liberdade substantiva (Sen, 2010; De Aguiar; Padrão, 2022). Gargarella </w:t>
      </w:r>
      <w:r w:rsidR="00061F23">
        <w:rPr>
          <w:color w:val="000000"/>
        </w:rPr>
        <w:t>(20</w:t>
      </w:r>
      <w:r w:rsidR="009662DC">
        <w:rPr>
          <w:color w:val="000000"/>
        </w:rPr>
        <w:t>11</w:t>
      </w:r>
      <w:r w:rsidR="00061F23">
        <w:rPr>
          <w:color w:val="000000"/>
        </w:rPr>
        <w:t xml:space="preserve">) </w:t>
      </w:r>
      <w:r>
        <w:rPr>
          <w:color w:val="000000"/>
        </w:rPr>
        <w:t>destaca a insuficiência da mera normatização do direito à alimentação, ao mostrar que garantias formais podem coexistir com estruturas que prejudicam sistematicamente minorias na distribuição de bens e oportunidades. Em contextos de bloqueio, essa contradição ganha contornos dramáticos: apesar de tratados e constituições assegurarem o direito à alimentação, decisões estatais e coalizões de poder impõem fronteiras, sanções e vetos que impedem o acesso ao alimento juridicamente garantido, rebaixando certas populações à condição de descartabilidade política (IHRC, 2023).</w:t>
      </w:r>
    </w:p>
    <w:p w:rsidR="00061F23" w:rsidP="00EC12A3" w:rsidRDefault="007414F2" w14:paraId="5D629303" w14:textId="77777777">
      <w:pPr>
        <w:spacing w:after="140" w:line="360" w:lineRule="auto"/>
        <w:jc w:val="both"/>
      </w:pPr>
      <w:r w:rsidRPr="000011AE">
        <w:t>A análise de Josué de Castro reforça esse caráter construído da fome ao apontar que ela carrega um “peso moral” e é cercada por discursos que mascaram estatísticas e naturalizam a privação como se fosse resultado inevitável do funcionamento da sociedade (</w:t>
      </w:r>
      <w:r w:rsidRPr="000011AE" w:rsidR="00FB4A3F">
        <w:t>Castro</w:t>
      </w:r>
      <w:r w:rsidRPr="000011AE">
        <w:t xml:space="preserve">, </w:t>
      </w:r>
      <w:r w:rsidR="00FB4A3F">
        <w:rPr>
          <w:rFonts w:eastAsia="Calibri"/>
        </w:rPr>
        <w:t>1984</w:t>
      </w:r>
      <w:r w:rsidRPr="000011AE">
        <w:t>). Magalhães (2019),</w:t>
      </w:r>
      <w:r w:rsidRPr="000011AE" w:rsidR="00061F23">
        <w:t xml:space="preserve"> insiste que a fome não é um fenômeno natural. É um fenômeno social, produto de estruturas econômicas defeituosas, criticando a visão assistencialista que despolitiza suas causas. </w:t>
      </w:r>
      <w:r w:rsidRPr="000011AE">
        <w:t xml:space="preserve">Fisher </w:t>
      </w:r>
      <w:r w:rsidR="00061F23">
        <w:t xml:space="preserve">(2020, pág. 2) </w:t>
      </w:r>
      <w:r w:rsidRPr="000011AE">
        <w:t>observa que uma crítica puramente moral ao capitalismo, ao enfatizar a miséria que ele gera sem questionar suas bases, tende a reforçar um “realismo” em que “pobreza, fome e guerra podem ser apresentados como aspectos incontornáveis da realidade”. Ao se apresentar bloqueios e sanções como medidas técnicas ou moralmente justificadas, e a fome resultante como “dano colateral”, reproduz-se exatamente essa lógica: encobre-se a dimensão política da fome e converte-se a privação alimentar em instrumento silencioso de governo (</w:t>
      </w:r>
      <w:r w:rsidRPr="000011AE" w:rsidR="00061F23">
        <w:t>Bozi</w:t>
      </w:r>
      <w:r w:rsidRPr="000011AE">
        <w:t>, 2017).</w:t>
      </w:r>
      <w:r w:rsidR="00EC12A3">
        <w:t xml:space="preserve"> </w:t>
      </w:r>
    </w:p>
    <w:p w:rsidRPr="00061F23" w:rsidR="000A01F5" w:rsidP="00061F23" w:rsidRDefault="007414F2" w14:paraId="68940766" w14:textId="37E9B039">
      <w:pPr>
        <w:spacing w:after="140" w:line="360" w:lineRule="auto"/>
        <w:jc w:val="both"/>
      </w:pPr>
      <w:r w:rsidRPr="00EC12A3">
        <w:t>Em diálogo com Marx</w:t>
      </w:r>
      <w:r w:rsidR="00061F23">
        <w:t xml:space="preserve"> (2013)</w:t>
      </w:r>
      <w:r w:rsidRPr="00EC12A3">
        <w:t xml:space="preserve">, que associa a existência de classes dominantes e dominadas às formas desiguais de acesso à alimentação, indicando que há grupos que produzem para que outros consumam Valente </w:t>
      </w:r>
      <w:r w:rsidR="00EC12A3">
        <w:t>(</w:t>
      </w:r>
      <w:r w:rsidRPr="00EC12A3" w:rsidR="00EC12A3">
        <w:t>2021, p. 108)</w:t>
      </w:r>
      <w:r w:rsidR="00EC12A3">
        <w:t xml:space="preserve"> </w:t>
      </w:r>
      <w:r w:rsidRPr="00EC12A3">
        <w:t>sustenta que “a fome/desnutrição [...] é a manifestação a nível do corpo da classe trabalhadora da exploração econômica e consequente privação social [...] sob o modo de produção capitalista” e que somente ao compreender essa história social é possível combater estruturalmente a fome</w:t>
      </w:r>
      <w:r w:rsidR="00EC12A3">
        <w:t>.</w:t>
      </w:r>
    </w:p>
    <w:p w:rsidRPr="007414F2" w:rsidR="006278CF" w:rsidP="006278CF" w:rsidRDefault="006278CF" w14:paraId="1BCFDDB1" w14:textId="77777777">
      <w:pPr>
        <w:spacing w:after="140" w:line="360" w:lineRule="auto"/>
        <w:jc w:val="both"/>
      </w:pPr>
      <w:r w:rsidRPr="00D60CEB">
        <w:t xml:space="preserve">Ao incorporar essa leitura, compreende-se que, em contextos de guerra, o mesmo poder que, em tempos de paz, organiza mercados e hierarquias sociais passa, nos cenários de bloqueio, a controlar silos, portos, rotas e moedas, convertendo a fome em arma dirigida contra </w:t>
      </w:r>
      <w:r>
        <w:t xml:space="preserve">povos </w:t>
      </w:r>
      <w:r w:rsidRPr="00D60CEB">
        <w:t>considerad</w:t>
      </w:r>
      <w:r>
        <w:t>o</w:t>
      </w:r>
      <w:r w:rsidRPr="00D60CEB">
        <w:t>s descartáveis</w:t>
      </w:r>
      <w:r>
        <w:t xml:space="preserve">. </w:t>
      </w:r>
      <w:r w:rsidRPr="00D60CEB">
        <w:t>O alimento, nesse processo, deixa de ser ponte de cuidado e passa a ser manejado</w:t>
      </w:r>
      <w:r>
        <w:t xml:space="preserve"> </w:t>
      </w:r>
      <w:r w:rsidRPr="007414F2">
        <w:t>como gatilho de submissão (</w:t>
      </w:r>
      <w:r>
        <w:t>De Aguiar; Padrão</w:t>
      </w:r>
      <w:r w:rsidRPr="007414F2">
        <w:t>, 2022).</w:t>
      </w:r>
    </w:p>
    <w:p w:rsidRPr="007414F2" w:rsidR="006278CF" w:rsidP="006278CF" w:rsidRDefault="006278CF" w14:paraId="022D29DB" w14:textId="1EB4C491">
      <w:pPr>
        <w:spacing w:after="140" w:line="360" w:lineRule="auto"/>
        <w:jc w:val="both"/>
      </w:pPr>
      <w:r w:rsidRPr="007414F2">
        <w:t>Ao analisar a fome como resultado de um modelo econômico calcado na desigualdade, Bozi</w:t>
      </w:r>
      <w:r>
        <w:t xml:space="preserve"> (2017)</w:t>
      </w:r>
      <w:r w:rsidRPr="007414F2">
        <w:t xml:space="preserve"> argumenta que a negligência em relação ao direito à alimentação pode ser mobilizada como instrumento de preservação de hierarquias políticas e econômicas: ao reduzir a vida cotidiana à busca incessante por alimentos, neutraliza-se a capacidade de resistência, esvazia-se o tempo para organização coletiva e esgarça-se a possibilidade de reivindicar direitos</w:t>
      </w:r>
      <w:r>
        <w:t>. De Aguiar</w:t>
      </w:r>
      <w:r w:rsidRPr="007414F2">
        <w:t xml:space="preserve"> e </w:t>
      </w:r>
      <w:r>
        <w:t>Padrão</w:t>
      </w:r>
      <w:r w:rsidRPr="007414F2">
        <w:t xml:space="preserve"> </w:t>
      </w:r>
      <w:r>
        <w:t xml:space="preserve">(2022) </w:t>
      </w:r>
      <w:r w:rsidRPr="007414F2">
        <w:t>mostram que fome, desigualdade e pobreza formam um tripé que bloqueia o exercício efetivo dos direitos sociais, na medida em que a preocupação permanente com a sobrevivência alimentar diminui a possibilidade de participação política ativa e de construção de projetos de vida autônomos.</w:t>
      </w:r>
      <w:r>
        <w:t xml:space="preserve"> </w:t>
      </w:r>
      <w:r w:rsidRPr="00D60CEB">
        <w:t>Nesta pesquisa, compreende-se que a instrumentalização da fome, por meio de sanções, bloqueios ou do desmonte de políticas de seguridade alimentar, constitui forma de gestão política do cansaço social, ao manter populações voltadas à sobrevivência e limitar sua capacidade de se organizar.</w:t>
      </w:r>
    </w:p>
    <w:p w:rsidRPr="007414F2" w:rsidR="006278CF" w:rsidP="006278CF" w:rsidRDefault="006278CF" w14:paraId="5A425411" w14:textId="77777777">
      <w:pPr>
        <w:spacing w:after="140" w:line="360" w:lineRule="auto"/>
        <w:jc w:val="both"/>
      </w:pPr>
      <w:r w:rsidRPr="007414F2">
        <w:t>Esse movimento está intimamente ligado ao que Prandi e Duarte (</w:t>
      </w:r>
      <w:r>
        <w:t>2022</w:t>
      </w:r>
      <w:r w:rsidRPr="007414F2">
        <w:t xml:space="preserve">) denominam necropolítica da fome, inspiradas em Foucault </w:t>
      </w:r>
      <w:r>
        <w:t xml:space="preserve">(1979) </w:t>
      </w:r>
      <w:r w:rsidRPr="007414F2">
        <w:t>e Mbembe</w:t>
      </w:r>
      <w:r>
        <w:t xml:space="preserve"> (2021)</w:t>
      </w:r>
      <w:r w:rsidRPr="007414F2">
        <w:t xml:space="preserve">. Em termos sintéticos, a necropolítica descreve o poder de decidir quem pode viver e quem deve ser exposto à morte: é o exercício de um “necropoder” que, para além de governar a vida, administra a morte e o sofrimento de certos grupos como instrumento de manutenção da ordem. Quando esse raciocínio é aplicado à alimentação, fala-se em necropolítica da fome: a ausência deliberada de políticas estruturais de combate à fome, ou a adoção de medidas que sabidamente agravam a insegurança alimentar, deixa de ser simples omissão e passa a revelar decisões de governo sobre quais vidas merecem ser alimentadas e quais podem ser deixadas à inanição (Prandi; Duarte, </w:t>
      </w:r>
      <w:r>
        <w:t>2022</w:t>
      </w:r>
      <w:r w:rsidRPr="007414F2">
        <w:t xml:space="preserve">). </w:t>
      </w:r>
      <w:r>
        <w:t xml:space="preserve">Em </w:t>
      </w:r>
      <w:r w:rsidRPr="007414F2">
        <w:t>escala internacional, bloqueios econômicos e restrições alimentares impostos por grandes potências reproduzem essa lógica como necropolítica transnacional: ao estrangular sistemas alimentares inteiros, convertem a fome de populações civis em ferramenta de afirmação de soberania e de poder geopolítico, mesmo quando isso é mascarado pelo discurso de “sanções” ou “medidas de segurança” (CIRSD, 2024; IHRC, 2023).</w:t>
      </w:r>
    </w:p>
    <w:p w:rsidR="006278CF" w:rsidP="006278CF" w:rsidRDefault="006278CF" w14:paraId="484115C1" w14:textId="348B271D">
      <w:pPr>
        <w:spacing w:after="140" w:line="360" w:lineRule="auto"/>
        <w:jc w:val="both"/>
      </w:pPr>
      <w:r w:rsidRPr="007414F2">
        <w:t>A metáfora que atravessa este trabalho “o alimento é utilizado como uma bala, na arma que é a fome” ganha densidade exatamente nesse contexto.</w:t>
      </w:r>
      <w:r w:rsidR="00C00A0B">
        <w:t xml:space="preserve"> </w:t>
      </w:r>
      <w:r w:rsidRPr="002E3DD0">
        <w:t>Se, no plano interno, o Direito Agrário brasileiro vincula a terra à função social e à produção de alimentos para a coletividade, no plano internacional também se reconhece, em termos normativos, a centralidade da produção alimentar para os povos. Contudo, observa-se a inversão dessa lógica: em vez de garantir vida, o alimento é retido, racionado ou impedido de chegar a determinados grupos, convertendo-se em projétil silencioso que atinge corpos, culturas e soberanias (Marques, 2011).</w:t>
      </w:r>
      <w:r>
        <w:t xml:space="preserve"> </w:t>
      </w:r>
    </w:p>
    <w:p w:rsidR="006278CF" w:rsidP="006278CF" w:rsidRDefault="006278CF" w14:paraId="59749A05" w14:textId="3C955740">
      <w:pPr>
        <w:spacing w:after="140" w:line="360" w:lineRule="auto"/>
        <w:jc w:val="both"/>
      </w:pPr>
      <w:r w:rsidRPr="007414F2">
        <w:t>A Convenção para a Prevenção e Repressão do Crime de Genocídio, aprovada pela Assembleia Geral da ONU em 1948, define genocídio como qualquer um dos atos praticados “com a intenção de destruir, no todo ou em parte, um grupo nacional, étnico, racial ou religioso”, incluindo “a submissão intencional do grupo a condições de existência que lhe ocasionem a destruição física total ou parcial” (ONU, 1948, art. II, c). Compreende-se, à luz dessa definição, que bloqueios econômicos e restrições alimentares sistemáticos, quando submetem um povo a condições de vida incompatíveis com a sobrevivência, aproximam-se perigosamente desse tipo de conduta, sobretudo quando dirigidos contra grupos nacionais, étnicos ou religiosos específicos (IJDJL, 2024).</w:t>
      </w:r>
    </w:p>
    <w:p w:rsidRPr="007414F2" w:rsidR="004A5088" w:rsidP="004A5088" w:rsidRDefault="004A5088" w14:paraId="2CB0135D" w14:textId="77777777">
      <w:pPr>
        <w:spacing w:after="140" w:line="360" w:lineRule="auto"/>
        <w:jc w:val="both"/>
      </w:pPr>
      <w:r w:rsidRPr="007414F2">
        <w:t>Do ponto de vista jurídico-político, essa instrumentalização da fome contraria frontalmente a compreensão da seguridade alimentar como direito humano que não pode ser legitimamente negado, construída à luz da DUDH e do Comentário Geral nº 12 do CDESC que estabelece que o direito à alimentação adequada se realiza quando todas as pessoas têm acesso físico e econômico, em todos os momentos, a alimentos adequados (ONU, 1999). Ao transformar o acesso ao alimento em variável de cálculo militar ou econômico, bloqueios e sanções rompem esse parâmetro e rebaixam o padrão mínimo de proteção consagrado internacionalmente, configurando assim negação direta do direito à vida, porque não atinge apenas o corpo que deixa de comer, mas o conjunto de direitos e possibilidades que dependem desse ato elementar.</w:t>
      </w:r>
    </w:p>
    <w:p w:rsidRPr="007414F2" w:rsidR="004A5088" w:rsidP="004A5088" w:rsidRDefault="004A5088" w14:paraId="0770819C" w14:textId="731501EE">
      <w:pPr>
        <w:spacing w:after="140" w:line="360" w:lineRule="auto"/>
        <w:jc w:val="both"/>
      </w:pPr>
      <w:r w:rsidRPr="007414F2">
        <w:t>Pela função multidisciplinar do alimento, bloquear o seu acesso não só fragiliza corpos, mas interrompe memórias, sufoca tradições e inviabiliza a reprodução cultural. Visto que comer, significa pertencer ao partilhar sabores, histórias e símbolos que situam o sujeito em uma comunidade (Hernández; Arnáiz, 2005). Quando Estados ou coalizões manipulam deliberadamente a escassez, impedem também esse exercício de pertencimento, promovendo um apagamento cultural que se soma à violência física da fome. Assim, compreende-se que instrumentalizar a fome, nesses termos, não é apenas atacar a sobrevivência biológica, mas instaurar um projeto de dominação que alcança a integridade do povo enquanto sujeito de direitos, identidade e soberania, aproximando-se, na prática, de um genocídio cultural, ainda que não formalmente declarado (Breda, 2022).</w:t>
      </w:r>
    </w:p>
    <w:p w:rsidR="004A5088" w:rsidP="004A5088" w:rsidRDefault="004A5088" w14:paraId="06AB4199" w14:textId="1E0753AF">
      <w:pPr>
        <w:spacing w:line="360" w:lineRule="auto"/>
        <w:jc w:val="both"/>
      </w:pPr>
      <w:r w:rsidRPr="007414F2">
        <w:t>Nesse sentido, se a terra, no Direito Agrário, é compreendida como base material sobre a qual se constrói a vida digna, o bloqueio ao alimento produzido ou necessário a um povo transforma essa mesma base em campo de disputa assimétrica, em que quem controla os fluxos alimentares controla também os limites da existência de comunidades inteiras (Marques, 2011</w:t>
      </w:r>
      <w:r>
        <w:t>)</w:t>
      </w:r>
      <w:r w:rsidRPr="007414F2">
        <w:t xml:space="preserve"> É nessa tensão entre a função social da terra voltada à alimentação e o emprego da fome como arma que se insere a análise do caso </w:t>
      </w:r>
      <w:r>
        <w:t>israelense-</w:t>
      </w:r>
      <w:r w:rsidRPr="007414F2">
        <w:t>palestino, como tantos outros, em que os mecanismos aqui descritos se repetem experiências históricas de instrumentalização da fome (Castro, 1984; IJDJL, 2024). Examinar o conflito Israel–Palestina não é apenas discutir um litígio territorial, mas observar, concretamente, como o alimento pode ser manejado como “bala” em um cenário de crise e como isso nega, na prática, o direito à vida de um povo inteiro.</w:t>
      </w:r>
    </w:p>
    <w:p w:rsidR="000A01F5" w:rsidP="00095198" w:rsidRDefault="000A01F5" w14:paraId="41347225" w14:textId="77777777">
      <w:pPr>
        <w:spacing w:line="360" w:lineRule="auto"/>
        <w:jc w:val="both"/>
      </w:pPr>
    </w:p>
    <w:p w:rsidR="005713C0" w:rsidP="00095198" w:rsidRDefault="005713C0" w14:paraId="1042DFAA" w14:textId="77777777">
      <w:pPr>
        <w:spacing w:line="360" w:lineRule="auto"/>
        <w:jc w:val="both"/>
        <w:rPr>
          <w:color w:val="000000"/>
        </w:rPr>
      </w:pPr>
    </w:p>
    <w:p w:rsidRPr="005713C0" w:rsidR="000A01F5" w:rsidP="00095198" w:rsidRDefault="005713C0" w14:paraId="480687BF" w14:textId="3745EA86">
      <w:pPr>
        <w:spacing w:line="360" w:lineRule="auto"/>
        <w:jc w:val="both"/>
      </w:pPr>
      <w:r w:rsidRPr="005713C0">
        <w:rPr>
          <w:color w:val="000000"/>
        </w:rPr>
        <w:t>3.2 HISTÓRICO DO CONFLITO ISRAEL–PALESTINA E EVOLUÇÃO DO BLOQUEIO DE GAZA</w:t>
      </w:r>
    </w:p>
    <w:p w:rsidRPr="000011AE" w:rsidR="000A01F5" w:rsidP="00095198" w:rsidRDefault="000A01F5" w14:paraId="3D9278D6" w14:textId="77777777">
      <w:pPr>
        <w:spacing w:line="360" w:lineRule="auto"/>
        <w:jc w:val="both"/>
        <w:rPr>
          <w:b/>
          <w:bCs/>
          <w:color w:val="000000"/>
        </w:rPr>
      </w:pPr>
    </w:p>
    <w:p w:rsidRPr="000011AE" w:rsidR="000A01F5" w:rsidP="00095198" w:rsidRDefault="000A01F5" w14:paraId="37328A67" w14:textId="77777777">
      <w:pPr>
        <w:spacing w:line="360" w:lineRule="auto"/>
        <w:jc w:val="both"/>
        <w:rPr>
          <w:b/>
          <w:bCs/>
          <w:color w:val="000000"/>
        </w:rPr>
      </w:pPr>
    </w:p>
    <w:p w:rsidRPr="007414F2" w:rsidR="006D39C6" w:rsidP="006D39C6" w:rsidRDefault="006D39C6" w14:paraId="2E3C6609" w14:textId="6D679F59">
      <w:pPr>
        <w:spacing w:after="140" w:line="360" w:lineRule="auto"/>
        <w:jc w:val="both"/>
        <w:rPr>
          <w:color w:val="000000"/>
        </w:rPr>
      </w:pPr>
      <w:bookmarkStart w:name="OLE_LINK31" w:id="11"/>
      <w:r w:rsidRPr="007414F2">
        <w:rPr>
          <w:color w:val="000000"/>
        </w:rPr>
        <w:t>A região hoje chamada Palestina/Israel é atravessada, desde a Antiguidade, por camadas religiosas e políticas. Na Bíblia hebraica, a terra de Canaã é uma forma de promessa feita aos descendentes de Abraão, Isaac e Jacó: Deus ordena a Abrão “sai da tua terra [...] e vai para a terra que eu te mostrarei” (Gn 12,1) e promete “toda esta terra que vês, em possessão perpétua” (Gn 13,14</w:t>
      </w:r>
      <w:r w:rsidRPr="007414F2">
        <w:rPr>
          <w:color w:val="000000"/>
        </w:rPr>
        <w:noBreakHyphen/>
      </w:r>
      <w:r w:rsidRPr="007414F2">
        <w:rPr>
          <w:color w:val="000000"/>
        </w:rPr>
        <w:t xml:space="preserve">17). Essas narrativas da genealogia de Abraão, com Isaque e Jacó ligados à “casa de Israel” e Ismael reconhecido na tradição islâmica como ancestral de povos árabes, forjam identidades religiosas distintas, mas não equivalem a títulos jurídicos de propriedade moderna. (Filiu, 2015; Pappé, </w:t>
      </w:r>
      <w:r>
        <w:rPr>
          <w:color w:val="000000"/>
        </w:rPr>
        <w:t>2006</w:t>
      </w:r>
      <w:r w:rsidRPr="007414F2">
        <w:rPr>
          <w:color w:val="000000"/>
        </w:rPr>
        <w:t xml:space="preserve">). O Alcorão cita a genealogia de Ibrahim (Abraão) reconhecendo a relevância espiritual da região sem reclamá-la como domínio exclusivo de um povo em termos de Estado-nação (Said, 2012). </w:t>
      </w:r>
    </w:p>
    <w:p w:rsidRPr="007414F2" w:rsidR="006D39C6" w:rsidP="006D39C6" w:rsidRDefault="006D39C6" w14:paraId="7D2DE8DB" w14:textId="77777777">
      <w:pPr>
        <w:spacing w:after="140" w:line="360" w:lineRule="auto"/>
        <w:jc w:val="both"/>
        <w:rPr>
          <w:color w:val="000000"/>
        </w:rPr>
      </w:pPr>
      <w:bookmarkStart w:name="OLE_LINK33" w:id="12"/>
      <w:bookmarkEnd w:id="11"/>
      <w:r w:rsidRPr="007414F2">
        <w:rPr>
          <w:color w:val="000000"/>
        </w:rPr>
        <w:t>Entre o primeiro milênio a.C. e o período romano, a área foi dominada por impérios assírio, babilônico, persa, helenístico e romano, com momentos de autonomia judaica, forte presença cristã posterior e, a partir do século VII, maioria árabe muçulmana (Filiu, 2015; Khalidi, 2017). Do século XVI até a Primeira Guerra Mundial, a Palestina integrou o Império Otomano, com população majoritariamente árabe (muçulmana e cristã) e minorias judaicas locais (Khalidi, 2017). No fim do século XIX, em contexto de nacionalismos europeus e antissemitismo, surge o sionismo, projeto político</w:t>
      </w:r>
      <w:r w:rsidRPr="007414F2">
        <w:rPr>
          <w:color w:val="000000"/>
        </w:rPr>
        <w:noBreakHyphen/>
      </w:r>
      <w:r w:rsidRPr="007414F2">
        <w:rPr>
          <w:color w:val="000000"/>
        </w:rPr>
        <w:t xml:space="preserve">nacional que reivindica o “estabelecimento na Palestina de uma pátria nacional para o povo judeu”, reinterpretando a promessa bíblica como base histórica de um Estado judaico moderno (Said, 2012; Khalidi, 2017). Khalidi </w:t>
      </w:r>
      <w:r>
        <w:rPr>
          <w:color w:val="000000"/>
        </w:rPr>
        <w:t xml:space="preserve">(2017) </w:t>
      </w:r>
      <w:r w:rsidRPr="007414F2">
        <w:rPr>
          <w:color w:val="000000"/>
        </w:rPr>
        <w:t>destaca que essa agenda ignorava a realidade demográfica local, onde mais de 90% da população era árabe palestina</w:t>
      </w:r>
      <w:r>
        <w:rPr>
          <w:color w:val="000000"/>
        </w:rPr>
        <w:t>.</w:t>
      </w:r>
    </w:p>
    <w:p w:rsidRPr="007414F2" w:rsidR="007414F2" w:rsidP="007414F2" w:rsidRDefault="007414F2" w14:paraId="525BCFFB" w14:textId="239128B4">
      <w:pPr>
        <w:spacing w:after="140" w:line="360" w:lineRule="auto"/>
        <w:jc w:val="both"/>
        <w:rPr>
          <w:color w:val="000000"/>
        </w:rPr>
      </w:pPr>
      <w:r w:rsidRPr="007414F2">
        <w:rPr>
          <w:color w:val="000000"/>
        </w:rPr>
        <w:t>A Declaração Balfour (1917</w:t>
      </w:r>
      <w:r w:rsidR="00F91CE9">
        <w:rPr>
          <w:color w:val="000000"/>
        </w:rPr>
        <w:t>, pág. 1</w:t>
      </w:r>
      <w:r w:rsidRPr="007414F2">
        <w:rPr>
          <w:color w:val="000000"/>
        </w:rPr>
        <w:t>) marca o apoio explícito britânico a</w:t>
      </w:r>
      <w:bookmarkEnd w:id="12"/>
      <w:r w:rsidRPr="007414F2">
        <w:rPr>
          <w:color w:val="000000"/>
        </w:rPr>
        <w:t xml:space="preserve"> esse projeto afirmando ver com simpatia o </w:t>
      </w:r>
      <w:r w:rsidR="00F91CE9">
        <w:rPr>
          <w:color w:val="000000"/>
        </w:rPr>
        <w:t>“</w:t>
      </w:r>
      <w:r w:rsidRPr="007414F2">
        <w:rPr>
          <w:color w:val="000000"/>
        </w:rPr>
        <w:t>estabelecimento, na Palestina, de um lar nacional para o povo judeu”, preservando os “direitos civis e religiosos das coletividades não judaicas”. O Mandato Britânico sobre a Palestina (1922) incorpora esse compromisso</w:t>
      </w:r>
      <w:bookmarkStart w:name="OLE_LINK32" w:id="13"/>
      <w:r w:rsidRPr="007414F2">
        <w:rPr>
          <w:color w:val="000000"/>
        </w:rPr>
        <w:t xml:space="preserve">, determinando que o Reino Unido deve facilitar a imigração judaica e apoiar o “lar nacional”, </w:t>
      </w:r>
      <w:bookmarkEnd w:id="13"/>
      <w:r w:rsidRPr="007414F2">
        <w:rPr>
          <w:color w:val="000000"/>
        </w:rPr>
        <w:t>sem oferecer um caminho efetivo de autodeterminação à população árabe. Na prática, a administração britânica reconheceu instituições representativas sionistas, permitiu organismos quase estatais judeus e reprimiu revoltas árabes, restringindo o desenvolvimento político palestino (</w:t>
      </w:r>
      <w:r w:rsidRPr="007414F2" w:rsidR="006D39C6">
        <w:rPr>
          <w:color w:val="000000"/>
        </w:rPr>
        <w:t>Khalidi</w:t>
      </w:r>
      <w:r w:rsidRPr="007414F2">
        <w:rPr>
          <w:color w:val="000000"/>
        </w:rPr>
        <w:t xml:space="preserve">, 2017; </w:t>
      </w:r>
      <w:r w:rsidRPr="007414F2" w:rsidR="00363ADB">
        <w:rPr>
          <w:color w:val="000000"/>
        </w:rPr>
        <w:t>Said</w:t>
      </w:r>
      <w:r w:rsidRPr="007414F2">
        <w:rPr>
          <w:color w:val="000000"/>
        </w:rPr>
        <w:t>, 2012). Khalidi (2017) descreve esse arranjo como uma “gaiola de ferro” institucional que favoreceu um colonialismo de povoamento: instalação de uma população colonizadora europeia com projeto estatal próprio sobre população nativa relegada à subalternidade (</w:t>
      </w:r>
      <w:r w:rsidRPr="007414F2" w:rsidR="00F91CE9">
        <w:rPr>
          <w:color w:val="000000"/>
        </w:rPr>
        <w:t>Pappé</w:t>
      </w:r>
      <w:r w:rsidRPr="007414F2">
        <w:rPr>
          <w:color w:val="000000"/>
        </w:rPr>
        <w:t xml:space="preserve">, </w:t>
      </w:r>
      <w:r w:rsidR="006D39C6">
        <w:rPr>
          <w:color w:val="000000"/>
        </w:rPr>
        <w:t>2006</w:t>
      </w:r>
      <w:r w:rsidRPr="007414F2">
        <w:rPr>
          <w:color w:val="000000"/>
        </w:rPr>
        <w:t>).</w:t>
      </w:r>
    </w:p>
    <w:p w:rsidRPr="007414F2" w:rsidR="007414F2" w:rsidP="007414F2" w:rsidRDefault="007414F2" w14:paraId="098AC656" w14:textId="6FF1375D">
      <w:pPr>
        <w:spacing w:after="140" w:line="360" w:lineRule="auto"/>
        <w:jc w:val="both"/>
        <w:rPr>
          <w:color w:val="000000"/>
        </w:rPr>
      </w:pPr>
      <w:bookmarkStart w:name="OLE_LINK34" w:id="14"/>
      <w:r w:rsidRPr="007414F2">
        <w:rPr>
          <w:color w:val="000000"/>
        </w:rPr>
        <w:t xml:space="preserve">Em 29 de novembro de 1947, a Resolução 181 da Assembleia Geral da ONU aprova a partilha da Palestina em dois Estados e um regime internacional especial para Jerusalém. O plano atribuía ao futuro Estado judeu cerca de 55% do </w:t>
      </w:r>
      <w:r w:rsidRPr="003A37FE" w:rsidR="003A37FE">
        <w:rPr>
          <w:color w:val="000000"/>
        </w:rPr>
        <w:t xml:space="preserve">território, áreas </w:t>
      </w:r>
      <w:r w:rsidRPr="007414F2">
        <w:rPr>
          <w:color w:val="000000"/>
        </w:rPr>
        <w:t>mais contínuas e com melhores recursos</w:t>
      </w:r>
      <w:r w:rsidR="00F91CE9">
        <w:rPr>
          <w:color w:val="000000"/>
        </w:rPr>
        <w:t xml:space="preserve">, </w:t>
      </w:r>
      <w:r w:rsidRPr="007414F2">
        <w:rPr>
          <w:color w:val="000000"/>
        </w:rPr>
        <w:t xml:space="preserve">e ao Estado árabe cerca de 45%, fragmentados em blocos descontínuos, apesar da maioria demográfica árabe. (ONU, 1947; </w:t>
      </w:r>
      <w:r w:rsidRPr="007414F2" w:rsidR="006D39C6">
        <w:rPr>
          <w:color w:val="000000"/>
        </w:rPr>
        <w:t>Khalidi</w:t>
      </w:r>
      <w:r w:rsidRPr="007414F2">
        <w:rPr>
          <w:color w:val="000000"/>
        </w:rPr>
        <w:t>, 2017). O movimento sionista aceita a partilha como passo estratégico; já a liderança árabe</w:t>
      </w:r>
      <w:r w:rsidRPr="007414F2">
        <w:rPr>
          <w:color w:val="000000"/>
        </w:rPr>
        <w:noBreakHyphen/>
      </w:r>
      <w:r w:rsidRPr="007414F2">
        <w:rPr>
          <w:color w:val="000000"/>
        </w:rPr>
        <w:t>palestina e os Estados árabes a rejeitam, por sacrificar direitos da população autóctone em favor de minoria imigrante e legitimar projeto colonial (</w:t>
      </w:r>
      <w:r w:rsidRPr="007414F2" w:rsidR="00363ADB">
        <w:rPr>
          <w:color w:val="000000"/>
        </w:rPr>
        <w:t>Said</w:t>
      </w:r>
      <w:r w:rsidRPr="007414F2">
        <w:rPr>
          <w:color w:val="000000"/>
        </w:rPr>
        <w:t xml:space="preserve">, 2012; </w:t>
      </w:r>
      <w:r w:rsidRPr="007414F2" w:rsidR="006D39C6">
        <w:rPr>
          <w:color w:val="000000"/>
        </w:rPr>
        <w:t>Khalidi</w:t>
      </w:r>
      <w:r w:rsidRPr="007414F2">
        <w:rPr>
          <w:color w:val="000000"/>
        </w:rPr>
        <w:t>, 2017). Em maio de 1948, com o fim do Mandato, é proclamado o Estado de Israel; a primeira guerra árabe</w:t>
      </w:r>
      <w:r w:rsidRPr="007414F2">
        <w:rPr>
          <w:color w:val="000000"/>
        </w:rPr>
        <w:noBreakHyphen/>
      </w:r>
      <w:r w:rsidRPr="007414F2">
        <w:rPr>
          <w:color w:val="000000"/>
        </w:rPr>
        <w:t>israelense termina com Israel expandindo o controle territorial além do proposto pela ONU, enquanto a Jordânia ocupa a Cisjordânia e o Egito administrando Gaza (</w:t>
      </w:r>
      <w:r w:rsidRPr="007414F2" w:rsidR="006D39C6">
        <w:rPr>
          <w:color w:val="000000"/>
        </w:rPr>
        <w:t>Filiu</w:t>
      </w:r>
      <w:r w:rsidRPr="007414F2">
        <w:rPr>
          <w:color w:val="000000"/>
        </w:rPr>
        <w:t xml:space="preserve">, 2015). Nesse processo, cerca de 700 mil palestinos foram expulsos ou fugiram, centenas de vilas foram destruídas ou despovoadas, configurando a </w:t>
      </w:r>
      <w:r w:rsidRPr="00B22BBC">
        <w:rPr>
          <w:i/>
          <w:iCs/>
          <w:color w:val="000000"/>
        </w:rPr>
        <w:t>Nakba</w:t>
      </w:r>
      <w:r w:rsidRPr="007414F2">
        <w:rPr>
          <w:color w:val="000000"/>
        </w:rPr>
        <w:t xml:space="preserve"> (“catástrofe”), interpretada como limpeza étnica planejada, e êxodo, mas intencionalidade relativizada, evidenciando o caráter controverso desse processo (PAPPÉ, </w:t>
      </w:r>
      <w:r w:rsidR="006D39C6">
        <w:rPr>
          <w:color w:val="000000"/>
        </w:rPr>
        <w:t>2006</w:t>
      </w:r>
      <w:r w:rsidRPr="007414F2">
        <w:rPr>
          <w:color w:val="000000"/>
        </w:rPr>
        <w:t>; MORRIS, 1987).</w:t>
      </w:r>
    </w:p>
    <w:bookmarkEnd w:id="14"/>
    <w:p w:rsidRPr="007414F2" w:rsidR="007414F2" w:rsidP="007414F2" w:rsidRDefault="007414F2" w14:paraId="51109B19" w14:textId="6A9D6050">
      <w:pPr>
        <w:spacing w:after="140" w:line="360" w:lineRule="auto"/>
        <w:jc w:val="both"/>
        <w:rPr>
          <w:color w:val="000000"/>
        </w:rPr>
      </w:pPr>
      <w:r w:rsidRPr="007414F2">
        <w:rPr>
          <w:color w:val="000000"/>
        </w:rPr>
        <w:t>A Guerra dos Seis Dias (1967) marca a passagem a um regime de ocupação. Em seis dias, Israel ocupa Cisjordânia, Jerusalém Oriental, Faixa de Gaza, Golã e Sinai, submetendo grande população palestina sem cidadania israelense a um regime militar direto (</w:t>
      </w:r>
      <w:r w:rsidRPr="007414F2" w:rsidR="006D39C6">
        <w:rPr>
          <w:color w:val="000000"/>
        </w:rPr>
        <w:t>Filiu</w:t>
      </w:r>
      <w:r w:rsidRPr="007414F2">
        <w:rPr>
          <w:color w:val="000000"/>
        </w:rPr>
        <w:t>, 2015). Desde então, a vida palestina depende de autorizações israelenses para circulação, acesso à terra, água e construção de moradias, enquanto assentamentos civis israelenses se expandem em territórios ocupados, sobretudo na Cisjordânia e Jerusalém Oriental (</w:t>
      </w:r>
      <w:r w:rsidRPr="007414F2" w:rsidR="006D39C6">
        <w:rPr>
          <w:color w:val="000000"/>
        </w:rPr>
        <w:t>Pappé</w:t>
      </w:r>
      <w:r w:rsidRPr="007414F2">
        <w:rPr>
          <w:color w:val="000000"/>
        </w:rPr>
        <w:t xml:space="preserve">, </w:t>
      </w:r>
      <w:r w:rsidR="006D39C6">
        <w:rPr>
          <w:color w:val="000000"/>
        </w:rPr>
        <w:t>2006</w:t>
      </w:r>
      <w:r w:rsidRPr="007414F2">
        <w:rPr>
          <w:color w:val="000000"/>
        </w:rPr>
        <w:t>). Essa ocupação prolongada, colonização por assentamentos e fragmentação territorial é interpretada como colonialismo de povoamento: a população colonizadora instala</w:t>
      </w:r>
      <w:r w:rsidRPr="007414F2">
        <w:rPr>
          <w:color w:val="000000"/>
        </w:rPr>
        <w:noBreakHyphen/>
      </w:r>
      <w:r w:rsidRPr="007414F2">
        <w:rPr>
          <w:color w:val="000000"/>
        </w:rPr>
        <w:t>se permanentemente e reordena o espaço para si, relegando a população nativa a enclaves com acesso subordinado a recursos e direitos (</w:t>
      </w:r>
      <w:r w:rsidRPr="007414F2" w:rsidR="00363ADB">
        <w:rPr>
          <w:color w:val="000000"/>
        </w:rPr>
        <w:t>Said</w:t>
      </w:r>
      <w:r w:rsidRPr="007414F2">
        <w:rPr>
          <w:color w:val="000000"/>
        </w:rPr>
        <w:t xml:space="preserve">, 2012; </w:t>
      </w:r>
      <w:r w:rsidRPr="007414F2" w:rsidR="006D39C6">
        <w:rPr>
          <w:color w:val="000000"/>
        </w:rPr>
        <w:t>Khalidi</w:t>
      </w:r>
      <w:r w:rsidRPr="007414F2">
        <w:rPr>
          <w:color w:val="000000"/>
        </w:rPr>
        <w:t>, 2017).</w:t>
      </w:r>
    </w:p>
    <w:p w:rsidRPr="007414F2" w:rsidR="007414F2" w:rsidP="007414F2" w:rsidRDefault="007414F2" w14:paraId="6183B247" w14:textId="208BDB64">
      <w:pPr>
        <w:spacing w:after="140" w:line="360" w:lineRule="auto"/>
        <w:jc w:val="both"/>
        <w:rPr>
          <w:color w:val="000000"/>
        </w:rPr>
      </w:pPr>
      <w:r w:rsidRPr="007414F2">
        <w:rPr>
          <w:color w:val="000000"/>
        </w:rPr>
        <w:t>A resposta palestina se reorganiza. A Fatah assume hegemonia na Organização para a Libertação da Palestina (OLP), defendendo a luta por uma Palestina livre por meio de ações armadas, boicotes e diplomacia; a Frente Popular para a Libertação da Palestina (FPLP) adota uma perspectiva socialista e pan</w:t>
      </w:r>
      <w:r w:rsidRPr="007414F2">
        <w:rPr>
          <w:color w:val="000000"/>
        </w:rPr>
        <w:noBreakHyphen/>
      </w:r>
      <w:r w:rsidRPr="007414F2">
        <w:rPr>
          <w:color w:val="000000"/>
        </w:rPr>
        <w:t>árabe, ligando a luta palestina a outros movimentos anti</w:t>
      </w:r>
      <w:r w:rsidRPr="007414F2">
        <w:rPr>
          <w:color w:val="000000"/>
        </w:rPr>
        <w:noBreakHyphen/>
      </w:r>
      <w:r w:rsidRPr="007414F2">
        <w:rPr>
          <w:color w:val="000000"/>
        </w:rPr>
        <w:t>imperialistas (</w:t>
      </w:r>
      <w:r w:rsidRPr="007414F2" w:rsidR="006D39C6">
        <w:rPr>
          <w:color w:val="000000"/>
        </w:rPr>
        <w:t>Khalidi</w:t>
      </w:r>
      <w:r w:rsidRPr="007414F2">
        <w:rPr>
          <w:color w:val="000000"/>
        </w:rPr>
        <w:t xml:space="preserve">, 2017; LITCI, 2023). Na Primeira Intifada (1987), levante popular em Gaza e Cisjordânia marcado por protestos, greves e boicotes, emerge o </w:t>
      </w:r>
      <w:r w:rsidRPr="00E962B2">
        <w:rPr>
          <w:i/>
          <w:iCs/>
          <w:color w:val="000000"/>
        </w:rPr>
        <w:t>Hamas</w:t>
      </w:r>
      <w:r w:rsidRPr="007414F2">
        <w:rPr>
          <w:color w:val="000000"/>
        </w:rPr>
        <w:t>, movimento islamista vinculado à Irmandade Muçulmana, combinando assistência social e ala armada como alternativa ao nacionalismo laico da Fatah/OLP (</w:t>
      </w:r>
      <w:r w:rsidR="00971F33">
        <w:rPr>
          <w:color w:val="000000"/>
        </w:rPr>
        <w:t>Mohammed</w:t>
      </w:r>
      <w:r w:rsidRPr="007414F2">
        <w:rPr>
          <w:color w:val="000000"/>
        </w:rPr>
        <w:t xml:space="preserve">, </w:t>
      </w:r>
      <w:r w:rsidR="00971F33">
        <w:rPr>
          <w:color w:val="000000"/>
        </w:rPr>
        <w:t>2014</w:t>
      </w:r>
      <w:r w:rsidRPr="007414F2">
        <w:rPr>
          <w:color w:val="000000"/>
        </w:rPr>
        <w:t xml:space="preserve">; </w:t>
      </w:r>
      <w:r w:rsidRPr="007414F2" w:rsidR="00E962B2">
        <w:rPr>
          <w:color w:val="000000"/>
        </w:rPr>
        <w:t>Aurora</w:t>
      </w:r>
      <w:r w:rsidRPr="007414F2">
        <w:rPr>
          <w:color w:val="000000"/>
        </w:rPr>
        <w:t>, 2017). Apesar de diferenças ideológicas (nacionalismo laico, marxismo, islamismo), Fatah, FPLP e Hamas partilham o ideal de Palestina livre, divergindo em estratégias e modelo social (</w:t>
      </w:r>
      <w:r w:rsidR="00971F33">
        <w:rPr>
          <w:color w:val="000000"/>
        </w:rPr>
        <w:t>Mohammed</w:t>
      </w:r>
      <w:r w:rsidRPr="007414F2">
        <w:rPr>
          <w:color w:val="000000"/>
        </w:rPr>
        <w:t xml:space="preserve">, </w:t>
      </w:r>
      <w:r w:rsidR="00971F33">
        <w:rPr>
          <w:color w:val="000000"/>
        </w:rPr>
        <w:t>2014</w:t>
      </w:r>
      <w:r w:rsidRPr="007414F2">
        <w:rPr>
          <w:color w:val="000000"/>
        </w:rPr>
        <w:t>; TEMPORALIDADES, 2019).</w:t>
      </w:r>
    </w:p>
    <w:p w:rsidR="00700E67" w:rsidP="00095198" w:rsidRDefault="00700E67" w14:paraId="691A36BC" w14:textId="73997F11">
      <w:pPr>
        <w:spacing w:after="140" w:line="360" w:lineRule="auto"/>
        <w:jc w:val="both"/>
        <w:rPr>
          <w:color w:val="000000"/>
        </w:rPr>
      </w:pPr>
      <w:r w:rsidRPr="00700E67">
        <w:rPr>
          <w:color w:val="000000"/>
        </w:rPr>
        <w:t>Os Acordos de Oslo (1993–</w:t>
      </w:r>
      <w:r w:rsidR="00B86751">
        <w:rPr>
          <w:color w:val="000000"/>
        </w:rPr>
        <w:t>2000</w:t>
      </w:r>
      <w:r w:rsidRPr="00700E67">
        <w:rPr>
          <w:color w:val="000000"/>
        </w:rPr>
        <w:t>) criam a Autoridade Palestina e dividem a Cisjordânia em áreas A, B e C, com diferentes níveis de controle palestino e israelense, enquanto Israel domina fronteiras, espaço aéreo e recursos naturais (</w:t>
      </w:r>
      <w:r w:rsidRPr="00700E67" w:rsidR="00363ADB">
        <w:rPr>
          <w:color w:val="000000"/>
        </w:rPr>
        <w:t>Said</w:t>
      </w:r>
      <w:r w:rsidRPr="00700E67">
        <w:rPr>
          <w:color w:val="000000"/>
        </w:rPr>
        <w:t xml:space="preserve">, 2012; </w:t>
      </w:r>
      <w:r w:rsidRPr="00700E67" w:rsidR="00B22BBC">
        <w:rPr>
          <w:color w:val="000000"/>
        </w:rPr>
        <w:t>Khalidi</w:t>
      </w:r>
      <w:r w:rsidRPr="00700E67">
        <w:rPr>
          <w:color w:val="000000"/>
        </w:rPr>
        <w:t>, 2017). Na prática,</w:t>
      </w:r>
      <w:r>
        <w:rPr>
          <w:color w:val="000000"/>
        </w:rPr>
        <w:t xml:space="preserve"> </w:t>
      </w:r>
      <w:r w:rsidRPr="00700E67">
        <w:rPr>
          <w:color w:val="000000"/>
        </w:rPr>
        <w:t>Oslo</w:t>
      </w:r>
      <w:r w:rsidR="008F087D">
        <w:rPr>
          <w:color w:val="000000"/>
        </w:rPr>
        <w:t xml:space="preserve"> c</w:t>
      </w:r>
      <w:r w:rsidRPr="00700E67">
        <w:rPr>
          <w:color w:val="000000"/>
        </w:rPr>
        <w:t xml:space="preserve">onsolida a fragmentação territorial: expansão de assentamentos, </w:t>
      </w:r>
      <w:r>
        <w:rPr>
          <w:color w:val="000000"/>
        </w:rPr>
        <w:t xml:space="preserve">construção de </w:t>
      </w:r>
      <w:r w:rsidRPr="00700E67">
        <w:rPr>
          <w:color w:val="000000"/>
        </w:rPr>
        <w:t xml:space="preserve">muro/barreira (2002) e </w:t>
      </w:r>
      <w:r w:rsidRPr="00700E67">
        <w:rPr>
          <w:i/>
          <w:iCs/>
          <w:color w:val="000000"/>
        </w:rPr>
        <w:t>checkpoints</w:t>
      </w:r>
      <w:r w:rsidRPr="00700E67">
        <w:rPr>
          <w:color w:val="000000"/>
        </w:rPr>
        <w:t xml:space="preserve"> transformam a Cisjordânia em mosaico de enclaves, com acesso palestino à terra, ao trabalho, à saúde e à educação mediado por aparato militar e burocrático israelense (</w:t>
      </w:r>
      <w:r w:rsidRPr="00700E67" w:rsidR="00B22BBC">
        <w:rPr>
          <w:color w:val="000000"/>
        </w:rPr>
        <w:t>Pappé</w:t>
      </w:r>
      <w:r w:rsidRPr="00700E67">
        <w:rPr>
          <w:color w:val="000000"/>
        </w:rPr>
        <w:t>, 20</w:t>
      </w:r>
      <w:r w:rsidR="006D39C6">
        <w:rPr>
          <w:color w:val="000000"/>
        </w:rPr>
        <w:t>0</w:t>
      </w:r>
      <w:r w:rsidRPr="00700E67">
        <w:rPr>
          <w:color w:val="000000"/>
        </w:rPr>
        <w:t>6).</w:t>
      </w:r>
    </w:p>
    <w:p w:rsidR="000A01F5" w:rsidP="00095198" w:rsidRDefault="000A01F5" w14:paraId="3D408D37" w14:textId="74AB0DB5">
      <w:pPr>
        <w:spacing w:after="140" w:line="360" w:lineRule="auto"/>
        <w:jc w:val="both"/>
        <w:rPr>
          <w:color w:val="000000"/>
        </w:rPr>
      </w:pPr>
      <w:r w:rsidRPr="000011AE">
        <w:rPr>
          <w:color w:val="000000"/>
        </w:rPr>
        <w:t>A Faixa de Gaza torna</w:t>
      </w:r>
      <w:r w:rsidRPr="000011AE">
        <w:rPr>
          <w:color w:val="000000"/>
        </w:rPr>
        <w:noBreakHyphen/>
      </w:r>
      <w:r w:rsidRPr="000011AE">
        <w:rPr>
          <w:color w:val="000000"/>
        </w:rPr>
        <w:t xml:space="preserve">se o epicentro da política de bloqueio. Após a vitória eleitoral do </w:t>
      </w:r>
      <w:r w:rsidRPr="00B86751">
        <w:rPr>
          <w:i/>
          <w:iCs/>
          <w:color w:val="000000"/>
        </w:rPr>
        <w:t>Hamas</w:t>
      </w:r>
      <w:r w:rsidR="001301E0">
        <w:rPr>
          <w:color w:val="000000"/>
        </w:rPr>
        <w:t xml:space="preserve"> </w:t>
      </w:r>
      <w:r w:rsidRPr="000011AE">
        <w:rPr>
          <w:color w:val="000000"/>
        </w:rPr>
        <w:t>e o confronto com</w:t>
      </w:r>
      <w:r w:rsidR="001301E0">
        <w:rPr>
          <w:color w:val="000000"/>
        </w:rPr>
        <w:t xml:space="preserve"> </w:t>
      </w:r>
      <w:r w:rsidRPr="00B86751">
        <w:rPr>
          <w:i/>
          <w:iCs/>
          <w:color w:val="000000"/>
        </w:rPr>
        <w:t>Fatah</w:t>
      </w:r>
      <w:r w:rsidRPr="000011AE">
        <w:rPr>
          <w:color w:val="000000"/>
        </w:rPr>
        <w:t xml:space="preserve">, o movimento assume o controle de Gaza; Israel, com apoio egípcio, </w:t>
      </w:r>
      <w:r w:rsidR="009D578A">
        <w:rPr>
          <w:color w:val="000000"/>
        </w:rPr>
        <w:t xml:space="preserve">responde </w:t>
      </w:r>
      <w:r w:rsidRPr="000011AE">
        <w:rPr>
          <w:color w:val="000000"/>
        </w:rPr>
        <w:t>imp</w:t>
      </w:r>
      <w:r w:rsidR="009D578A">
        <w:rPr>
          <w:color w:val="000000"/>
        </w:rPr>
        <w:t>ondo</w:t>
      </w:r>
      <w:r w:rsidRPr="000011AE">
        <w:rPr>
          <w:color w:val="000000"/>
        </w:rPr>
        <w:t xml:space="preserve"> bloqueio terrestre, marítimo e aéreo, restringindo severamente entrada de bens</w:t>
      </w:r>
      <w:r w:rsidR="001301E0">
        <w:rPr>
          <w:color w:val="000000"/>
        </w:rPr>
        <w:t xml:space="preserve"> (</w:t>
      </w:r>
      <w:r w:rsidRPr="000011AE">
        <w:rPr>
          <w:color w:val="000000"/>
        </w:rPr>
        <w:t>alimentos, combustível, materiais de construção</w:t>
      </w:r>
      <w:r w:rsidR="001301E0">
        <w:rPr>
          <w:color w:val="000000"/>
        </w:rPr>
        <w:t>)</w:t>
      </w:r>
      <w:r w:rsidRPr="000011AE">
        <w:rPr>
          <w:color w:val="000000"/>
        </w:rPr>
        <w:t xml:space="preserve"> </w:t>
      </w:r>
      <w:r w:rsidR="009D578A">
        <w:rPr>
          <w:color w:val="000000"/>
        </w:rPr>
        <w:t xml:space="preserve">e </w:t>
      </w:r>
      <w:r w:rsidRPr="000011AE">
        <w:rPr>
          <w:color w:val="000000"/>
        </w:rPr>
        <w:t>saída de pessoas. A organização</w:t>
      </w:r>
      <w:r w:rsidR="009D578A">
        <w:rPr>
          <w:color w:val="000000"/>
        </w:rPr>
        <w:t xml:space="preserve"> </w:t>
      </w:r>
      <w:r w:rsidRPr="00B86751">
        <w:rPr>
          <w:color w:val="000000"/>
        </w:rPr>
        <w:t>Gisha</w:t>
      </w:r>
      <w:r w:rsidRPr="000011AE">
        <w:rPr>
          <w:color w:val="000000"/>
        </w:rPr>
        <w:t xml:space="preserve"> revelou que, entre 2007 e 2010, o governo</w:t>
      </w:r>
      <w:r w:rsidR="00352E85">
        <w:rPr>
          <w:color w:val="000000"/>
        </w:rPr>
        <w:t xml:space="preserve"> israelense</w:t>
      </w:r>
      <w:r w:rsidRPr="000011AE">
        <w:rPr>
          <w:color w:val="000000"/>
        </w:rPr>
        <w:t xml:space="preserve"> elaborou o plano </w:t>
      </w:r>
      <w:r w:rsidRPr="00971F33">
        <w:rPr>
          <w:i/>
          <w:iCs/>
          <w:color w:val="000000"/>
        </w:rPr>
        <w:t>“Red Lines</w:t>
      </w:r>
      <w:r w:rsidR="009D578A">
        <w:rPr>
          <w:rFonts w:ascii="Georgia" w:hAnsi="Georgia"/>
        </w:rPr>
        <w:t>”</w:t>
      </w:r>
      <w:r w:rsidR="001301E0">
        <w:rPr>
          <w:rFonts w:ascii="Georgia" w:hAnsi="Georgia"/>
        </w:rPr>
        <w:t xml:space="preserve">, </w:t>
      </w:r>
      <w:r w:rsidRPr="009D578A" w:rsidR="009D578A">
        <w:t>calculando a ingestão calórica mínima para evitar desnutrição severa e limitando assim alimentos na Faixa (</w:t>
      </w:r>
      <w:r w:rsidRPr="009D578A" w:rsidR="00B86751">
        <w:t>Gisha</w:t>
      </w:r>
      <w:r w:rsidRPr="009D578A" w:rsidR="009D578A">
        <w:t>, 2010). Embora necessários 106 caminhões/dia, a média autorizada foi de 65, inviabilizando alimentos básicos; co</w:t>
      </w:r>
      <w:r w:rsidR="00352E85">
        <w:t>mo efeito</w:t>
      </w:r>
      <w:r w:rsidRPr="009D578A" w:rsidR="009D578A">
        <w:t>, 40% das famílias enfrentavam insegurança alimentar e 80% dependiam de assistência humanitária (</w:t>
      </w:r>
      <w:r w:rsidRPr="009D578A" w:rsidR="00B86751">
        <w:t>Gisha</w:t>
      </w:r>
      <w:r w:rsidRPr="009D578A" w:rsidR="009D578A">
        <w:t xml:space="preserve">, 2012; </w:t>
      </w:r>
      <w:r w:rsidRPr="009D578A" w:rsidR="00B86751">
        <w:t>Oxfam</w:t>
      </w:r>
      <w:r w:rsidRPr="009D578A" w:rsidR="009D578A">
        <w:t>, 2024).</w:t>
      </w:r>
      <w:r w:rsidR="00352E85">
        <w:rPr>
          <w:color w:val="000000"/>
        </w:rPr>
        <w:t xml:space="preserve"> </w:t>
      </w:r>
      <w:r w:rsidR="009D578A">
        <w:rPr>
          <w:color w:val="000000"/>
        </w:rPr>
        <w:t>Personificando</w:t>
      </w:r>
      <w:r w:rsidRPr="000011AE">
        <w:rPr>
          <w:color w:val="000000"/>
        </w:rPr>
        <w:t xml:space="preserve"> </w:t>
      </w:r>
      <w:r w:rsidR="00352E85">
        <w:rPr>
          <w:color w:val="000000"/>
        </w:rPr>
        <w:t xml:space="preserve">uma </w:t>
      </w:r>
      <w:r w:rsidRPr="000011AE">
        <w:rPr>
          <w:color w:val="000000"/>
        </w:rPr>
        <w:t>“guerra econômica” contra Gaza, incluindo a restrição calculada de comida (</w:t>
      </w:r>
      <w:proofErr w:type="spellStart"/>
      <w:r w:rsidR="00B86751">
        <w:rPr>
          <w:color w:val="000000"/>
        </w:rPr>
        <w:t>Dilawar</w:t>
      </w:r>
      <w:proofErr w:type="spellEnd"/>
      <w:r w:rsidRPr="000011AE">
        <w:rPr>
          <w:color w:val="000000"/>
        </w:rPr>
        <w:t xml:space="preserve">, </w:t>
      </w:r>
      <w:r w:rsidRPr="000011AE" w:rsidR="00232012">
        <w:rPr>
          <w:color w:val="000000"/>
        </w:rPr>
        <w:t>2024</w:t>
      </w:r>
      <w:r w:rsidR="00B86751">
        <w:rPr>
          <w:color w:val="000000"/>
        </w:rPr>
        <w:t>, pág. 1</w:t>
      </w:r>
      <w:r w:rsidRPr="000011AE">
        <w:rPr>
          <w:color w:val="000000"/>
        </w:rPr>
        <w:t>).</w:t>
      </w:r>
    </w:p>
    <w:p w:rsidR="00671C01" w:rsidP="006507CA" w:rsidRDefault="00671C01" w14:paraId="69033720" w14:textId="7E23F354">
      <w:pPr>
        <w:spacing w:after="140" w:line="360" w:lineRule="auto"/>
        <w:jc w:val="both"/>
        <w:rPr>
          <w:color w:val="000000"/>
        </w:rPr>
      </w:pPr>
      <w:r w:rsidRPr="00671C01">
        <w:rPr>
          <w:color w:val="000000"/>
        </w:rPr>
        <w:t xml:space="preserve">A escalada iniciada em 7 de outubro de 2023 agrava radicalmente esse cenário. Após o ataque do </w:t>
      </w:r>
      <w:r w:rsidRPr="00B86751">
        <w:rPr>
          <w:i/>
          <w:iCs/>
          <w:color w:val="000000"/>
        </w:rPr>
        <w:t>Hamas</w:t>
      </w:r>
      <w:r w:rsidRPr="00671C01">
        <w:rPr>
          <w:color w:val="000000"/>
        </w:rPr>
        <w:t xml:space="preserve"> em território israelense, com mortes e sequestro de civis, Israel lança campanha militar em Gaza, com bombardeios intensos, incursões terrestres e bloqueios ainda mais rígidos à água, comida, combustível e medicamentos (BBC, 2023). Declarações como a do ministro da Defesa Yoav Gallant "não haverá eletricidade, não haverá comida, não haverá combustível, tudo está fechado" revelam a privação de bens essenciais como arma de guerra </w:t>
      </w:r>
      <w:r w:rsidRPr="00671C01" w:rsidR="00E851C3">
        <w:rPr>
          <w:color w:val="000000"/>
        </w:rPr>
        <w:t>(Bubola; Hubbard</w:t>
      </w:r>
      <w:r w:rsidRPr="00671C01">
        <w:rPr>
          <w:color w:val="000000"/>
        </w:rPr>
        <w:t>, 2023</w:t>
      </w:r>
      <w:r w:rsidR="00E851C3">
        <w:rPr>
          <w:color w:val="000000"/>
        </w:rPr>
        <w:t>, pág. 1</w:t>
      </w:r>
      <w:r w:rsidRPr="00671C01">
        <w:rPr>
          <w:color w:val="000000"/>
        </w:rPr>
        <w:t>). Em 2024–2025, relatórios da Classificação Integrada de Segurança Alimentar em Fases (IPC) e da ONU indicam toda a população de Gaza em graves níveis de insegurança alimentar: cerca de 1,84 milhão em crise ou pior (Fase 3+) e 133 mil em catastrófica (Fase 5), com desnutrição aguda até dez vezes superior ao período pré-escalada (IPC, 2024; ONU, 2024). Em 2025, OMS e agências parceiras confirmam formalmente fome em Gaza, com mais de 640 mil pessoas em Fase 5 e a maioria restante em emergência ou crise (OMS, 2025; IPC, 2025).</w:t>
      </w:r>
    </w:p>
    <w:p w:rsidR="00232012" w:rsidP="00232012" w:rsidRDefault="00232012" w14:paraId="3838F833" w14:textId="77777777">
      <w:pPr>
        <w:spacing w:after="140" w:line="360" w:lineRule="auto"/>
        <w:jc w:val="both"/>
        <w:rPr>
          <w:color w:val="000000"/>
        </w:rPr>
      </w:pPr>
      <w:r w:rsidRPr="00C76204">
        <w:rPr>
          <w:color w:val="000000"/>
        </w:rPr>
        <w:t>O </w:t>
      </w:r>
      <w:r w:rsidRPr="00C76204">
        <w:rPr>
          <w:i/>
          <w:iCs/>
          <w:color w:val="000000"/>
        </w:rPr>
        <w:t>Global Report on Food Crises</w:t>
      </w:r>
      <w:r w:rsidRPr="00C76204">
        <w:rPr>
          <w:color w:val="000000"/>
        </w:rPr>
        <w:t> (2025) classifica Gaza entre as mais graves crises de fome, atribuída ao conflito e às restrições à circulação de pessoas, bens e ajuda (FAO; WFP; IFPRI, 2025). A Human Rights Watch sustenta que bloqueio, destruição de meios de subsistência e obstrução de ajuda configuram o uso da fome como método de guerra contra civis, em violação ao direito internacional humanitário (Human Rights Watch, 2023). À luz desse percurso, que envolve a promessa religiosa reinterpretada em chave nacionalista, o Mandato sem autodeterminação palestina, a partilha desigual, a Nakba, a ocupação, a fragmentação territorial e o cerco, a fome em Gaza não é efeito colateral, mas instrumento político de controle, punição e expulsão de um povo tornado subalterno em sua própria terra (Said, 2012; Khalidi, 2017; Pappé, 2016).</w:t>
      </w:r>
    </w:p>
    <w:p w:rsidR="003A107B" w:rsidP="00232012" w:rsidRDefault="003A107B" w14:paraId="2D3598CD" w14:textId="77777777">
      <w:pPr>
        <w:spacing w:after="140"/>
        <w:jc w:val="both"/>
        <w:rPr>
          <w:color w:val="000000"/>
        </w:rPr>
      </w:pPr>
    </w:p>
    <w:p w:rsidR="00156853" w:rsidP="00232012" w:rsidRDefault="00156853" w14:paraId="66872E39" w14:textId="77777777">
      <w:pPr>
        <w:spacing w:after="140"/>
        <w:jc w:val="both"/>
        <w:rPr>
          <w:color w:val="000000"/>
        </w:rPr>
      </w:pPr>
    </w:p>
    <w:p w:rsidR="00232012" w:rsidP="00232012" w:rsidRDefault="00232012" w14:paraId="29ABC66D" w14:textId="77777777">
      <w:pPr>
        <w:spacing w:after="140"/>
        <w:jc w:val="both"/>
        <w:rPr>
          <w:color w:val="000000"/>
        </w:rPr>
      </w:pPr>
    </w:p>
    <w:p w:rsidR="00232012" w:rsidP="00232012" w:rsidRDefault="00232012" w14:paraId="0803F9CF" w14:textId="77777777">
      <w:pPr>
        <w:spacing w:after="140"/>
        <w:jc w:val="both"/>
        <w:rPr>
          <w:color w:val="000000"/>
        </w:rPr>
      </w:pPr>
    </w:p>
    <w:p w:rsidRPr="003B72BF" w:rsidR="003B72BF" w:rsidP="00095198" w:rsidRDefault="003B72BF" w14:paraId="2B231F7B" w14:textId="717EA6E5">
      <w:pPr>
        <w:spacing w:line="360" w:lineRule="auto"/>
        <w:jc w:val="both"/>
      </w:pPr>
      <w:r w:rsidRPr="003B72BF">
        <w:t>3.</w:t>
      </w:r>
      <w:r w:rsidR="00232012">
        <w:t xml:space="preserve">3 </w:t>
      </w:r>
      <w:r w:rsidRPr="003B72BF">
        <w:t>FOME COMO ARMA DE GUERRA: PERSPECTIVAS HISTÓRICAS</w:t>
      </w:r>
    </w:p>
    <w:p w:rsidR="003B72BF" w:rsidP="00095198" w:rsidRDefault="003B72BF" w14:paraId="08148050" w14:textId="77777777">
      <w:pPr>
        <w:spacing w:line="360" w:lineRule="auto"/>
        <w:jc w:val="both"/>
        <w:rPr>
          <w:b/>
          <w:bCs/>
        </w:rPr>
      </w:pPr>
    </w:p>
    <w:p w:rsidRPr="00251DF5" w:rsidR="0007759B" w:rsidP="00095198" w:rsidRDefault="0007759B" w14:paraId="4573AB4B" w14:textId="77777777">
      <w:pPr>
        <w:spacing w:line="360" w:lineRule="auto"/>
        <w:jc w:val="both"/>
        <w:rPr>
          <w:b/>
          <w:bCs/>
        </w:rPr>
      </w:pPr>
    </w:p>
    <w:p w:rsidR="00DD57F7" w:rsidP="00095198" w:rsidRDefault="00C43996" w14:paraId="17C21666" w14:textId="5484A3A2">
      <w:pPr>
        <w:spacing w:after="140" w:line="360" w:lineRule="auto"/>
        <w:jc w:val="both"/>
      </w:pPr>
      <w:r w:rsidRPr="00C43996">
        <w:t xml:space="preserve">Longe de constituir um subproduto acidental dos conflitos, a fome tem sido historicamente mobilizada como tecnologia de poder em diferentes contextos e temporalidades. A imposição de cercos, bloqueios, a apropriação de estoques e a destruição de bases produtivas revelam uma racionalidade política que administra a escassez de forma estratégica, convertendo a privação alimentar em instrumento de coerção (Allen, 1989; Runge; Graham, </w:t>
      </w:r>
      <w:r w:rsidRPr="00DD57F7" w:rsidR="00DD57F7">
        <w:t xml:space="preserve">2020). </w:t>
      </w:r>
      <w:r w:rsidRPr="005C6A8C">
        <w:t xml:space="preserve">O cerco de Cartago (146 a.C.) por Roma exemplifica a tática de sítio de cidades, com bloqueio de suprimentos e destruição dos meios de subsistência, levando à queda e devastação da urbe de modo semelhante, em Jerusalém (70 d.C.), a fome foi empregada deliberadamente como estratégia de desgaste, visando desarticular a resistência política e social até o colapso interno (Lieberman, 2000; </w:t>
      </w:r>
      <w:r>
        <w:t>(</w:t>
      </w:r>
      <w:r w:rsidRPr="005C6A8C">
        <w:t>Allen, 1989). Como afirma Allen (1989, p. 31), “em toda a história da guerra, qualquer nação que tenha estado em posição de matar seu inimigo de fome, o fez”, evidenciando a continuidade desse padrão que se projeta até a crise de Gaza.</w:t>
      </w:r>
    </w:p>
    <w:p w:rsidR="00C43996" w:rsidP="00C43996" w:rsidRDefault="00C43996" w14:paraId="7EC5D4F2" w14:textId="60FB3B1E">
      <w:pPr>
        <w:spacing w:after="140" w:line="360" w:lineRule="auto"/>
        <w:jc w:val="both"/>
      </w:pPr>
      <w:r w:rsidRPr="00465688">
        <w:t>No século XIX, a expansão territorial e o colonialismo incorporaram a fome como arma de submissão. Em territórios hoje compreendidos pelos Estados Unidos, políticas de “terra queimada”, conduzidas pelo Exército, destruíram campos indígenas, provocando fome, deslocamento forçado e consolidação do domínio territorial (Runge; Graham, 2020</w:t>
      </w:r>
      <w:r w:rsidR="00262634">
        <w:t>)</w:t>
      </w:r>
      <w:r w:rsidRPr="00465688">
        <w:t xml:space="preserve">. Na Guerra Civil Americana, práticas associadas à guerra assimétrica, em que forças mais fortes atacam desproporcionalmente as bases logísticas e sociais da resistência, enfraquecendo civis para minar o apoio político, resultaram na destruição de granjas e infraestruturas confederadas (Keegan, 1996; Allen, 1989). Essas estratégias reapareceram em contextos coloniais, integrando a fome aos mecanismos de controle territorial e social, tanto para debilitar o combate quanto para punir bases de apoio político </w:t>
      </w:r>
      <w:r w:rsidR="00262634">
        <w:t>(</w:t>
      </w:r>
      <w:r w:rsidRPr="00465688">
        <w:t xml:space="preserve">De Zwarte, </w:t>
      </w:r>
      <w:r w:rsidR="00262634">
        <w:t>2025</w:t>
      </w:r>
      <w:r w:rsidRPr="00465688">
        <w:t>).</w:t>
      </w:r>
    </w:p>
    <w:p w:rsidRPr="003B72BF" w:rsidR="00262634" w:rsidP="00262634" w:rsidRDefault="00262634" w14:paraId="65A1768F" w14:textId="1F960F91">
      <w:pPr>
        <w:spacing w:after="140" w:line="360" w:lineRule="auto"/>
        <w:jc w:val="both"/>
      </w:pPr>
      <w:r w:rsidRPr="003B72BF">
        <w:t>Na Primeira Guerra Mundial, o bloqueio naval britânico à Alemanha (1914–1918) restringiu de forma sistemática a entrada de alimentos e insumos na Alemanha, provocando fome e desnutrição em massa entre a população civil</w:t>
      </w:r>
      <w:r>
        <w:t>, além de se e</w:t>
      </w:r>
      <w:r w:rsidRPr="003B72BF">
        <w:t>stima</w:t>
      </w:r>
      <w:r>
        <w:t>r</w:t>
      </w:r>
      <w:r w:rsidRPr="003B72BF">
        <w:t xml:space="preserve"> que centenas de milhares de civis tenham morrido por fome e doenças associadas, resultado direto de uma estratégia que seletivamente priorizava a capacidade de guerra sobre a sobrevivência da população civil (</w:t>
      </w:r>
      <w:r w:rsidRPr="003B72BF" w:rsidR="00F65144">
        <w:t>Vincent</w:t>
      </w:r>
      <w:r w:rsidRPr="003B72BF">
        <w:t xml:space="preserve">, 1989; </w:t>
      </w:r>
      <w:r w:rsidRPr="003B72BF" w:rsidR="00F65144">
        <w:t>Osborne</w:t>
      </w:r>
      <w:r w:rsidRPr="003B72BF">
        <w:t>, 2013).</w:t>
      </w:r>
    </w:p>
    <w:p w:rsidRPr="003B72BF" w:rsidR="00262634" w:rsidP="00262634" w:rsidRDefault="00262634" w14:paraId="7E4E3F43" w14:textId="38913C7B">
      <w:pPr>
        <w:spacing w:after="140" w:line="360" w:lineRule="auto"/>
        <w:jc w:val="both"/>
      </w:pPr>
      <w:r w:rsidRPr="003B72BF">
        <w:t>Na</w:t>
      </w:r>
      <w:r w:rsidR="00F65144">
        <w:t xml:space="preserve"> </w:t>
      </w:r>
      <w:r w:rsidRPr="003B72BF">
        <w:t>Segunda Guerra Mundial, a fome ganha novas dimensões, articulando</w:t>
      </w:r>
      <w:r w:rsidRPr="003B72BF">
        <w:noBreakHyphen/>
      </w:r>
      <w:r w:rsidRPr="003B72BF">
        <w:t>se a projetos de extermínio, ocupação e controle demográfico.</w:t>
      </w:r>
    </w:p>
    <w:p w:rsidRPr="003B72BF" w:rsidR="00262634" w:rsidP="00262634" w:rsidRDefault="00262634" w14:paraId="1ADDDC16" w14:textId="1129D18B">
      <w:pPr>
        <w:numPr>
          <w:ilvl w:val="0"/>
          <w:numId w:val="7"/>
        </w:numPr>
        <w:spacing w:after="160" w:line="360" w:lineRule="auto"/>
        <w:jc w:val="both"/>
      </w:pPr>
      <w:r w:rsidRPr="003B72BF">
        <w:t>O</w:t>
      </w:r>
      <w:r w:rsidR="00F65144">
        <w:t xml:space="preserve"> </w:t>
      </w:r>
      <w:r w:rsidRPr="003B72BF">
        <w:t xml:space="preserve">cerco de Leningrado (1941–1944), conduzido pelas forças nazistas, isolou a cidade por mais de 870 dias, com restrição extrema de alimentos, água e combustíveis. </w:t>
      </w:r>
      <w:r>
        <w:t xml:space="preserve">Projeta-se </w:t>
      </w:r>
      <w:r w:rsidRPr="003B72BF">
        <w:t>que cerca de 1,3 a 1,5 milhão de civis tenham morrido, a maioria por fome e frio, em uma das mais devastadoras crises de subsistência urbanas da história (</w:t>
      </w:r>
      <w:r w:rsidR="00EC4409">
        <w:t>Dannenbaum</w:t>
      </w:r>
      <w:r w:rsidRPr="003B72BF">
        <w:t xml:space="preserve">, </w:t>
      </w:r>
      <w:r w:rsidR="00EC4409">
        <w:t>202</w:t>
      </w:r>
      <w:r w:rsidR="001B2A83">
        <w:t>1</w:t>
      </w:r>
      <w:r w:rsidRPr="003B72BF">
        <w:t>).</w:t>
      </w:r>
    </w:p>
    <w:p w:rsidRPr="003B72BF" w:rsidR="00262634" w:rsidP="00262634" w:rsidRDefault="00262634" w14:paraId="4C50FD73" w14:textId="6FB843F9">
      <w:pPr>
        <w:numPr>
          <w:ilvl w:val="0"/>
          <w:numId w:val="7"/>
        </w:numPr>
        <w:spacing w:after="160" w:line="360" w:lineRule="auto"/>
        <w:jc w:val="both"/>
      </w:pPr>
      <w:bookmarkStart w:name="OLE_LINK42" w:id="15"/>
      <w:r w:rsidRPr="000C5ED2">
        <w:t xml:space="preserve">Em guetos e campos de concentração, como o gueto de Varsóvia e o campo de </w:t>
      </w:r>
      <w:r w:rsidRPr="00EC4409">
        <w:rPr>
          <w:i/>
          <w:iCs/>
        </w:rPr>
        <w:t>Auschwitz</w:t>
      </w:r>
      <w:r w:rsidRPr="000C5ED2">
        <w:t>, a desnutrição foi planejada mediante racionamentos abaixo do mínimo biológico, controle de acesso a remédios e destruição de condições de saúde, integrando a fome à lógica de extermínio. Ao mesmo tempo, a política de fome de Hitler na Europa ocupada é descrita como o “</w:t>
      </w:r>
      <w:r w:rsidRPr="000C5ED2">
        <w:rPr>
          <w:i/>
          <w:iCs/>
        </w:rPr>
        <w:t>Hungerplan</w:t>
      </w:r>
      <w:r w:rsidRPr="000C5ED2">
        <w:t>”, que previa a morte por fome de milhões de civis soviéticos para alimentar a máquina de guerra alemã. Aponta-se que cerca de 4,2 milhões de civis tenham morrido por fome/desnutrição ligada ao plano, resultado de confisco de grãos, bloqueios de transporte e seleção rígida entre quem deveria ou não receber comida (</w:t>
      </w:r>
      <w:r w:rsidRPr="000C5ED2" w:rsidR="009662DC">
        <w:t>Gellately</w:t>
      </w:r>
      <w:r w:rsidRPr="000C5ED2">
        <w:t xml:space="preserve">, 2008; </w:t>
      </w:r>
      <w:r w:rsidRPr="000C5ED2" w:rsidR="00EC4409">
        <w:t xml:space="preserve">Runge; Graham, </w:t>
      </w:r>
      <w:r w:rsidRPr="000C5ED2">
        <w:t>2020).</w:t>
      </w:r>
    </w:p>
    <w:bookmarkEnd w:id="15"/>
    <w:p w:rsidR="0023407B" w:rsidP="00095198" w:rsidRDefault="0023407B" w14:paraId="782ECB84" w14:textId="09953AA9">
      <w:pPr>
        <w:spacing w:after="140" w:line="360" w:lineRule="auto"/>
        <w:jc w:val="both"/>
      </w:pPr>
      <w:r w:rsidRPr="0023407B">
        <w:t>No contexto soviético, o Holodomor (Ucrânia, 1932–1933) resulta de políticas de coletivização forçada, confisco de colheitas, restrição de deslocamento e bloqueio de ajuda humanitária, com impacto desproporcional sobre os ucranianos. A perda de população ucraniana atingiu cerca de 3,5 a 4,5 milhões de vidas, ante a fome e ao corte de margens de reposição demográfica, fato que caracteriza o episódio como genocídio ou crime contra a humanidade por fome (</w:t>
      </w:r>
      <w:r w:rsidRPr="0023407B" w:rsidR="009662DC">
        <w:t>Tauger</w:t>
      </w:r>
      <w:r w:rsidRPr="0023407B">
        <w:t xml:space="preserve">, </w:t>
      </w:r>
      <w:r w:rsidR="009662DC">
        <w:t>1991)</w:t>
      </w:r>
      <w:r w:rsidRPr="0023407B">
        <w:t>.</w:t>
      </w:r>
    </w:p>
    <w:p w:rsidRPr="003B72BF" w:rsidR="003B72BF" w:rsidP="00095198" w:rsidRDefault="003B72BF" w14:paraId="21713B1F" w14:textId="77777777">
      <w:pPr>
        <w:spacing w:after="140" w:line="360" w:lineRule="auto"/>
        <w:jc w:val="both"/>
      </w:pPr>
      <w:r w:rsidRPr="003B72BF">
        <w:t>No século XX, a fome como arma de guerra se torna recorrente em conflitos pós</w:t>
      </w:r>
      <w:r w:rsidRPr="003B72BF">
        <w:noBreakHyphen/>
      </w:r>
      <w:r w:rsidRPr="003B72BF">
        <w:t>coloniais e internos.</w:t>
      </w:r>
    </w:p>
    <w:p w:rsidRPr="003B72BF" w:rsidR="003B72BF" w:rsidP="00095198" w:rsidRDefault="003B72BF" w14:paraId="0FF5E8C9" w14:textId="4AABDDA2">
      <w:pPr>
        <w:numPr>
          <w:ilvl w:val="0"/>
          <w:numId w:val="8"/>
        </w:numPr>
        <w:spacing w:after="160" w:line="360" w:lineRule="auto"/>
        <w:jc w:val="both"/>
      </w:pPr>
      <w:r w:rsidRPr="003B72BF">
        <w:t xml:space="preserve">Na Guerra de Biafra (Nigéria, 1967–1970), o governo nigeriano declarou, expressamente, a fome como arma lícita, implementando bloqueios de rotas de abastecimento e controle de entrada de alimentos na região secessionista. </w:t>
      </w:r>
      <w:r w:rsidR="000A6234">
        <w:t xml:space="preserve">O </w:t>
      </w:r>
      <w:r w:rsidRPr="000A6234">
        <w:rPr>
          <w:i/>
          <w:iCs/>
        </w:rPr>
        <w:t>Action Against Hunger</w:t>
      </w:r>
      <w:r w:rsidRPr="003B72BF">
        <w:t> e </w:t>
      </w:r>
      <w:r w:rsidRPr="000A6234">
        <w:rPr>
          <w:i/>
          <w:iCs/>
        </w:rPr>
        <w:t>Nigeria Interim Advisory Council</w:t>
      </w:r>
      <w:r w:rsidRPr="003B72BF">
        <w:t xml:space="preserve">, indicam que entre 1 e 1,5 milhão de civis morreram em três anos, de fome e desnutrição, o que </w:t>
      </w:r>
      <w:r w:rsidR="000C5ED2">
        <w:t xml:space="preserve">tornou </w:t>
      </w:r>
      <w:r w:rsidRPr="003B72BF">
        <w:t xml:space="preserve">Biafra em um dos primeiros símbolos da fome deliberada em cenário de guerra moderna </w:t>
      </w:r>
      <w:r w:rsidR="009662DC">
        <w:t>(</w:t>
      </w:r>
      <w:r w:rsidRPr="003B72BF" w:rsidR="009662DC">
        <w:t>Concern</w:t>
      </w:r>
      <w:r w:rsidRPr="003B72BF">
        <w:t>, 2021).</w:t>
      </w:r>
    </w:p>
    <w:p w:rsidRPr="003B72BF" w:rsidR="003B72BF" w:rsidP="00095198" w:rsidRDefault="003B72BF" w14:paraId="67F0164C" w14:textId="7D7603BE">
      <w:pPr>
        <w:numPr>
          <w:ilvl w:val="0"/>
          <w:numId w:val="8"/>
        </w:numPr>
        <w:spacing w:after="160" w:line="360" w:lineRule="auto"/>
        <w:jc w:val="both"/>
      </w:pPr>
      <w:r w:rsidRPr="003B72BF">
        <w:t>No Camboja sob o regime de Pol Pot (1975–1979), a evacuação de cidades, coletivização forçada e controle rígido de alimentos foram utilizados como instrumentos de controle social e repressão (</w:t>
      </w:r>
      <w:r w:rsidRPr="003B72BF" w:rsidR="009662DC">
        <w:t>Kiernan</w:t>
      </w:r>
      <w:r w:rsidRPr="003B72BF">
        <w:t>, 2008).</w:t>
      </w:r>
      <w:r w:rsidR="000C5ED2">
        <w:t xml:space="preserve"> Denota </w:t>
      </w:r>
      <w:r w:rsidRPr="003B72BF">
        <w:t>que entre 25% e 33% da população tenham morrido no período, com grande parcela das mortes diretamente ligada à fome e à desnutrição extrema</w:t>
      </w:r>
      <w:r w:rsidR="000C5ED2">
        <w:t xml:space="preserve"> </w:t>
      </w:r>
      <w:r w:rsidRPr="003B72BF">
        <w:t>(</w:t>
      </w:r>
      <w:r w:rsidRPr="003B72BF" w:rsidR="009662DC">
        <w:t>Kiernan</w:t>
      </w:r>
      <w:r w:rsidRPr="003B72BF">
        <w:t xml:space="preserve">, 2008; </w:t>
      </w:r>
      <w:r w:rsidRPr="003B72BF" w:rsidR="00262634">
        <w:t>De Zwarte</w:t>
      </w:r>
      <w:r w:rsidRPr="003B72BF">
        <w:t xml:space="preserve">, </w:t>
      </w:r>
      <w:r w:rsidR="00262634">
        <w:t>2025</w:t>
      </w:r>
      <w:r w:rsidRPr="003B72BF">
        <w:t>).</w:t>
      </w:r>
    </w:p>
    <w:p w:rsidR="008D1020" w:rsidP="008D1020" w:rsidRDefault="008D1020" w14:paraId="0B309642" w14:textId="563199D0">
      <w:pPr>
        <w:spacing w:after="140" w:line="360" w:lineRule="auto"/>
        <w:jc w:val="both"/>
      </w:pPr>
      <w:r w:rsidRPr="00465688">
        <w:t xml:space="preserve">Em conflitos africanos, como a Guerra Civil do Sudão (1984–1998) e a guerra no Sudão do Sul (2013–2018), o bloqueio de rotas de ajuda, a destruição de campos agrícolas e a retenção de assistência humanitária configuram o que se denomina fome “fabricada”, na qual as mortes por inanição superam aquelas causadas diretamente por armas de fogo. Nesse contexto, a fome passa a ser compreendida como instrumento político deliberado (De Waal, </w:t>
      </w:r>
      <w:r>
        <w:t>2018</w:t>
      </w:r>
      <w:r w:rsidRPr="00465688">
        <w:t>). Estudos da Hegoa (2021) reforçam esse diagnóstico ao indicar que, no Sudão do Sul, a fome estratégica superou a violência direta em número de mortos: estimativas da ONU e de organizações humanitárias apontam cerca de 383 mil mortes entre 2013 e 2018, sendo aproximadamente metade decorrente de fome e doenças associadas (Hegoa, 2021; Rsilpak, 2022).</w:t>
      </w:r>
    </w:p>
    <w:p w:rsidR="008D1020" w:rsidP="008D1020" w:rsidRDefault="008D1020" w14:paraId="08E0A550" w14:textId="77777777">
      <w:pPr>
        <w:spacing w:after="140" w:line="360" w:lineRule="auto"/>
        <w:jc w:val="both"/>
      </w:pPr>
      <w:r w:rsidR="008D1020">
        <w:rPr/>
        <w:t xml:space="preserve">Na Guerra Civil Síria, </w:t>
      </w:r>
      <w:r w:rsidRPr="69D0BC7B" w:rsidR="008D1020">
        <w:rPr>
          <w:i w:val="1"/>
          <w:iCs w:val="1"/>
        </w:rPr>
        <w:t>Madaya</w:t>
      </w:r>
      <w:r w:rsidR="008D1020">
        <w:rPr/>
        <w:t xml:space="preserve">, cidade próxima a Damasco, tornou-se emblemática após anos de cerco pelas forças governamentais, quando sua população passou a recorrer a folhas e raízes para sobreviver, em meio à restrição de ajuda humanitária, inclusive por parte do Comitê Internacional da Cruz Vermelha (UN–OCHA, 2016; Human Rights Council, 2021). Relatórios da </w:t>
      </w:r>
      <w:r w:rsidRPr="69D0BC7B" w:rsidR="008D1020">
        <w:rPr>
          <w:i w:val="1"/>
          <w:iCs w:val="1"/>
        </w:rPr>
        <w:t>Human Rights Watch</w:t>
      </w:r>
      <w:r w:rsidR="008D1020">
        <w:rPr/>
        <w:t xml:space="preserve"> e do Conselho de Direitos Humanos indicam que entre 400 mil e 4,5 milhões de pessoas viviam, entre 2016 e 2021, em áreas classificadas como de “difícil acesso” ou sob bloqueio (HRW, 2016; HRC, 2021). A expressão “difícil acesso” é frequentemente empregada como eufemismo para evitar a caracterização de “cerco”, dadas suas implicações como crime de guerra (HRC, 2021; HEGOA, 2021).</w:t>
      </w:r>
    </w:p>
    <w:p w:rsidR="003B72BF" w:rsidP="00095198" w:rsidRDefault="008D1020" w14:paraId="56C4EA08" w14:textId="5690A450">
      <w:pPr>
        <w:spacing w:after="140" w:line="360" w:lineRule="auto"/>
        <w:jc w:val="both"/>
      </w:pPr>
      <w:r w:rsidRPr="008D1020">
        <w:t xml:space="preserve">No Iêmen (2015–2018), a </w:t>
      </w:r>
      <w:r w:rsidRPr="008D1020">
        <w:rPr>
          <w:i/>
          <w:iCs/>
        </w:rPr>
        <w:t>World Food Programme</w:t>
      </w:r>
      <w:r w:rsidRPr="008D1020">
        <w:t xml:space="preserve"> (WFP) e a </w:t>
      </w:r>
      <w:r w:rsidRPr="008D1020">
        <w:rPr>
          <w:i/>
          <w:iCs/>
        </w:rPr>
        <w:t>Action Against Hunger</w:t>
      </w:r>
      <w:r w:rsidRPr="008D1020">
        <w:t xml:space="preserve"> </w:t>
      </w:r>
      <w:r>
        <w:t xml:space="preserve">(AAH) </w:t>
      </w:r>
      <w:r w:rsidRPr="008D1020">
        <w:t xml:space="preserve">registraram que bloqueios aeroportuários e portuários, a destruição de infraestruturas agrícolas e os ataques a mercados provocaram uma das maiores crises de fome do século XXI. Em relatórios de 2018 e 2019, essas organizações confirmam o uso deliberado da fome como método de guerra, por meio de bloqueios e da interdição de ajuda (WFP, 2018; </w:t>
      </w:r>
      <w:r>
        <w:t>AAH</w:t>
      </w:r>
      <w:r w:rsidRPr="008D1020">
        <w:t xml:space="preserve">, 2019). Organizações de direitos humanos, como a </w:t>
      </w:r>
      <w:r w:rsidRPr="008D1020">
        <w:rPr>
          <w:i/>
          <w:iCs/>
        </w:rPr>
        <w:t>Human Rights Watch</w:t>
      </w:r>
      <w:r w:rsidRPr="008D1020">
        <w:t>, afirmam que o uso deliberado da fome atenta contra normas do Direito Internacional Humanitário, configurando potenciais crimes de guerra (HRW, 2019</w:t>
      </w:r>
      <w:r w:rsidRPr="003B72BF" w:rsidR="003B72BF">
        <w:t>).</w:t>
      </w:r>
    </w:p>
    <w:p w:rsidRPr="003B72BF" w:rsidR="008D1020" w:rsidP="00095198" w:rsidRDefault="008D1020" w14:paraId="3568E9B7" w14:textId="69150332">
      <w:pPr>
        <w:spacing w:after="140" w:line="360" w:lineRule="auto"/>
        <w:jc w:val="both"/>
      </w:pPr>
      <w:r w:rsidRPr="003B72BF">
        <w:t xml:space="preserve">Na Guerra do Tigré (Etiópia, 2021–2022), </w:t>
      </w:r>
      <w:r w:rsidRPr="00B70C6A">
        <w:t>restrição estatal a alimentos e interdição de corredores humanitários causaram mortes em massa por</w:t>
      </w:r>
      <w:r>
        <w:t xml:space="preserve"> fome.</w:t>
      </w:r>
      <w:r w:rsidRPr="00752697" w:rsidR="00752697">
        <w:t xml:space="preserve"> Weldemichel</w:t>
      </w:r>
      <w:r w:rsidR="00752697">
        <w:t xml:space="preserve"> e Mezgbo (2025)</w:t>
      </w:r>
      <w:r w:rsidRPr="003B72BF">
        <w:t xml:space="preserve"> </w:t>
      </w:r>
      <w:r w:rsidR="00752697">
        <w:t>ressaltam que</w:t>
      </w:r>
      <w:r w:rsidRPr="003B72BF">
        <w:t xml:space="preserve"> a</w:t>
      </w:r>
      <w:r>
        <w:t xml:space="preserve"> </w:t>
      </w:r>
      <w:r w:rsidRPr="003B72BF">
        <w:t>“</w:t>
      </w:r>
      <w:r w:rsidRPr="00752697" w:rsidR="00752697">
        <w:t>a fome foi usada como arma em uma campanha de destruição em Tigray.</w:t>
      </w:r>
      <w:r w:rsidRPr="003B72BF">
        <w:t>”</w:t>
      </w:r>
      <w:r>
        <w:t>.</w:t>
      </w:r>
      <w:r w:rsidRPr="003B72BF">
        <w:t xml:space="preserve"> A Comissão de Inquérito Independente sobre a Etiópia (2022) também confirmou o uso deliberado da fome como instrumento de combate (IPIS, 2021; </w:t>
      </w:r>
      <w:r w:rsidRPr="003B72BF" w:rsidR="00752697">
        <w:t>Human Rights Counci</w:t>
      </w:r>
      <w:r w:rsidR="00752697">
        <w:t>l</w:t>
      </w:r>
      <w:r w:rsidRPr="003B72BF">
        <w:t>, 2021).</w:t>
      </w:r>
    </w:p>
    <w:p w:rsidRPr="003B72BF" w:rsidR="00752697" w:rsidP="00752697" w:rsidRDefault="00752697" w14:paraId="5CBCBB57" w14:textId="18D70827">
      <w:pPr>
        <w:spacing w:after="140" w:line="360" w:lineRule="auto"/>
        <w:jc w:val="both"/>
      </w:pPr>
      <w:r w:rsidRPr="003B72BF">
        <w:t>Na Ucrânia, desde 2022, cidades sitiadas como Mariupol presenciaram</w:t>
      </w:r>
      <w:r>
        <w:t xml:space="preserve"> a</w:t>
      </w:r>
      <w:r w:rsidRPr="003B72BF">
        <w:t xml:space="preserve"> fome extrema devido à destruição de silos, interdição de rotas de abastecimento e cortes de serviços básicos, </w:t>
      </w:r>
      <w:r>
        <w:t xml:space="preserve">apesar de </w:t>
      </w:r>
      <w:r w:rsidRPr="003B72BF">
        <w:t>estoques internos de grãos permanec</w:t>
      </w:r>
      <w:r>
        <w:t>erem</w:t>
      </w:r>
      <w:r w:rsidRPr="003B72BF">
        <w:t xml:space="preserve"> elevados, levando a</w:t>
      </w:r>
      <w:r>
        <w:t xml:space="preserve"> discussão por</w:t>
      </w:r>
      <w:r w:rsidRPr="003B72BF">
        <w:t xml:space="preserve"> governos e organismos internacionais </w:t>
      </w:r>
      <w:r>
        <w:t xml:space="preserve">da </w:t>
      </w:r>
      <w:r w:rsidRPr="003B72BF">
        <w:t>fome estratégica</w:t>
      </w:r>
      <w:r w:rsidR="001B2A83">
        <w:t xml:space="preserve"> </w:t>
      </w:r>
      <w:r w:rsidRPr="003B72BF">
        <w:t>como um projeto de pressão militar, geopolítica e econômica (</w:t>
      </w:r>
      <w:r w:rsidR="001B2A83">
        <w:t>Lusa</w:t>
      </w:r>
      <w:r w:rsidRPr="003B72BF">
        <w:t>, 2022).</w:t>
      </w:r>
    </w:p>
    <w:p w:rsidR="001B2A83" w:rsidP="001B2A83" w:rsidRDefault="00D80AB5" w14:paraId="5E7FF399" w14:textId="334ECB8B">
      <w:pPr>
        <w:spacing w:line="360" w:lineRule="auto"/>
        <w:jc w:val="both"/>
      </w:pPr>
      <w:r w:rsidRPr="00D80AB5">
        <w:t>A "instrumentalização" da comida, água e energia configura a fome como método de guerra, potencial crime de guerra ou genocídio, classificada como "tortura social" que desestrutura sociedades inteiras, não apenas corpos individuais (</w:t>
      </w:r>
      <w:r w:rsidRPr="001B2A83" w:rsidR="001B2A83">
        <w:t>Dannenbaum</w:t>
      </w:r>
      <w:r w:rsidRPr="00D80AB5">
        <w:t>, 202</w:t>
      </w:r>
      <w:r w:rsidR="001B2A83">
        <w:t>1</w:t>
      </w:r>
      <w:r w:rsidRPr="00D80AB5">
        <w:t>). </w:t>
      </w:r>
      <w:r w:rsidR="001B2A83">
        <w:t>Nesse sentido, o</w:t>
      </w:r>
      <w:r w:rsidRPr="00D80AB5" w:rsidR="001B2A83">
        <w:t xml:space="preserve">s bloqueios econômicos e restrições alimentares negam o direito à vida, desdobrando-se em </w:t>
      </w:r>
      <w:r w:rsidR="001B2A83">
        <w:t xml:space="preserve">diversos </w:t>
      </w:r>
      <w:r w:rsidRPr="00D80AB5" w:rsidR="001B2A83">
        <w:t>mecanismos como genocídio, necropolítica da fome e dominação transnacional</w:t>
      </w:r>
      <w:r w:rsidR="001B2A83">
        <w:t xml:space="preserve">, entre </w:t>
      </w:r>
      <w:r w:rsidR="003A37FE">
        <w:t>outros já</w:t>
      </w:r>
      <w:r w:rsidRPr="005451F6" w:rsidR="001B2A83">
        <w:t xml:space="preserve"> mencionado</w:t>
      </w:r>
      <w:r w:rsidR="001B2A83">
        <w:t>s. Do</w:t>
      </w:r>
      <w:r w:rsidRPr="00D80AB5" w:rsidR="001B2A83">
        <w:t xml:space="preserve"> Holodomor </w:t>
      </w:r>
      <w:r w:rsidR="001B2A83">
        <w:t>à</w:t>
      </w:r>
      <w:r w:rsidRPr="00D80AB5" w:rsidR="001B2A83">
        <w:t xml:space="preserve"> Ucrânia, </w:t>
      </w:r>
      <w:r w:rsidR="001B2A83">
        <w:t>tai</w:t>
      </w:r>
      <w:r w:rsidRPr="00D80AB5" w:rsidR="001B2A83">
        <w:t>s padrões</w:t>
      </w:r>
      <w:r w:rsidR="001B2A83">
        <w:t xml:space="preserve">, </w:t>
      </w:r>
      <w:r w:rsidRPr="00D80AB5" w:rsidR="001B2A83">
        <w:t>longe de serem meros efeitos colaterais de crises</w:t>
      </w:r>
      <w:r w:rsidR="001B2A83">
        <w:t xml:space="preserve">, </w:t>
      </w:r>
      <w:r w:rsidRPr="00D80AB5" w:rsidR="001B2A83">
        <w:t>revelam-se deliberados em sociedades contemporâneas como a palestina, destruindo dignidade, autonomia e soberania alimentar dos povos, apesar de normas jurídicas internacionais existentes.</w:t>
      </w:r>
    </w:p>
    <w:p w:rsidR="005A2C10" w:rsidP="00596B75" w:rsidRDefault="005A2C10" w14:paraId="2DF5F514" w14:textId="6DB12ECA">
      <w:pPr>
        <w:spacing w:line="360" w:lineRule="auto"/>
        <w:jc w:val="both"/>
      </w:pPr>
    </w:p>
    <w:p w:rsidR="00156853" w:rsidRDefault="00156853" w14:paraId="5B5FBA97" w14:textId="6B0521BD">
      <w:pPr>
        <w:suppressAutoHyphens/>
        <w:rPr>
          <w:b/>
          <w:color w:val="000000"/>
        </w:rPr>
      </w:pPr>
      <w:r>
        <w:rPr>
          <w:b/>
          <w:color w:val="000000"/>
        </w:rPr>
        <w:br w:type="page"/>
      </w:r>
    </w:p>
    <w:p w:rsidRPr="00596B75" w:rsidR="005A7483" w:rsidP="00596B75" w:rsidRDefault="005A7483" w14:paraId="1FC27195" w14:textId="7EC15ED3">
      <w:pPr>
        <w:spacing w:line="360" w:lineRule="auto"/>
        <w:jc w:val="both"/>
      </w:pPr>
      <w:r>
        <w:rPr>
          <w:b/>
          <w:color w:val="000000"/>
        </w:rPr>
        <w:t>CAPÍTULO 4 IMPACTOS POLÍTICOS, CULTURAIS E SOCIAIS DA RESTRIÇÃO ALIMENTAR EM CONTEXTO DE CRISE</w:t>
      </w:r>
    </w:p>
    <w:p w:rsidR="005A7483" w:rsidP="00095198" w:rsidRDefault="005A7483" w14:paraId="1B555F0E" w14:textId="77777777">
      <w:pPr>
        <w:tabs>
          <w:tab w:val="left" w:pos="620"/>
          <w:tab w:val="left" w:pos="3686"/>
        </w:tabs>
        <w:spacing w:after="100" w:line="360" w:lineRule="auto"/>
        <w:ind w:right="138"/>
        <w:jc w:val="both"/>
      </w:pPr>
    </w:p>
    <w:p w:rsidR="005A7483" w:rsidP="00095198" w:rsidRDefault="005A7483" w14:paraId="00065836" w14:textId="77777777">
      <w:pPr>
        <w:tabs>
          <w:tab w:val="left" w:pos="620"/>
          <w:tab w:val="left" w:pos="3686"/>
        </w:tabs>
        <w:spacing w:after="100" w:line="360" w:lineRule="auto"/>
        <w:ind w:right="138"/>
        <w:jc w:val="both"/>
      </w:pPr>
    </w:p>
    <w:p w:rsidR="005A7483" w:rsidP="00095198" w:rsidRDefault="005A7483" w14:paraId="018C240B" w14:textId="77777777">
      <w:pPr>
        <w:tabs>
          <w:tab w:val="left" w:pos="860"/>
          <w:tab w:val="left" w:pos="3686"/>
        </w:tabs>
        <w:spacing w:after="100" w:line="360" w:lineRule="auto"/>
        <w:jc w:val="both"/>
        <w:rPr>
          <w:color w:val="000000"/>
          <w:spacing w:val="-2"/>
        </w:rPr>
      </w:pPr>
      <w:r>
        <w:rPr>
          <w:color w:val="000000"/>
        </w:rPr>
        <w:t>4.1 CONSEQUÊNCIAS</w:t>
      </w:r>
      <w:r>
        <w:rPr>
          <w:color w:val="000000"/>
          <w:spacing w:val="-1"/>
        </w:rPr>
        <w:t xml:space="preserve"> </w:t>
      </w:r>
      <w:r>
        <w:rPr>
          <w:color w:val="000000"/>
        </w:rPr>
        <w:t>PARA</w:t>
      </w:r>
      <w:r>
        <w:rPr>
          <w:color w:val="000000"/>
          <w:spacing w:val="-1"/>
        </w:rPr>
        <w:t xml:space="preserve"> </w:t>
      </w:r>
      <w:r>
        <w:rPr>
          <w:color w:val="000000"/>
        </w:rPr>
        <w:t>A</w:t>
      </w:r>
      <w:r>
        <w:rPr>
          <w:color w:val="000000"/>
          <w:spacing w:val="-1"/>
        </w:rPr>
        <w:t xml:space="preserve"> </w:t>
      </w:r>
      <w:r>
        <w:rPr>
          <w:color w:val="000000"/>
        </w:rPr>
        <w:t>DIGNIDADE</w:t>
      </w:r>
      <w:r>
        <w:rPr>
          <w:color w:val="000000"/>
          <w:spacing w:val="-1"/>
        </w:rPr>
        <w:t xml:space="preserve"> </w:t>
      </w:r>
      <w:r>
        <w:rPr>
          <w:color w:val="000000"/>
        </w:rPr>
        <w:t>E</w:t>
      </w:r>
      <w:r>
        <w:rPr>
          <w:color w:val="000000"/>
          <w:spacing w:val="-1"/>
        </w:rPr>
        <w:t xml:space="preserve"> </w:t>
      </w:r>
      <w:r>
        <w:rPr>
          <w:color w:val="000000"/>
        </w:rPr>
        <w:t>AUTONOMIA</w:t>
      </w:r>
      <w:r>
        <w:rPr>
          <w:color w:val="000000"/>
          <w:spacing w:val="-1"/>
        </w:rPr>
        <w:t xml:space="preserve"> </w:t>
      </w:r>
      <w:r>
        <w:rPr>
          <w:color w:val="000000"/>
        </w:rPr>
        <w:t>DOS</w:t>
      </w:r>
      <w:r>
        <w:rPr>
          <w:color w:val="000000"/>
          <w:spacing w:val="-1"/>
        </w:rPr>
        <w:t xml:space="preserve"> </w:t>
      </w:r>
      <w:r>
        <w:rPr>
          <w:color w:val="000000"/>
          <w:spacing w:val="-2"/>
        </w:rPr>
        <w:t>POVOS</w:t>
      </w:r>
    </w:p>
    <w:p w:rsidR="005A7483" w:rsidP="00D80D34" w:rsidRDefault="005A7483" w14:paraId="63FBDA2C" w14:textId="77777777">
      <w:pPr>
        <w:tabs>
          <w:tab w:val="left" w:pos="860"/>
          <w:tab w:val="left" w:pos="3686"/>
        </w:tabs>
        <w:spacing w:after="100"/>
        <w:jc w:val="both"/>
        <w:rPr>
          <w:color w:val="000000"/>
          <w:spacing w:val="-2"/>
        </w:rPr>
      </w:pPr>
    </w:p>
    <w:p w:rsidR="005A7483" w:rsidP="00D80D34" w:rsidRDefault="005A7483" w14:paraId="6D928637" w14:textId="77777777">
      <w:pPr>
        <w:tabs>
          <w:tab w:val="left" w:pos="860"/>
          <w:tab w:val="left" w:pos="3686"/>
        </w:tabs>
        <w:spacing w:after="100"/>
        <w:jc w:val="both"/>
      </w:pPr>
    </w:p>
    <w:p w:rsidR="00286A91" w:rsidP="00095198" w:rsidRDefault="00E707FE" w14:paraId="613CFC6C" w14:textId="733C7623">
      <w:pPr>
        <w:spacing w:before="100" w:beforeAutospacing="1" w:after="100" w:afterAutospacing="1" w:line="360" w:lineRule="auto"/>
        <w:jc w:val="both"/>
        <w:rPr>
          <w:color w:val="000000"/>
        </w:rPr>
      </w:pPr>
      <w:r w:rsidRPr="00257BB7">
        <w:rPr>
          <w:color w:val="000000"/>
        </w:rPr>
        <w:t xml:space="preserve">A partir do percurso desenvolvido nos capítulos anteriores, em que se evidenciou o alimento como condição biológica de existência, expressão cultural e eixo de soberania, é possível compreender como a instrumentalização da fome em contextos de crise atinge de forma direta a dignidade e a autonomia coletivas. </w:t>
      </w:r>
      <w:r w:rsidRPr="00286A91" w:rsidR="00286A91">
        <w:rPr>
          <w:color w:val="000000"/>
        </w:rPr>
        <w:t xml:space="preserve">Mesmo em um cenário de elevada capacidade produtiva em escala global, a persistência da fome evidencia que sua compreensão exige deslocar o foco da disponibilidade para os princípios que estruturam a organização social do acesso aos alimentos, os quais se inscrevem em dinâmicas mais amplas de estratificação, regulação e reprodução das desigualdades. Nessa perspectiva, o controle sobre a alimentação deixa de se limitar ao plano biológico e se articula como instrumento de poder, ao produzir sujeição por meio da dependência, em que a continuidade da vida se torna condicionada a decisões externas, frequentemente vinculadas a interesses militares, hegemônicos ou coloniais </w:t>
      </w:r>
      <w:r w:rsidRPr="00B03398" w:rsidR="00286A91">
        <w:rPr>
          <w:color w:val="000000"/>
        </w:rPr>
        <w:t>(</w:t>
      </w:r>
      <w:r w:rsidRPr="00D80D34" w:rsidR="00286A91">
        <w:rPr>
          <w:color w:val="000000"/>
        </w:rPr>
        <w:t>De Waal</w:t>
      </w:r>
      <w:r w:rsidRPr="00B03398" w:rsidR="00286A91">
        <w:rPr>
          <w:color w:val="000000"/>
        </w:rPr>
        <w:t>, 2018</w:t>
      </w:r>
      <w:r w:rsidR="00286A91">
        <w:rPr>
          <w:color w:val="000000"/>
        </w:rPr>
        <w:t>;</w:t>
      </w:r>
      <w:r w:rsidRPr="00B03398" w:rsidR="00286A91">
        <w:rPr>
          <w:color w:val="000000"/>
        </w:rPr>
        <w:t xml:space="preserve"> </w:t>
      </w:r>
      <w:r w:rsidR="00286A91">
        <w:rPr>
          <w:color w:val="000000"/>
        </w:rPr>
        <w:t>Lima</w:t>
      </w:r>
      <w:r w:rsidRPr="00B03398" w:rsidR="00286A91">
        <w:rPr>
          <w:color w:val="000000"/>
        </w:rPr>
        <w:t>, 2021</w:t>
      </w:r>
      <w:r w:rsidR="003A37FE">
        <w:rPr>
          <w:color w:val="000000"/>
        </w:rPr>
        <w:t>).</w:t>
      </w:r>
    </w:p>
    <w:p w:rsidRPr="00257BB7" w:rsidR="00E707FE" w:rsidP="001C613D" w:rsidRDefault="00F029D7" w14:paraId="3AE047B6" w14:textId="45EFA72F">
      <w:pPr>
        <w:spacing w:after="140" w:line="360" w:lineRule="auto"/>
        <w:jc w:val="both"/>
        <w:rPr>
          <w:color w:val="000000"/>
        </w:rPr>
      </w:pPr>
      <w:bookmarkStart w:name="OLE_LINK1" w:id="16"/>
      <w:r w:rsidRPr="00F029D7">
        <w:rPr>
          <w:color w:val="000000"/>
        </w:rPr>
        <w:t>Aqui, autonomia não se reduz à ausência de tutela formal, mas implica a capacidade de um grupo de se definir, sustentar suas narrativas e projetar seu futuro sem se restringir a rótulos externos (</w:t>
      </w:r>
      <w:r w:rsidRPr="00286A91" w:rsidR="00286A91">
        <w:rPr>
          <w:color w:val="000000"/>
        </w:rPr>
        <w:t>Sen</w:t>
      </w:r>
      <w:r w:rsidRPr="00F029D7">
        <w:rPr>
          <w:color w:val="000000"/>
        </w:rPr>
        <w:t>, 2000). Tais sentidos e identidades emergem não só de ideias, mas das práticas que articulam corpos, objetos, espaços e rotinas (</w:t>
      </w:r>
      <w:r w:rsidRPr="00F029D7" w:rsidR="00286A91">
        <w:rPr>
          <w:color w:val="000000"/>
        </w:rPr>
        <w:t>Reckwitz</w:t>
      </w:r>
      <w:r w:rsidRPr="00F029D7">
        <w:rPr>
          <w:color w:val="000000"/>
        </w:rPr>
        <w:t xml:space="preserve">, 2002; </w:t>
      </w:r>
      <w:r w:rsidRPr="00F029D7" w:rsidR="00F519DF">
        <w:rPr>
          <w:color w:val="000000"/>
        </w:rPr>
        <w:t>Schatzki</w:t>
      </w:r>
      <w:r w:rsidRPr="00F029D7">
        <w:rPr>
          <w:color w:val="000000"/>
        </w:rPr>
        <w:t>, 2002).</w:t>
      </w:r>
      <w:r>
        <w:rPr>
          <w:color w:val="000000"/>
        </w:rPr>
        <w:t xml:space="preserve"> </w:t>
      </w:r>
      <w:bookmarkEnd w:id="16"/>
      <w:r w:rsidRPr="00534305" w:rsidR="00534305">
        <w:rPr>
          <w:color w:val="000000"/>
        </w:rPr>
        <w:t>A alimentação constitui um arranjo central por articular o cuidado com o corpo e os vínculos simbólicos que sustentam a vida coletiva, expressos em horários, rituais e práticas de partilha. Em contextos de crise, a restrição alimentar interrompe ou distorce essas dinâmicas: refeições tornam-se filas e esperas, alimentos carregados de memória são substituídos pelo que está disponível, e o ato de comer deixa de expressar identidade para se reduzir, muitas vezes, à tentativa de não sucumbir (</w:t>
      </w:r>
      <w:r w:rsidRPr="00534305" w:rsidR="00BE37D7">
        <w:rPr>
          <w:color w:val="000000"/>
        </w:rPr>
        <w:t>Guerra</w:t>
      </w:r>
      <w:r w:rsidR="00BE37D7">
        <w:rPr>
          <w:color w:val="000000"/>
        </w:rPr>
        <w:t>; Passos,</w:t>
      </w:r>
      <w:r w:rsidRPr="00534305" w:rsidR="00534305">
        <w:rPr>
          <w:color w:val="000000"/>
        </w:rPr>
        <w:t xml:space="preserve"> 2023</w:t>
      </w:r>
      <w:r w:rsidR="00BE37D7">
        <w:rPr>
          <w:color w:val="000000"/>
        </w:rPr>
        <w:t>;</w:t>
      </w:r>
      <w:r w:rsidRPr="00534305" w:rsidR="00534305">
        <w:rPr>
          <w:color w:val="000000"/>
        </w:rPr>
        <w:t xml:space="preserve"> </w:t>
      </w:r>
      <w:r w:rsidR="001C613D">
        <w:rPr>
          <w:color w:val="000000"/>
        </w:rPr>
        <w:t xml:space="preserve">Cabral </w:t>
      </w:r>
      <w:r w:rsidRPr="001C613D" w:rsidR="001C613D">
        <w:rPr>
          <w:i/>
          <w:iCs/>
          <w:color w:val="000000"/>
        </w:rPr>
        <w:t>et. al</w:t>
      </w:r>
      <w:r w:rsidRPr="001C613D" w:rsidR="00534305">
        <w:rPr>
          <w:i/>
          <w:iCs/>
          <w:color w:val="000000"/>
        </w:rPr>
        <w:t>,</w:t>
      </w:r>
      <w:r w:rsidRPr="00534305" w:rsidR="00534305">
        <w:rPr>
          <w:color w:val="000000"/>
        </w:rPr>
        <w:t xml:space="preserve"> 2024</w:t>
      </w:r>
      <w:r w:rsidR="001C613D">
        <w:rPr>
          <w:color w:val="000000"/>
        </w:rPr>
        <w:t>)</w:t>
      </w:r>
      <w:r w:rsidRPr="00534305" w:rsidR="00534305">
        <w:rPr>
          <w:color w:val="000000"/>
        </w:rPr>
        <w:t>.</w:t>
      </w:r>
      <w:r w:rsidR="001C613D">
        <w:rPr>
          <w:color w:val="000000"/>
        </w:rPr>
        <w:t xml:space="preserve"> </w:t>
      </w:r>
      <w:r w:rsidRPr="00257BB7" w:rsidR="00E707FE">
        <w:rPr>
          <w:color w:val="000000"/>
        </w:rPr>
        <w:t>Nessas condições, a autodefinição e a autodeterminação ficam comprometidas porque o povo deixa de se narrar a partir de suas escolhas e tradições e passa a ser definido pela experiência da carência, da urgência e da vulnerabilidade impostas.</w:t>
      </w:r>
    </w:p>
    <w:p w:rsidRPr="00257BB7" w:rsidR="00E707FE" w:rsidP="00095198" w:rsidRDefault="00E707FE" w14:paraId="492BF4C6" w14:textId="3453FBF4">
      <w:pPr>
        <w:spacing w:before="100" w:beforeAutospacing="1" w:after="100" w:afterAutospacing="1" w:line="360" w:lineRule="auto"/>
        <w:jc w:val="both"/>
        <w:rPr>
          <w:color w:val="000000"/>
        </w:rPr>
      </w:pPr>
      <w:r w:rsidRPr="00257BB7">
        <w:rPr>
          <w:color w:val="000000"/>
        </w:rPr>
        <w:t xml:space="preserve">Sob esse prisma, a comida aparece também como linguagem, memória e cultura, enfatizada a partir de sua capacidade de guardar e tensionar disputas de poder. </w:t>
      </w:r>
      <w:r w:rsidR="00F029D7">
        <w:rPr>
          <w:color w:val="000000"/>
        </w:rPr>
        <w:t>T</w:t>
      </w:r>
      <w:r w:rsidRPr="00257BB7">
        <w:rPr>
          <w:color w:val="000000"/>
        </w:rPr>
        <w:t>rata</w:t>
      </w:r>
      <w:r w:rsidR="00F029D7">
        <w:rPr>
          <w:color w:val="000000"/>
        </w:rPr>
        <w:t>r</w:t>
      </w:r>
      <w:r w:rsidRPr="00257BB7">
        <w:rPr>
          <w:color w:val="000000"/>
        </w:rPr>
        <w:t xml:space="preserve"> o alimento como narrativa da memória social e “voz” das identidades mostram que comer é um modo de comunicar pertencimentos, afetos e fronteiras simbólicas, inclusive em contextos de conflito </w:t>
      </w:r>
      <w:r w:rsidRPr="00257BB7" w:rsidR="001C613D">
        <w:rPr>
          <w:color w:val="000000"/>
        </w:rPr>
        <w:t>(</w:t>
      </w:r>
      <w:r w:rsidR="001C613D">
        <w:rPr>
          <w:color w:val="000000"/>
        </w:rPr>
        <w:t>H</w:t>
      </w:r>
      <w:r w:rsidRPr="00257BB7" w:rsidR="001C613D">
        <w:rPr>
          <w:color w:val="000000"/>
        </w:rPr>
        <w:t xml:space="preserve">auck, </w:t>
      </w:r>
      <w:r w:rsidR="00203205">
        <w:rPr>
          <w:color w:val="000000"/>
        </w:rPr>
        <w:t>2025</w:t>
      </w:r>
      <w:r w:rsidRPr="00257BB7" w:rsidR="001C613D">
        <w:rPr>
          <w:color w:val="000000"/>
        </w:rPr>
        <w:t xml:space="preserve">; </w:t>
      </w:r>
      <w:r w:rsidR="001C613D">
        <w:rPr>
          <w:color w:val="000000"/>
        </w:rPr>
        <w:t>A</w:t>
      </w:r>
      <w:r w:rsidRPr="00257BB7" w:rsidR="001C613D">
        <w:rPr>
          <w:color w:val="000000"/>
        </w:rPr>
        <w:t xml:space="preserve">mon; </w:t>
      </w:r>
      <w:r w:rsidR="001C613D">
        <w:rPr>
          <w:color w:val="000000"/>
        </w:rPr>
        <w:t>M</w:t>
      </w:r>
      <w:r w:rsidRPr="00257BB7" w:rsidR="001C613D">
        <w:rPr>
          <w:color w:val="000000"/>
        </w:rPr>
        <w:t xml:space="preserve">enasche, </w:t>
      </w:r>
      <w:r w:rsidR="00203205">
        <w:rPr>
          <w:color w:val="000000"/>
        </w:rPr>
        <w:t>2008</w:t>
      </w:r>
      <w:r w:rsidRPr="00257BB7" w:rsidR="001C613D">
        <w:rPr>
          <w:color w:val="000000"/>
        </w:rPr>
        <w:t>).</w:t>
      </w:r>
      <w:bookmarkStart w:name="OLE_LINK3" w:id="17"/>
      <w:r w:rsidR="001C613D">
        <w:rPr>
          <w:color w:val="000000"/>
        </w:rPr>
        <w:t xml:space="preserve"> </w:t>
      </w:r>
      <w:r w:rsidRPr="00D5149D" w:rsidR="00D5149D">
        <w:rPr>
          <w:color w:val="000000"/>
        </w:rPr>
        <w:t>Impedir um povo de acessar, preparar e partilhar os alimentos que compõem sua memória não produz apenas desnutrição, mas rompe continuidades culturais: o fio que ligava gerações por meio de sabores, técnicas, festas e rituais se rompe, impondo uma espécie de “silenciamento alimentar</w:t>
      </w:r>
      <w:r w:rsidR="00F07AFD">
        <w:rPr>
          <w:color w:val="000000"/>
        </w:rPr>
        <w:t>”</w:t>
      </w:r>
      <w:r w:rsidR="00D5149D">
        <w:rPr>
          <w:color w:val="000000"/>
        </w:rPr>
        <w:t xml:space="preserve"> (</w:t>
      </w:r>
      <w:r w:rsidR="00F07AFD">
        <w:rPr>
          <w:color w:val="000000"/>
        </w:rPr>
        <w:t>Corrêa, 2019</w:t>
      </w:r>
      <w:r w:rsidR="00D5149D">
        <w:rPr>
          <w:color w:val="000000"/>
        </w:rPr>
        <w:t>).</w:t>
      </w:r>
    </w:p>
    <w:bookmarkEnd w:id="17"/>
    <w:p w:rsidRPr="00135109" w:rsidR="00E707FE" w:rsidP="00135109" w:rsidRDefault="00E707FE" w14:paraId="365A19BC" w14:textId="0748A6BD">
      <w:pPr>
        <w:spacing w:before="100" w:beforeAutospacing="1" w:after="100" w:afterAutospacing="1" w:line="360" w:lineRule="auto"/>
        <w:jc w:val="both"/>
        <w:rPr>
          <w:color w:val="000000"/>
        </w:rPr>
      </w:pPr>
      <w:r w:rsidRPr="00135109">
        <w:rPr>
          <w:color w:val="000000"/>
        </w:rPr>
        <w:t>Essa dimensão permite articular o debate com o conceito jurídico de</w:t>
      </w:r>
      <w:r w:rsidR="008410EF">
        <w:rPr>
          <w:color w:val="000000"/>
        </w:rPr>
        <w:t xml:space="preserve"> </w:t>
      </w:r>
      <w:r w:rsidRPr="00135109">
        <w:rPr>
          <w:color w:val="000000"/>
        </w:rPr>
        <w:t>genocídio</w:t>
      </w:r>
      <w:r w:rsidRPr="00135109" w:rsidR="00D84CEF">
        <w:rPr>
          <w:color w:val="000000"/>
        </w:rPr>
        <w:t>, a</w:t>
      </w:r>
      <w:r w:rsidRPr="00135109">
        <w:rPr>
          <w:color w:val="000000"/>
        </w:rPr>
        <w:t xml:space="preserve"> </w:t>
      </w:r>
      <w:r w:rsidRPr="00135109" w:rsidR="00D84CEF">
        <w:rPr>
          <w:color w:val="27251E"/>
        </w:rPr>
        <w:t>submissão intencional de um grupo a condições de existência que possam levar à sua destruição física, total ou parcial</w:t>
      </w:r>
      <w:r w:rsidRPr="00135109" w:rsidR="00D84CEF">
        <w:rPr>
          <w:color w:val="000000"/>
        </w:rPr>
        <w:t xml:space="preserve"> </w:t>
      </w:r>
      <w:r w:rsidRPr="00135109">
        <w:rPr>
          <w:color w:val="000000"/>
        </w:rPr>
        <w:t xml:space="preserve">(ONU, 1948, art. II, c). </w:t>
      </w:r>
      <w:r w:rsidRPr="00BF6108" w:rsidR="00BF6108">
        <w:rPr>
          <w:color w:val="000000"/>
        </w:rPr>
        <w:t xml:space="preserve">Pereira </w:t>
      </w:r>
      <w:r w:rsidR="008410EF">
        <w:rPr>
          <w:color w:val="000000"/>
        </w:rPr>
        <w:t>(</w:t>
      </w:r>
      <w:r w:rsidR="00BF6108">
        <w:rPr>
          <w:color w:val="000000"/>
        </w:rPr>
        <w:t>2025</w:t>
      </w:r>
      <w:r w:rsidR="008410EF">
        <w:rPr>
          <w:color w:val="000000"/>
        </w:rPr>
        <w:t>)</w:t>
      </w:r>
      <w:r w:rsidRPr="00135109">
        <w:rPr>
          <w:color w:val="000000"/>
        </w:rPr>
        <w:t>, ao cunhar o termo, sustentou que o genocídio pode se expressar em múltiplas dimensões sejam elas política, social, cultural, econômica, biológica, física, religiosa e moral</w:t>
      </w:r>
      <w:r w:rsidRPr="00135109" w:rsidR="00D84CEF">
        <w:rPr>
          <w:color w:val="000000"/>
        </w:rPr>
        <w:t xml:space="preserve">, </w:t>
      </w:r>
      <w:r w:rsidRPr="00135109">
        <w:rPr>
          <w:color w:val="000000"/>
        </w:rPr>
        <w:t>por meio de ataques sincronizados destinados a enfraquecer, em conjunto, a vida material e simbólica de um povo. Ainda que a Convenção tenha centrado sua redação na destruição física, parte da doutrina resgata a ideia de genocídio cultural e de etnocídio para designar práticas que buscam destruir língua, religião, instituições e práticas culturais de um grupo, como proibição de uso de idioma, fechamento de escolas e espaços de culto ou eliminação de lugares de memória (</w:t>
      </w:r>
      <w:r w:rsidRPr="00135109" w:rsidR="00203205">
        <w:rPr>
          <w:color w:val="000000"/>
        </w:rPr>
        <w:t>Will</w:t>
      </w:r>
      <w:r w:rsidRPr="00135109">
        <w:rPr>
          <w:color w:val="000000"/>
        </w:rPr>
        <w:t>, 2005). Quando a privação alimentar altera modos de vida, rituais e identidades, a alimentação deixa de ser apenas dimensão biológica e passa a funcionar como vetor de apagamento cultural, aproximando</w:t>
      </w:r>
      <w:r w:rsidRPr="00135109">
        <w:rPr>
          <w:color w:val="000000"/>
        </w:rPr>
        <w:noBreakHyphen/>
      </w:r>
      <w:r w:rsidRPr="00135109">
        <w:rPr>
          <w:color w:val="000000"/>
        </w:rPr>
        <w:t>se dessa lógica de destruição “como tal” do grupo (</w:t>
      </w:r>
      <w:r w:rsidR="00D24DB0">
        <w:rPr>
          <w:color w:val="000000"/>
        </w:rPr>
        <w:t>Rodrigues</w:t>
      </w:r>
      <w:r w:rsidR="00BF6108">
        <w:rPr>
          <w:color w:val="000000"/>
        </w:rPr>
        <w:t>, 20</w:t>
      </w:r>
      <w:r w:rsidR="00D24DB0">
        <w:rPr>
          <w:color w:val="000000"/>
        </w:rPr>
        <w:t>25</w:t>
      </w:r>
      <w:r w:rsidRPr="00135109">
        <w:rPr>
          <w:color w:val="000000"/>
        </w:rPr>
        <w:t>).</w:t>
      </w:r>
    </w:p>
    <w:p w:rsidRPr="00257BB7" w:rsidR="00E707FE" w:rsidP="00095198" w:rsidRDefault="00E707FE" w14:paraId="399A17EA" w14:textId="195DAFA8">
      <w:pPr>
        <w:spacing w:before="100" w:beforeAutospacing="1" w:after="100" w:afterAutospacing="1" w:line="360" w:lineRule="auto"/>
        <w:jc w:val="both"/>
        <w:rPr>
          <w:color w:val="000000"/>
        </w:rPr>
      </w:pPr>
      <w:r w:rsidRPr="00257BB7">
        <w:rPr>
          <w:color w:val="000000"/>
        </w:rPr>
        <w:t>Negar alimentos, bloquear canais de acesso à comida, impor racionamentos desumanos ou promover políticas que produzem insegurança alimentar massiva pode, assim, configurar do ponto de vista jurídico e político, forma de submissão deliberada de grupos a condições de existência incompatíveis com sua continuidade, em consonância com o inciso “c” da Convenção de 1948 (</w:t>
      </w:r>
      <w:r w:rsidR="00AD54D5">
        <w:rPr>
          <w:color w:val="000000"/>
        </w:rPr>
        <w:t>Lemkim, 1944;</w:t>
      </w:r>
      <w:r w:rsidR="00D5149D">
        <w:rPr>
          <w:color w:val="000000"/>
        </w:rPr>
        <w:t xml:space="preserve"> Convenção, 1948</w:t>
      </w:r>
      <w:r w:rsidRPr="00257BB7">
        <w:rPr>
          <w:color w:val="000000"/>
        </w:rPr>
        <w:t xml:space="preserve">). </w:t>
      </w:r>
      <w:r w:rsidRPr="00534305" w:rsidR="00534305">
        <w:rPr>
          <w:color w:val="000000"/>
        </w:rPr>
        <w:t xml:space="preserve">A jurisprudência internacional, a exemplo do Tribunal Penal Internacional para a ex‑Iugoslávia no caso </w:t>
      </w:r>
      <w:r w:rsidRPr="00135109" w:rsidR="00534305">
        <w:rPr>
          <w:color w:val="000000"/>
        </w:rPr>
        <w:t>Srebrenica</w:t>
      </w:r>
      <w:r w:rsidRPr="00534305" w:rsidR="00534305">
        <w:rPr>
          <w:color w:val="000000"/>
        </w:rPr>
        <w:t xml:space="preserve">, reconhece que a destruição de um grupo não se limita a mortes diretas, abrangendo também a imposição de condições de vida incompatíveis com sua sobrevivência física e social, o que permite compreender o genocídio em suas dimensões estruturais e culturais. </w:t>
      </w:r>
      <w:r w:rsidRPr="00257BB7">
        <w:rPr>
          <w:color w:val="000000"/>
        </w:rPr>
        <w:t>(</w:t>
      </w:r>
      <w:r w:rsidR="00135109">
        <w:rPr>
          <w:color w:val="000000"/>
        </w:rPr>
        <w:t>Will</w:t>
      </w:r>
      <w:r w:rsidRPr="00257BB7">
        <w:rPr>
          <w:color w:val="000000"/>
        </w:rPr>
        <w:t>, 2005). Quando a fome é utilizada como parte de um plano coordenado de fragilização e aniquilação, por exemplo, ao destruir sistematicamente estoques, infraestruturas de abastecimento e capacidades de reprodução social, deixa de ser um “efeito colateral” e se afirma como instrumento deliberado de destruição</w:t>
      </w:r>
      <w:r w:rsidR="00D84CEF">
        <w:rPr>
          <w:color w:val="000000"/>
        </w:rPr>
        <w:t xml:space="preserve">, afetando a dignidade, soberania e autodeterminação dos povos </w:t>
      </w:r>
      <w:r w:rsidRPr="00257BB7">
        <w:rPr>
          <w:color w:val="000000"/>
        </w:rPr>
        <w:t>(</w:t>
      </w:r>
      <w:r w:rsidRPr="00257BB7" w:rsidR="00135109">
        <w:rPr>
          <w:color w:val="000000"/>
        </w:rPr>
        <w:t>Guerra</w:t>
      </w:r>
      <w:r w:rsidR="00F56A1B">
        <w:rPr>
          <w:color w:val="000000"/>
        </w:rPr>
        <w:t>;</w:t>
      </w:r>
      <w:r w:rsidRPr="00257BB7">
        <w:rPr>
          <w:color w:val="000000"/>
        </w:rPr>
        <w:t xml:space="preserve"> </w:t>
      </w:r>
      <w:r w:rsidR="00F56A1B">
        <w:rPr>
          <w:color w:val="000000"/>
        </w:rPr>
        <w:t xml:space="preserve">Passos, </w:t>
      </w:r>
      <w:r w:rsidRPr="00257BB7">
        <w:rPr>
          <w:color w:val="000000"/>
        </w:rPr>
        <w:t>2023</w:t>
      </w:r>
      <w:r w:rsidR="00F56A1B">
        <w:rPr>
          <w:color w:val="000000"/>
        </w:rPr>
        <w:t>)</w:t>
      </w:r>
      <w:r w:rsidRPr="00257BB7">
        <w:rPr>
          <w:color w:val="000000"/>
        </w:rPr>
        <w:t>.</w:t>
      </w:r>
    </w:p>
    <w:p w:rsidR="00E707FE" w:rsidP="00095198" w:rsidRDefault="00E707FE" w14:paraId="679444F2" w14:textId="421496BB">
      <w:pPr>
        <w:spacing w:before="100" w:beforeAutospacing="1" w:after="100" w:afterAutospacing="1" w:line="360" w:lineRule="auto"/>
        <w:jc w:val="both"/>
        <w:rPr>
          <w:color w:val="000000"/>
        </w:rPr>
      </w:pPr>
      <w:r w:rsidRPr="00257BB7">
        <w:rPr>
          <w:color w:val="000000"/>
        </w:rPr>
        <w:t>É nesse ponto que conceitos como</w:t>
      </w:r>
      <w:r w:rsidR="002C4CAC">
        <w:rPr>
          <w:color w:val="000000"/>
        </w:rPr>
        <w:t xml:space="preserve"> </w:t>
      </w:r>
      <w:r w:rsidRPr="00257BB7">
        <w:rPr>
          <w:color w:val="000000"/>
        </w:rPr>
        <w:t>nutricídio,</w:t>
      </w:r>
      <w:r w:rsidR="002C4CAC">
        <w:rPr>
          <w:color w:val="000000"/>
        </w:rPr>
        <w:t xml:space="preserve"> </w:t>
      </w:r>
      <w:r w:rsidRPr="00257BB7">
        <w:rPr>
          <w:color w:val="000000"/>
        </w:rPr>
        <w:t>racismo alimentar</w:t>
      </w:r>
      <w:r w:rsidR="002C4CAC">
        <w:rPr>
          <w:color w:val="000000"/>
        </w:rPr>
        <w:t xml:space="preserve"> </w:t>
      </w:r>
      <w:r w:rsidRPr="00257BB7">
        <w:rPr>
          <w:color w:val="000000"/>
        </w:rPr>
        <w:t>e</w:t>
      </w:r>
      <w:r w:rsidR="002C4CAC">
        <w:rPr>
          <w:color w:val="000000"/>
        </w:rPr>
        <w:t xml:space="preserve"> </w:t>
      </w:r>
      <w:r w:rsidRPr="002C4CAC">
        <w:rPr>
          <w:i/>
          <w:iCs/>
          <w:color w:val="000000"/>
        </w:rPr>
        <w:t>apartheid</w:t>
      </w:r>
      <w:r w:rsidRPr="00257BB7">
        <w:rPr>
          <w:color w:val="000000"/>
        </w:rPr>
        <w:t xml:space="preserve"> alimentar ajudam a nomear camadas específicas dessa violência. O termo “nutricídio”, introduzido por Llaila O. Afrika, descreve processos em que a saúde e a vida de determinados grupos são destruídas por meio da manipulação das condições alimentares, com adoecimento, desnutrição ou intoxicação sistemática, seja pela imposição de dietas inadequadas, seja pela negação do direito de escolher o que comer (</w:t>
      </w:r>
      <w:r w:rsidR="00AD54D5">
        <w:rPr>
          <w:color w:val="000000"/>
        </w:rPr>
        <w:t>A</w:t>
      </w:r>
      <w:r w:rsidRPr="00257BB7" w:rsidR="00AD54D5">
        <w:rPr>
          <w:color w:val="000000"/>
        </w:rPr>
        <w:t>frika, 1993</w:t>
      </w:r>
      <w:r w:rsidRPr="00257BB7">
        <w:rPr>
          <w:color w:val="000000"/>
        </w:rPr>
        <w:t xml:space="preserve">). </w:t>
      </w:r>
    </w:p>
    <w:p w:rsidRPr="00257BB7" w:rsidR="00E707FE" w:rsidP="00C579BB" w:rsidRDefault="004A4D75" w14:paraId="3E25E90E" w14:textId="6BA8ACC0">
      <w:pPr>
        <w:spacing w:before="100" w:beforeAutospacing="1" w:after="100" w:afterAutospacing="1" w:line="360" w:lineRule="auto"/>
        <w:jc w:val="both"/>
        <w:rPr>
          <w:color w:val="000000"/>
        </w:rPr>
      </w:pPr>
      <w:r w:rsidRPr="004A4D75">
        <w:rPr>
          <w:color w:val="000000"/>
        </w:rPr>
        <w:t>O conceito vem sendo ampliado para incluir a noção de “genocídio alimentar silencioso</w:t>
      </w:r>
      <w:r w:rsidR="00D24DB0">
        <w:rPr>
          <w:rFonts w:ascii="Georgia" w:hAnsi="Georgia"/>
          <w:color w:val="27251E"/>
        </w:rPr>
        <w:t xml:space="preserve"> </w:t>
      </w:r>
      <w:r w:rsidRPr="00865033" w:rsidR="00865033">
        <w:rPr>
          <w:color w:val="000000"/>
        </w:rPr>
        <w:t>na qual os “determinados grupos” mencionados anteriormente correspondem, em geral, a populações racializadas e vulnerabilizadas</w:t>
      </w:r>
      <w:r w:rsidR="00865033">
        <w:rPr>
          <w:color w:val="000000"/>
        </w:rPr>
        <w:t>.</w:t>
      </w:r>
      <w:r w:rsidRPr="00865033" w:rsidR="00865033">
        <w:rPr>
          <w:color w:val="000000"/>
        </w:rPr>
        <w:t xml:space="preserve"> </w:t>
      </w:r>
      <w:r w:rsidRPr="00257BB7" w:rsidR="00E707FE">
        <w:rPr>
          <w:color w:val="000000"/>
        </w:rPr>
        <w:t>(</w:t>
      </w:r>
      <w:r w:rsidR="007A5B3D">
        <w:rPr>
          <w:color w:val="000000"/>
        </w:rPr>
        <w:t xml:space="preserve">Cabral </w:t>
      </w:r>
      <w:r w:rsidRPr="001C613D" w:rsidR="007A5B3D">
        <w:rPr>
          <w:i/>
          <w:iCs/>
          <w:color w:val="000000"/>
        </w:rPr>
        <w:t>et. al,</w:t>
      </w:r>
      <w:r w:rsidRPr="00534305" w:rsidR="007A5B3D">
        <w:rPr>
          <w:color w:val="000000"/>
        </w:rPr>
        <w:t xml:space="preserve"> 2024</w:t>
      </w:r>
      <w:r w:rsidRPr="00257BB7" w:rsidR="00E707FE">
        <w:rPr>
          <w:color w:val="000000"/>
        </w:rPr>
        <w:t xml:space="preserve">; </w:t>
      </w:r>
      <w:r w:rsidR="006839F3">
        <w:rPr>
          <w:color w:val="000000"/>
        </w:rPr>
        <w:t>Santos</w:t>
      </w:r>
      <w:r w:rsidRPr="00257BB7" w:rsidR="00E707FE">
        <w:rPr>
          <w:color w:val="000000"/>
        </w:rPr>
        <w:t xml:space="preserve">, </w:t>
      </w:r>
      <w:r w:rsidR="006839F3">
        <w:rPr>
          <w:color w:val="000000"/>
        </w:rPr>
        <w:t>2025</w:t>
      </w:r>
      <w:r w:rsidR="00D24DB0">
        <w:rPr>
          <w:color w:val="000000"/>
        </w:rPr>
        <w:t>)</w:t>
      </w:r>
      <w:r w:rsidR="00C579BB">
        <w:rPr>
          <w:color w:val="000000"/>
        </w:rPr>
        <w:t xml:space="preserve"> </w:t>
      </w:r>
      <w:r w:rsidRPr="004A4D75">
        <w:rPr>
          <w:color w:val="000000"/>
        </w:rPr>
        <w:t>O racismo alimentar configura-se como forma de exclusão social organizada a partir da distribuição diferencial do acesso a alimentos, evidenciando que sua privação ou precarização não ocorre de modo neutro, mas recai com maior intensidade sobre grupos marcados por estigmas étnicos, raciais ou nacionais, produzindo uma gestão seletiva da fome conforme a pertença identitária, e não apenas em função de renda ou localização geográfica (</w:t>
      </w:r>
      <w:r w:rsidR="006839F3">
        <w:rPr>
          <w:color w:val="000000"/>
        </w:rPr>
        <w:t>Xavier</w:t>
      </w:r>
      <w:r w:rsidRPr="004A4D75">
        <w:rPr>
          <w:color w:val="000000"/>
        </w:rPr>
        <w:t xml:space="preserve">, 2024; </w:t>
      </w:r>
      <w:r w:rsidR="007A5B3D">
        <w:rPr>
          <w:color w:val="000000"/>
        </w:rPr>
        <w:t xml:space="preserve">Cabral </w:t>
      </w:r>
      <w:r w:rsidRPr="001C613D" w:rsidR="007A5B3D">
        <w:rPr>
          <w:i/>
          <w:iCs/>
          <w:color w:val="000000"/>
        </w:rPr>
        <w:t>et. al,</w:t>
      </w:r>
      <w:r w:rsidRPr="00534305" w:rsidR="007A5B3D">
        <w:rPr>
          <w:color w:val="000000"/>
        </w:rPr>
        <w:t xml:space="preserve"> 2024</w:t>
      </w:r>
      <w:r w:rsidRPr="004A4D75">
        <w:rPr>
          <w:color w:val="000000"/>
        </w:rPr>
        <w:t xml:space="preserve">; </w:t>
      </w:r>
      <w:r w:rsidRPr="004A4D75" w:rsidR="00D24DB0">
        <w:rPr>
          <w:color w:val="000000"/>
        </w:rPr>
        <w:t xml:space="preserve">Pacto Contra </w:t>
      </w:r>
      <w:r w:rsidR="00E7686B">
        <w:rPr>
          <w:color w:val="000000"/>
        </w:rPr>
        <w:t>a</w:t>
      </w:r>
      <w:r w:rsidRPr="004A4D75" w:rsidR="00D24DB0">
        <w:rPr>
          <w:color w:val="000000"/>
        </w:rPr>
        <w:t xml:space="preserve"> Fome</w:t>
      </w:r>
      <w:r w:rsidRPr="004A4D75">
        <w:rPr>
          <w:color w:val="000000"/>
        </w:rPr>
        <w:t>, 2025).</w:t>
      </w:r>
      <w:r>
        <w:rPr>
          <w:color w:val="000000"/>
        </w:rPr>
        <w:t xml:space="preserve"> </w:t>
      </w:r>
      <w:r w:rsidRPr="00C579BB" w:rsidR="00C579BB">
        <w:rPr>
          <w:color w:val="000000"/>
        </w:rPr>
        <w:t xml:space="preserve">Nessa ótica, a fome pode ser lida como gestão seletiva da escassez, que empurra certos grupos à pobreza alimentar extrema enquanto preserva, para outros, condições de abundância e segurança alimentar e nutricional. Essa segregação se aproxima do que se tem denominado </w:t>
      </w:r>
      <w:r w:rsidRPr="00C579BB" w:rsidR="00C579BB">
        <w:rPr>
          <w:i/>
          <w:iCs/>
          <w:color w:val="000000"/>
        </w:rPr>
        <w:t xml:space="preserve">apartheid </w:t>
      </w:r>
      <w:r w:rsidRPr="00C579BB" w:rsidR="00C579BB">
        <w:rPr>
          <w:color w:val="000000"/>
        </w:rPr>
        <w:t xml:space="preserve">alimentar: regimes paralelos de acesso à comida, com um padrão de proteção e abundância para grupos </w:t>
      </w:r>
      <w:r w:rsidRPr="006839F3" w:rsidR="00C579BB">
        <w:rPr>
          <w:i/>
          <w:iCs/>
          <w:color w:val="000000"/>
        </w:rPr>
        <w:t>“in-group”</w:t>
      </w:r>
      <w:r w:rsidRPr="00C579BB" w:rsidR="00C579BB">
        <w:rPr>
          <w:color w:val="000000"/>
        </w:rPr>
        <w:t xml:space="preserve"> e outro de exclusão, racionamento e dependência humanitária para grupos marcados como </w:t>
      </w:r>
      <w:r w:rsidRPr="00D24DB0" w:rsidR="00C579BB">
        <w:rPr>
          <w:i/>
          <w:iCs/>
          <w:color w:val="000000"/>
        </w:rPr>
        <w:t>“out-group”,</w:t>
      </w:r>
      <w:r w:rsidRPr="00C579BB" w:rsidR="00C579BB">
        <w:rPr>
          <w:color w:val="000000"/>
        </w:rPr>
        <w:t xml:space="preserve"> muitas vezes racializados, cada um em seus respectivos lugares, reforçando — e preparando — formas mais amplas de </w:t>
      </w:r>
      <w:r w:rsidRPr="00D24DB0" w:rsidR="00C579BB">
        <w:rPr>
          <w:i/>
          <w:iCs/>
          <w:color w:val="000000"/>
        </w:rPr>
        <w:t>apartheid</w:t>
      </w:r>
      <w:r w:rsidRPr="00C579BB" w:rsidR="00C579BB">
        <w:rPr>
          <w:color w:val="000000"/>
        </w:rPr>
        <w:t xml:space="preserve"> social, territorial e político</w:t>
      </w:r>
      <w:r w:rsidR="00C579BB">
        <w:rPr>
          <w:color w:val="000000"/>
        </w:rPr>
        <w:t xml:space="preserve"> (</w:t>
      </w:r>
      <w:r w:rsidR="00882F96">
        <w:rPr>
          <w:color w:val="000000"/>
        </w:rPr>
        <w:t>Paula, 2023</w:t>
      </w:r>
      <w:r w:rsidRPr="00C579BB" w:rsidR="00C579BB">
        <w:rPr>
          <w:color w:val="000000"/>
        </w:rPr>
        <w:t xml:space="preserve">; </w:t>
      </w:r>
      <w:r w:rsidRPr="00C579BB" w:rsidR="00882F96">
        <w:rPr>
          <w:color w:val="000000"/>
        </w:rPr>
        <w:t xml:space="preserve">Pacto Contra </w:t>
      </w:r>
      <w:r w:rsidR="00882F96">
        <w:rPr>
          <w:color w:val="000000"/>
        </w:rPr>
        <w:t>a</w:t>
      </w:r>
      <w:r w:rsidRPr="00C579BB" w:rsidR="00882F96">
        <w:rPr>
          <w:color w:val="000000"/>
        </w:rPr>
        <w:t xml:space="preserve"> Fome</w:t>
      </w:r>
      <w:r w:rsidRPr="00C579BB" w:rsidR="00C579BB">
        <w:rPr>
          <w:color w:val="000000"/>
        </w:rPr>
        <w:t xml:space="preserve">, 2025; </w:t>
      </w:r>
      <w:r w:rsidR="001C00A6">
        <w:rPr>
          <w:color w:val="000000"/>
        </w:rPr>
        <w:t>Lima</w:t>
      </w:r>
      <w:r w:rsidRPr="00C579BB" w:rsidR="00C579BB">
        <w:rPr>
          <w:color w:val="000000"/>
        </w:rPr>
        <w:t>, 2021).</w:t>
      </w:r>
      <w:r w:rsidR="00C579BB">
        <w:rPr>
          <w:color w:val="000000"/>
        </w:rPr>
        <w:t xml:space="preserve"> </w:t>
      </w:r>
      <w:r w:rsidRPr="00257BB7" w:rsidR="00E707FE">
        <w:rPr>
          <w:color w:val="000000"/>
        </w:rPr>
        <w:t>Em contextos de crise, a fome como arma aprofunda essa separação, marcando quem é incluído na esfera de proteção e quem é deliberadamente abandonado.</w:t>
      </w:r>
    </w:p>
    <w:p w:rsidRPr="00A25C6F" w:rsidR="00A25C6F" w:rsidP="00A25C6F" w:rsidRDefault="00A25C6F" w14:paraId="6A7921ED" w14:textId="5F1351F3">
      <w:pPr>
        <w:spacing w:before="100" w:beforeAutospacing="1" w:after="100" w:afterAutospacing="1" w:line="360" w:lineRule="auto"/>
        <w:jc w:val="both"/>
        <w:rPr>
          <w:color w:val="000000"/>
        </w:rPr>
      </w:pPr>
      <w:r w:rsidRPr="00A25C6F">
        <w:rPr>
          <w:color w:val="000000"/>
        </w:rPr>
        <w:t xml:space="preserve">No contexto palestino, o racismo alimentar se manifesta de forma estrutural nas políticas de controle da terra, do bloqueio de fronteiras e da restrição de insumos agrícolas, que recaem seletivamente sobre a população palestina, majoritariamente de origem árabe historicamente racializada, em meio a processos de segregação, islamofobia e dominação colonial, e não sobre a cidadania israelense de Estado (Anistia Internacional, 2025; IHU, 2025; </w:t>
      </w:r>
      <w:r w:rsidR="00042F86">
        <w:rPr>
          <w:color w:val="000000"/>
        </w:rPr>
        <w:t>Sahd</w:t>
      </w:r>
      <w:r w:rsidRPr="00A25C6F">
        <w:rPr>
          <w:color w:val="000000"/>
        </w:rPr>
        <w:t xml:space="preserve">, 2021). O embargo à Faixa de Gaza, a destruição de terras agrícolas, poços de água e infraestruturas de produção, somados à proibição de alimentos perecíveis e de itens da cultura alimentar tradicional, configuram uma gestão deliberada que submete um grupo étnico a condições incompatíveis com sua sobrevivência coletiva, nos termos do art. II, inciso c, da Convenção sobre Prevenção e Punição do Crime de Genocídio (United Nations, 1948). Ao mesmo tempo, pratos palestinos como </w:t>
      </w:r>
      <w:r w:rsidRPr="002C4CAC">
        <w:rPr>
          <w:i/>
          <w:iCs/>
          <w:color w:val="000000"/>
        </w:rPr>
        <w:t xml:space="preserve">falafel, homus </w:t>
      </w:r>
      <w:r w:rsidRPr="002C4CAC">
        <w:rPr>
          <w:color w:val="000000"/>
        </w:rPr>
        <w:t>e</w:t>
      </w:r>
      <w:r w:rsidRPr="002C4CAC">
        <w:rPr>
          <w:i/>
          <w:iCs/>
          <w:color w:val="000000"/>
        </w:rPr>
        <w:t xml:space="preserve"> maqluba</w:t>
      </w:r>
      <w:r w:rsidRPr="00A25C6F">
        <w:rPr>
          <w:color w:val="000000"/>
        </w:rPr>
        <w:t xml:space="preserve"> são apropriados como parte da “gastronomia israelense”, reforçando o apagamento identitário e a negação de pertencimento alimentar aos palestinos, em consonância com a lógica de racismo alimentar e </w:t>
      </w:r>
      <w:r w:rsidRPr="002C4CAC">
        <w:rPr>
          <w:i/>
          <w:iCs/>
          <w:color w:val="000000"/>
        </w:rPr>
        <w:t>apartheid</w:t>
      </w:r>
      <w:r w:rsidRPr="00A25C6F">
        <w:rPr>
          <w:color w:val="000000"/>
        </w:rPr>
        <w:t xml:space="preserve"> alimentar (</w:t>
      </w:r>
      <w:r w:rsidR="002C4CAC">
        <w:rPr>
          <w:color w:val="000000"/>
        </w:rPr>
        <w:t>Reis e Ramalho, 2026</w:t>
      </w:r>
      <w:r w:rsidRPr="00A25C6F">
        <w:rPr>
          <w:color w:val="000000"/>
        </w:rPr>
        <w:t xml:space="preserve">). Em termos concretos, organizações de direitos humanos relatam que, nos campos de deslocados em Gaza, grande parte da população não consome há longo tempo ovos, carne, peixe, tomate ou frutas, enquanto, a poucos quilômetros dali, na porção israelense do território, a cadeia de abastecimento continua operando sem restrições equivalentes (IPC, 2025; ONU, 2025; </w:t>
      </w:r>
      <w:r w:rsidRPr="00E7686B" w:rsidR="00E7686B">
        <w:rPr>
          <w:color w:val="000000"/>
        </w:rPr>
        <w:t>Amnesty International,</w:t>
      </w:r>
      <w:r w:rsidRPr="00A25C6F" w:rsidR="00E7686B">
        <w:rPr>
          <w:color w:val="000000"/>
        </w:rPr>
        <w:t xml:space="preserve"> </w:t>
      </w:r>
      <w:r w:rsidRPr="00A25C6F">
        <w:rPr>
          <w:color w:val="000000"/>
        </w:rPr>
        <w:t>2025). Esse contraste evidencia a seletividade racial e territorial na distribuição da comida, já que a população palestina em Gaza e nos territórios ocupados é submetida a um padrão alimentar restrito, baseado em cereais, água contaminada e rações homogêneas, muitas vezes ultraprocessadas, incompatíveis com suas práticas culturais e com suas necessidades nutricionais básicas. (</w:t>
      </w:r>
      <w:r w:rsidR="007A5B3D">
        <w:rPr>
          <w:color w:val="000000"/>
        </w:rPr>
        <w:t xml:space="preserve">Cabral </w:t>
      </w:r>
      <w:r w:rsidRPr="001C613D" w:rsidR="007A5B3D">
        <w:rPr>
          <w:i/>
          <w:iCs/>
          <w:color w:val="000000"/>
        </w:rPr>
        <w:t>et. al,</w:t>
      </w:r>
      <w:r w:rsidRPr="00534305" w:rsidR="007A5B3D">
        <w:rPr>
          <w:color w:val="000000"/>
        </w:rPr>
        <w:t xml:space="preserve"> 2024</w:t>
      </w:r>
      <w:r w:rsidRPr="00A25C6F">
        <w:rPr>
          <w:color w:val="000000"/>
        </w:rPr>
        <w:t xml:space="preserve">; </w:t>
      </w:r>
      <w:r w:rsidRPr="00A25C6F" w:rsidR="00E7686B">
        <w:rPr>
          <w:color w:val="000000"/>
        </w:rPr>
        <w:t xml:space="preserve">Pacto Contra </w:t>
      </w:r>
      <w:r w:rsidR="00E7686B">
        <w:rPr>
          <w:color w:val="000000"/>
        </w:rPr>
        <w:t>a</w:t>
      </w:r>
      <w:r w:rsidRPr="00A25C6F" w:rsidR="00E7686B">
        <w:rPr>
          <w:color w:val="000000"/>
        </w:rPr>
        <w:t xml:space="preserve"> Fome</w:t>
      </w:r>
      <w:r w:rsidRPr="00A25C6F">
        <w:rPr>
          <w:color w:val="000000"/>
        </w:rPr>
        <w:t>, 2025). A fome, nesse contexto, afirma</w:t>
      </w:r>
      <w:r w:rsidRPr="00A25C6F">
        <w:rPr>
          <w:color w:val="000000"/>
        </w:rPr>
        <w:noBreakHyphen/>
      </w:r>
      <w:r w:rsidRPr="00A25C6F">
        <w:rPr>
          <w:color w:val="000000"/>
        </w:rPr>
        <w:t>se como dispositivo de controle territorial e de exclusão de grupos racializados, aproximando</w:t>
      </w:r>
      <w:r w:rsidRPr="00A25C6F">
        <w:rPr>
          <w:color w:val="000000"/>
        </w:rPr>
        <w:noBreakHyphen/>
      </w:r>
      <w:r w:rsidRPr="00A25C6F">
        <w:rPr>
          <w:color w:val="000000"/>
        </w:rPr>
        <w:t xml:space="preserve">se do que Anistia Internacional e diversos estudos como o </w:t>
      </w:r>
      <w:r w:rsidRPr="00A25C6F">
        <w:rPr>
          <w:i/>
          <w:iCs/>
          <w:color w:val="000000"/>
        </w:rPr>
        <w:t>“Apartheid, International Law, and the Occupied Palestinian Territory”</w:t>
      </w:r>
      <w:r w:rsidRPr="00A25C6F">
        <w:rPr>
          <w:color w:val="000000"/>
        </w:rPr>
        <w:t xml:space="preserve"> nomeiam como </w:t>
      </w:r>
      <w:r w:rsidRPr="00E7686B">
        <w:rPr>
          <w:i/>
          <w:iCs/>
          <w:color w:val="000000"/>
        </w:rPr>
        <w:t>apartheid</w:t>
      </w:r>
      <w:r w:rsidRPr="00A25C6F">
        <w:rPr>
          <w:color w:val="000000"/>
        </w:rPr>
        <w:t xml:space="preserve"> de Israel contra os palestinos (</w:t>
      </w:r>
      <w:r w:rsidRPr="00E7686B" w:rsidR="00E7686B">
        <w:rPr>
          <w:color w:val="000000"/>
        </w:rPr>
        <w:t>Amnesty International,</w:t>
      </w:r>
      <w:r w:rsidRPr="00A25C6F" w:rsidR="00E7686B">
        <w:rPr>
          <w:color w:val="000000"/>
        </w:rPr>
        <w:t xml:space="preserve"> 2025</w:t>
      </w:r>
      <w:r w:rsidRPr="00A25C6F">
        <w:rPr>
          <w:color w:val="000000"/>
        </w:rPr>
        <w:t>; IHU, 2025).</w:t>
      </w:r>
    </w:p>
    <w:p w:rsidRPr="00257BB7" w:rsidR="00E707FE" w:rsidP="00095198" w:rsidRDefault="00E707FE" w14:paraId="529ED805" w14:textId="0B3873F6">
      <w:pPr>
        <w:spacing w:before="100" w:beforeAutospacing="1" w:after="100" w:afterAutospacing="1" w:line="360" w:lineRule="auto"/>
        <w:jc w:val="both"/>
        <w:rPr>
          <w:color w:val="000000"/>
        </w:rPr>
      </w:pPr>
      <w:r w:rsidRPr="00257BB7">
        <w:rPr>
          <w:color w:val="000000"/>
        </w:rPr>
        <w:t xml:space="preserve">A fala pública do então Ministro da Defesa </w:t>
      </w:r>
      <w:r>
        <w:rPr>
          <w:color w:val="000000"/>
        </w:rPr>
        <w:t>I</w:t>
      </w:r>
      <w:r w:rsidRPr="00257BB7">
        <w:rPr>
          <w:color w:val="000000"/>
        </w:rPr>
        <w:t xml:space="preserve">sraelense, </w:t>
      </w:r>
      <w:r w:rsidRPr="00E7686B">
        <w:rPr>
          <w:i/>
          <w:iCs/>
          <w:color w:val="000000"/>
        </w:rPr>
        <w:t>Yoav Gallant</w:t>
      </w:r>
      <w:r w:rsidRPr="00257BB7">
        <w:rPr>
          <w:color w:val="000000"/>
        </w:rPr>
        <w:t xml:space="preserve">, explicita essa intencionalidade segregadora no plano alimentar: ao anunciar o “cerco total” à Faixa de Gaza, declarou que </w:t>
      </w:r>
      <w:r w:rsidRPr="00A355E4">
        <w:rPr>
          <w:color w:val="000000"/>
        </w:rPr>
        <w:t xml:space="preserve">“não haverá eletricidade, não haverá comida, não haverá combustível, tudo está fechado” </w:t>
      </w:r>
      <w:r w:rsidRPr="000011AE" w:rsidR="00A355E4">
        <w:rPr>
          <w:color w:val="000000"/>
        </w:rPr>
        <w:t>(</w:t>
      </w:r>
      <w:r w:rsidRPr="00C42822" w:rsidR="00E851C3">
        <w:rPr>
          <w:color w:val="000000"/>
        </w:rPr>
        <w:t>Bubola</w:t>
      </w:r>
      <w:r w:rsidRPr="000011AE" w:rsidR="00E851C3">
        <w:rPr>
          <w:color w:val="000000"/>
        </w:rPr>
        <w:t xml:space="preserve">; </w:t>
      </w:r>
      <w:r w:rsidR="00E851C3">
        <w:rPr>
          <w:color w:val="000000"/>
        </w:rPr>
        <w:t>Hubbard</w:t>
      </w:r>
      <w:r w:rsidRPr="000011AE" w:rsidR="00A355E4">
        <w:rPr>
          <w:color w:val="000000"/>
        </w:rPr>
        <w:t>, 2023</w:t>
      </w:r>
      <w:r w:rsidR="00E851C3">
        <w:rPr>
          <w:color w:val="000000"/>
        </w:rPr>
        <w:t>, pág.1</w:t>
      </w:r>
      <w:r w:rsidRPr="000011AE" w:rsidR="00A355E4">
        <w:rPr>
          <w:color w:val="000000"/>
        </w:rPr>
        <w:t>)</w:t>
      </w:r>
      <w:r w:rsidR="00A355E4">
        <w:rPr>
          <w:color w:val="000000"/>
        </w:rPr>
        <w:t xml:space="preserve">, </w:t>
      </w:r>
      <w:r w:rsidRPr="00257BB7">
        <w:rPr>
          <w:color w:val="000000"/>
        </w:rPr>
        <w:t>combinando o bloqueio integral de insumos básicos com uma retórica que desumaniza a população palestina, tratada como “animais humanos” em combate (</w:t>
      </w:r>
      <w:r w:rsidR="00E851C3">
        <w:rPr>
          <w:color w:val="000000"/>
        </w:rPr>
        <w:t>Buss; Kastrup; Burguer, 2024, pág. 33</w:t>
      </w:r>
      <w:r w:rsidRPr="00257BB7">
        <w:rPr>
          <w:color w:val="000000"/>
        </w:rPr>
        <w:t xml:space="preserve">). Essa política de fome como instrumento de dominação, articulada a restrições de movimento, fragmentação territorial e desmantelamento de infraestruturas, agrava a insegurança alimentar e refaz a experiência de pertencimento étnico, submetendo a comunidade palestina a uma existência de escassez e exposição seletiva à morte lenta, em consonância com as noções de genocídio, nutricídio, racismo alimentar e </w:t>
      </w:r>
      <w:r w:rsidRPr="00BF3118">
        <w:rPr>
          <w:i/>
          <w:iCs/>
          <w:color w:val="000000"/>
        </w:rPr>
        <w:t>apartheid</w:t>
      </w:r>
      <w:r w:rsidRPr="00257BB7">
        <w:rPr>
          <w:color w:val="000000"/>
        </w:rPr>
        <w:t xml:space="preserve"> alimentar exploradas neste capítulo (</w:t>
      </w:r>
      <w:r w:rsidR="00D24DB0">
        <w:rPr>
          <w:color w:val="000000"/>
        </w:rPr>
        <w:t>Rodrigues, 2025</w:t>
      </w:r>
      <w:r w:rsidRPr="00257BB7">
        <w:rPr>
          <w:color w:val="000000"/>
        </w:rPr>
        <w:t xml:space="preserve">; </w:t>
      </w:r>
      <w:r w:rsidR="006839F3">
        <w:rPr>
          <w:color w:val="000000"/>
        </w:rPr>
        <w:t>Xavier</w:t>
      </w:r>
      <w:r w:rsidRPr="004A4D75" w:rsidR="006839F3">
        <w:rPr>
          <w:color w:val="000000"/>
        </w:rPr>
        <w:t>, 2024</w:t>
      </w:r>
      <w:r w:rsidRPr="00257BB7">
        <w:rPr>
          <w:color w:val="000000"/>
        </w:rPr>
        <w:t xml:space="preserve">; </w:t>
      </w:r>
      <w:r w:rsidRPr="00257BB7" w:rsidR="00B22BBC">
        <w:rPr>
          <w:color w:val="000000"/>
        </w:rPr>
        <w:t xml:space="preserve">Pacto Contra </w:t>
      </w:r>
      <w:r w:rsidR="00B22BBC">
        <w:rPr>
          <w:color w:val="000000"/>
        </w:rPr>
        <w:t>a</w:t>
      </w:r>
      <w:r w:rsidRPr="00257BB7" w:rsidR="00B22BBC">
        <w:rPr>
          <w:color w:val="000000"/>
        </w:rPr>
        <w:t xml:space="preserve"> Fome</w:t>
      </w:r>
      <w:r w:rsidRPr="00257BB7">
        <w:rPr>
          <w:color w:val="000000"/>
        </w:rPr>
        <w:t xml:space="preserve">, 2025; </w:t>
      </w:r>
      <w:r w:rsidR="001C00A6">
        <w:rPr>
          <w:color w:val="000000"/>
        </w:rPr>
        <w:t>Lima</w:t>
      </w:r>
      <w:r w:rsidRPr="00257BB7">
        <w:rPr>
          <w:color w:val="000000"/>
        </w:rPr>
        <w:t>, 2021).</w:t>
      </w:r>
    </w:p>
    <w:p w:rsidRPr="00BE37D7" w:rsidR="00E707FE" w:rsidP="00095198" w:rsidRDefault="00E707FE" w14:paraId="32D22896" w14:textId="2D680415">
      <w:pPr>
        <w:spacing w:before="100" w:beforeAutospacing="1" w:after="100" w:afterAutospacing="1" w:line="360" w:lineRule="auto"/>
        <w:jc w:val="both"/>
        <w:rPr>
          <w:color w:val="000000"/>
        </w:rPr>
      </w:pPr>
      <w:r w:rsidRPr="00257BB7">
        <w:rPr>
          <w:color w:val="000000"/>
        </w:rPr>
        <w:t>A partir dessa perspectiva, torna</w:t>
      </w:r>
      <w:r w:rsidRPr="00257BB7">
        <w:rPr>
          <w:color w:val="000000"/>
        </w:rPr>
        <w:noBreakHyphen/>
      </w:r>
      <w:r w:rsidRPr="00257BB7">
        <w:rPr>
          <w:color w:val="000000"/>
        </w:rPr>
        <w:t>se possível compreender a fome na Palestina não apenas como privação calórica, mas como</w:t>
      </w:r>
      <w:r w:rsidR="00BF3118">
        <w:rPr>
          <w:color w:val="000000"/>
        </w:rPr>
        <w:t xml:space="preserve"> </w:t>
      </w:r>
      <w:r w:rsidRPr="00D91821">
        <w:rPr>
          <w:color w:val="000000"/>
        </w:rPr>
        <w:t>eixo central de uma estratégia de dominação racializada</w:t>
      </w:r>
      <w:r w:rsidRPr="00257BB7">
        <w:rPr>
          <w:color w:val="000000"/>
        </w:rPr>
        <w:t>, em que a negação de acesso a alimentos adequados, seguros e culturalmente reconhecidos se converte em mecanismo de exclusão social, política e simbólica de um grupo étnico</w:t>
      </w:r>
      <w:r w:rsidRPr="00257BB7">
        <w:rPr>
          <w:color w:val="000000"/>
        </w:rPr>
        <w:noBreakHyphen/>
      </w:r>
      <w:r w:rsidRPr="00257BB7">
        <w:rPr>
          <w:color w:val="000000"/>
        </w:rPr>
        <w:t>nacional inteiro (</w:t>
      </w:r>
      <w:r w:rsidRPr="00257BB7" w:rsidR="00BF3118">
        <w:rPr>
          <w:color w:val="000000"/>
        </w:rPr>
        <w:t>De Waal, 2018</w:t>
      </w:r>
      <w:r w:rsidRPr="00257BB7">
        <w:rPr>
          <w:color w:val="000000"/>
        </w:rPr>
        <w:t xml:space="preserve">; </w:t>
      </w:r>
      <w:r w:rsidR="00BF3118">
        <w:t>De Aguiar; Padrão</w:t>
      </w:r>
      <w:r w:rsidRPr="007414F2" w:rsidR="00BF3118">
        <w:t>, 2022</w:t>
      </w:r>
      <w:r w:rsidRPr="00257BB7">
        <w:rPr>
          <w:color w:val="000000"/>
        </w:rPr>
        <w:t xml:space="preserve">; </w:t>
      </w:r>
      <w:r w:rsidR="00135109">
        <w:rPr>
          <w:color w:val="000000"/>
        </w:rPr>
        <w:t>Guerra</w:t>
      </w:r>
      <w:r w:rsidRPr="00257BB7">
        <w:rPr>
          <w:color w:val="000000"/>
        </w:rPr>
        <w:t>,</w:t>
      </w:r>
      <w:r w:rsidR="00135109">
        <w:rPr>
          <w:color w:val="000000"/>
        </w:rPr>
        <w:t xml:space="preserve"> Passos</w:t>
      </w:r>
      <w:r w:rsidRPr="00257BB7">
        <w:rPr>
          <w:color w:val="000000"/>
        </w:rPr>
        <w:t xml:space="preserve"> 2023). A instrumentalização da fome reforça a dicotomia entre “povos de pleno direito” e “povos expostos à inanição”, negando aos palestinos não apenas a possibilidade de existir com segurança, mas também a capacidade de projetar um futuro próprio, de continuar narrando sua história a partir de seus modos de comer, de cultivar e de compartilhar </w:t>
      </w:r>
      <w:r w:rsidRPr="00BE37D7" w:rsidR="00BE37D7">
        <w:rPr>
          <w:color w:val="000000"/>
        </w:rPr>
        <w:t>(Said, 2012; Khalidi, 2017; Guerra; Passos, 2023).</w:t>
      </w:r>
    </w:p>
    <w:p w:rsidRPr="00257BB7" w:rsidR="00E707FE" w:rsidP="00095198" w:rsidRDefault="00E707FE" w14:paraId="50C2B1ED" w14:textId="7F9248D7">
      <w:pPr>
        <w:spacing w:before="100" w:beforeAutospacing="1" w:after="100" w:afterAutospacing="1" w:line="360" w:lineRule="auto"/>
        <w:jc w:val="both"/>
        <w:rPr>
          <w:color w:val="000000"/>
        </w:rPr>
      </w:pPr>
      <w:bookmarkStart w:name="OLE_LINK10" w:id="18"/>
      <w:r w:rsidRPr="00257BB7">
        <w:rPr>
          <w:color w:val="000000"/>
        </w:rPr>
        <w:t>Quando a insegurança alimentar assume caráter sistemático e massivo em contextos de guerra, ocupação ou políticas de ódio, cria</w:t>
      </w:r>
      <w:r w:rsidRPr="00257BB7">
        <w:rPr>
          <w:color w:val="000000"/>
        </w:rPr>
        <w:noBreakHyphen/>
      </w:r>
      <w:r w:rsidRPr="00257BB7">
        <w:rPr>
          <w:color w:val="000000"/>
        </w:rPr>
        <w:t xml:space="preserve">se um ambiente propício a práticas que se aproximam do genocídio físico e cultural. Estudos sobre o uso da fome como arma de guerra indicam que a restrição deliberada de alimentos, o bloqueio de ajuda humanitária e a destruição de meios de subsistência são reconhecidos pelo Conselho de Segurança da ONU como violações graves do direito internacional humanitário e, em certos casos, como crimes contra a </w:t>
      </w:r>
      <w:r w:rsidRPr="00FD650F">
        <w:rPr>
          <w:color w:val="000000"/>
        </w:rPr>
        <w:t xml:space="preserve">humanidade (CICV, 2023). </w:t>
      </w:r>
      <w:r w:rsidRPr="002052A4" w:rsidR="002052A4">
        <w:rPr>
          <w:color w:val="000000"/>
        </w:rPr>
        <w:t xml:space="preserve">Roth </w:t>
      </w:r>
      <w:r w:rsidRPr="00FD650F" w:rsidR="00FD650F">
        <w:rPr>
          <w:color w:val="000000"/>
        </w:rPr>
        <w:t>(</w:t>
      </w:r>
      <w:r w:rsidR="002052A4">
        <w:rPr>
          <w:color w:val="000000"/>
        </w:rPr>
        <w:t>2017</w:t>
      </w:r>
      <w:r w:rsidRPr="00FD650F" w:rsidR="00FD650F">
        <w:rPr>
          <w:color w:val="000000"/>
        </w:rPr>
        <w:t xml:space="preserve">, pág. </w:t>
      </w:r>
      <w:r w:rsidR="002052A4">
        <w:rPr>
          <w:color w:val="000000"/>
        </w:rPr>
        <w:t>1</w:t>
      </w:r>
      <w:r w:rsidR="006A2E96">
        <w:rPr>
          <w:color w:val="000000"/>
        </w:rPr>
        <w:t>)</w:t>
      </w:r>
      <w:r w:rsidRPr="00FD650F">
        <w:rPr>
          <w:color w:val="000000"/>
        </w:rPr>
        <w:t>, ao analisar o caso sírio, afirma que “</w:t>
      </w:r>
      <w:r w:rsidRPr="002052A4" w:rsidR="002052A4">
        <w:rPr>
          <w:color w:val="000000"/>
        </w:rPr>
        <w:t>impediu acesso da ajuda humanitária, fez uso da fome como tática de guerra e provocou o deslocamento forçado de sírios, em violação ao direito internacional</w:t>
      </w:r>
      <w:r w:rsidRPr="00FD650F">
        <w:rPr>
          <w:color w:val="000000"/>
        </w:rPr>
        <w:t>”</w:t>
      </w:r>
      <w:r w:rsidRPr="00FD650F" w:rsidR="00FD650F">
        <w:rPr>
          <w:color w:val="000000"/>
        </w:rPr>
        <w:t>.</w:t>
      </w:r>
      <w:r w:rsidRPr="00FD650F">
        <w:rPr>
          <w:color w:val="000000"/>
        </w:rPr>
        <w:t xml:space="preserve"> </w:t>
      </w:r>
      <w:bookmarkStart w:name="OLE_LINK11" w:id="19"/>
      <w:bookmarkStart w:name="OLE_LINK17" w:id="20"/>
      <w:bookmarkEnd w:id="18"/>
      <w:r w:rsidRPr="00FD650F">
        <w:rPr>
          <w:color w:val="000000"/>
        </w:rPr>
        <w:t>Nesses cenários, a fome atua como arma silenciosa: mesmo após o cessar</w:t>
      </w:r>
      <w:r w:rsidRPr="00FD650F">
        <w:rPr>
          <w:color w:val="000000"/>
        </w:rPr>
        <w:noBreakHyphen/>
      </w:r>
      <w:r w:rsidRPr="00FD650F">
        <w:rPr>
          <w:color w:val="000000"/>
        </w:rPr>
        <w:t>fogo, permanecem corpos debilitados, infâncias interrompidas, memórias traumáticas e a ruptura de laços comunitários (</w:t>
      </w:r>
      <w:r w:rsidRPr="00FD650F" w:rsidR="001C00A6">
        <w:rPr>
          <w:color w:val="000000"/>
        </w:rPr>
        <w:t>Lima</w:t>
      </w:r>
      <w:r w:rsidRPr="00FD650F">
        <w:rPr>
          <w:color w:val="000000"/>
        </w:rPr>
        <w:t>, 2021; ADUFPB, 2021).</w:t>
      </w:r>
    </w:p>
    <w:p w:rsidRPr="00257BB7" w:rsidR="00E707FE" w:rsidP="00095198" w:rsidRDefault="00E707FE" w14:paraId="5830BFC4" w14:textId="7C48109B">
      <w:pPr>
        <w:spacing w:before="100" w:beforeAutospacing="1" w:after="100" w:afterAutospacing="1" w:line="360" w:lineRule="auto"/>
        <w:jc w:val="both"/>
        <w:rPr>
          <w:color w:val="000000"/>
        </w:rPr>
      </w:pPr>
      <w:bookmarkStart w:name="OLE_LINK15" w:id="21"/>
      <w:bookmarkEnd w:id="19"/>
      <w:r w:rsidRPr="00257BB7">
        <w:rPr>
          <w:color w:val="000000"/>
        </w:rPr>
        <w:t>Esse uso da fome como instrumento de dominação articula</w:t>
      </w:r>
      <w:r w:rsidRPr="00257BB7">
        <w:rPr>
          <w:color w:val="000000"/>
        </w:rPr>
        <w:noBreakHyphen/>
      </w:r>
      <w:r w:rsidRPr="00257BB7">
        <w:rPr>
          <w:color w:val="000000"/>
        </w:rPr>
        <w:t>se com outras formas de opressão, como</w:t>
      </w:r>
      <w:r w:rsidR="006A2E96">
        <w:rPr>
          <w:color w:val="000000"/>
        </w:rPr>
        <w:t xml:space="preserve"> </w:t>
      </w:r>
      <w:r w:rsidRPr="00D91821">
        <w:rPr>
          <w:color w:val="000000"/>
        </w:rPr>
        <w:t>racismo,</w:t>
      </w:r>
      <w:r w:rsidR="006A2E96">
        <w:rPr>
          <w:color w:val="000000"/>
        </w:rPr>
        <w:t xml:space="preserve"> </w:t>
      </w:r>
      <w:r w:rsidRPr="00D91821">
        <w:rPr>
          <w:color w:val="000000"/>
        </w:rPr>
        <w:t>colonialismo,</w:t>
      </w:r>
      <w:r w:rsidR="006A2E96">
        <w:rPr>
          <w:color w:val="000000"/>
        </w:rPr>
        <w:t xml:space="preserve"> </w:t>
      </w:r>
      <w:r w:rsidRPr="00D91821">
        <w:rPr>
          <w:color w:val="000000"/>
        </w:rPr>
        <w:t>ultranacionalismo</w:t>
      </w:r>
      <w:r w:rsidR="006A2E96">
        <w:rPr>
          <w:color w:val="000000"/>
        </w:rPr>
        <w:t xml:space="preserve"> </w:t>
      </w:r>
      <w:r w:rsidRPr="00257BB7">
        <w:rPr>
          <w:color w:val="000000"/>
        </w:rPr>
        <w:t>e práticas de inspiração nazifascista. A literatura sobre genocídio e necropolítica evidencia que projetos de poder que classificam determinados grupos como “escória”, “ameaça” ou “peso” tendem a naturalizar sua exposição à fome, ao deslocamento forçado e à morte lenta (</w:t>
      </w:r>
      <w:r w:rsidRPr="00257BB7" w:rsidR="000033B8">
        <w:rPr>
          <w:color w:val="000000"/>
        </w:rPr>
        <w:t>Mbembe</w:t>
      </w:r>
      <w:r w:rsidRPr="00257BB7">
        <w:rPr>
          <w:color w:val="000000"/>
        </w:rPr>
        <w:t xml:space="preserve">, 2018; </w:t>
      </w:r>
      <w:r w:rsidR="00B22BBC">
        <w:rPr>
          <w:color w:val="000000"/>
        </w:rPr>
        <w:t xml:space="preserve">Feffermann; </w:t>
      </w:r>
      <w:r w:rsidRPr="00B22BBC" w:rsidR="00B22BBC">
        <w:rPr>
          <w:i/>
          <w:iCs/>
          <w:color w:val="000000"/>
        </w:rPr>
        <w:t>et.al</w:t>
      </w:r>
      <w:r w:rsidR="00B22BBC">
        <w:rPr>
          <w:color w:val="000000"/>
        </w:rPr>
        <w:t>, 2019, pág. 50 e 88</w:t>
      </w:r>
      <w:r w:rsidRPr="00257BB7">
        <w:rPr>
          <w:color w:val="000000"/>
        </w:rPr>
        <w:t>). Em contextos coloniais e de colonialismo interno, a privação de alimentos, a destruição de sistemas alimentares tradicionais e o bloqueio de acessos são empregados para quebrar resistências, enfraquecer lideranças e forçar assimilação ou expulsão de populações vistas como obstáculos a projetos geopolíticos ou econômicos (</w:t>
      </w:r>
      <w:r w:rsidRPr="00257BB7" w:rsidR="000033B8">
        <w:rPr>
          <w:color w:val="000000"/>
        </w:rPr>
        <w:t>Soares</w:t>
      </w:r>
      <w:r w:rsidRPr="00257BB7">
        <w:rPr>
          <w:color w:val="000000"/>
        </w:rPr>
        <w:t>, 2024; IHU, 2024). Em regimes ultranacionalistas e práticas inspiradas no nazifascismo, a fome pode ser utilizada para “limpar” territórios, reordenar demografias ou punir coletivamente povos considerados inimigos, transformando a alimentação em ferramenta de “purificação” social (</w:t>
      </w:r>
      <w:r w:rsidR="001B493C">
        <w:rPr>
          <w:color w:val="000000"/>
        </w:rPr>
        <w:t>Costa, 2025, pág. 7</w:t>
      </w:r>
      <w:r w:rsidRPr="00257BB7">
        <w:rPr>
          <w:color w:val="000000"/>
        </w:rPr>
        <w:t>).</w:t>
      </w:r>
    </w:p>
    <w:bookmarkEnd w:id="20"/>
    <w:bookmarkEnd w:id="21"/>
    <w:p w:rsidRPr="00257BB7" w:rsidR="00E707FE" w:rsidP="00095198" w:rsidRDefault="00E707FE" w14:paraId="6139A6E8" w14:textId="081CDC96">
      <w:pPr>
        <w:spacing w:before="100" w:beforeAutospacing="1" w:after="100" w:afterAutospacing="1" w:line="360" w:lineRule="auto"/>
        <w:jc w:val="both"/>
        <w:rPr>
          <w:color w:val="000000"/>
        </w:rPr>
      </w:pPr>
      <w:r w:rsidRPr="00257BB7">
        <w:rPr>
          <w:color w:val="000000"/>
        </w:rPr>
        <w:t xml:space="preserve">Nessa lógica, a restrição alimentar deixa de ser mero reflexo de crises estruturais e se torna estratégia deliberada de controle e eliminação, o que autores críticos nomeiam </w:t>
      </w:r>
      <w:r w:rsidRPr="00D91821">
        <w:rPr>
          <w:color w:val="000000"/>
        </w:rPr>
        <w:t>de necropolítica da fome</w:t>
      </w:r>
      <w:r w:rsidRPr="00257BB7">
        <w:rPr>
          <w:color w:val="000000"/>
        </w:rPr>
        <w:t>: gestão intencional de quem viverá e quem morrerá por meio do controle da alimentação (</w:t>
      </w:r>
      <w:r w:rsidRPr="00257BB7" w:rsidR="001B493C">
        <w:rPr>
          <w:color w:val="000000"/>
        </w:rPr>
        <w:t>Mbembe</w:t>
      </w:r>
      <w:r w:rsidRPr="00257BB7">
        <w:rPr>
          <w:color w:val="000000"/>
        </w:rPr>
        <w:t>, 2018</w:t>
      </w:r>
      <w:r>
        <w:rPr>
          <w:color w:val="000000"/>
        </w:rPr>
        <w:t>)</w:t>
      </w:r>
      <w:r w:rsidRPr="00257BB7">
        <w:rPr>
          <w:color w:val="000000"/>
        </w:rPr>
        <w:t>. O alimento, que deveria ser bem comum e direito fundamental</w:t>
      </w:r>
      <w:r w:rsidR="001B493C">
        <w:rPr>
          <w:color w:val="000000"/>
        </w:rPr>
        <w:t>,</w:t>
      </w:r>
      <w:r w:rsidRPr="00257BB7">
        <w:rPr>
          <w:color w:val="000000"/>
        </w:rPr>
        <w:t xml:space="preserve"> como reconhecem a Declaração Universal dos Direitos Humanos, o PIDESC e o Comentário Geral n.º 12, converte</w:t>
      </w:r>
      <w:r w:rsidRPr="00257BB7">
        <w:rPr>
          <w:color w:val="000000"/>
        </w:rPr>
        <w:noBreakHyphen/>
      </w:r>
      <w:r w:rsidRPr="00257BB7">
        <w:rPr>
          <w:color w:val="000000"/>
        </w:rPr>
        <w:t>se em moeda de troca, instrumento de punição ou recompensa e critério de seleção de quem será protegido e quem será empurrado para zonas de morte, em flagrante contradição com o regime internacional de direitos humanos (</w:t>
      </w:r>
      <w:r w:rsidRPr="00257BB7" w:rsidR="00B22BBC">
        <w:rPr>
          <w:color w:val="000000"/>
        </w:rPr>
        <w:t>Valente</w:t>
      </w:r>
      <w:r w:rsidRPr="00257BB7">
        <w:rPr>
          <w:color w:val="000000"/>
        </w:rPr>
        <w:t xml:space="preserve">, </w:t>
      </w:r>
      <w:r w:rsidR="00EC12A3">
        <w:rPr>
          <w:color w:val="000000"/>
        </w:rPr>
        <w:t>2021</w:t>
      </w:r>
      <w:r w:rsidRPr="00257BB7">
        <w:rPr>
          <w:color w:val="000000"/>
        </w:rPr>
        <w:t>).</w:t>
      </w:r>
    </w:p>
    <w:p w:rsidRPr="00257BB7" w:rsidR="00E707FE" w:rsidP="00095198" w:rsidRDefault="00E707FE" w14:paraId="7BC4F0EA" w14:textId="6CD0F96F">
      <w:pPr>
        <w:spacing w:before="100" w:beforeAutospacing="1" w:after="100" w:afterAutospacing="1" w:line="360" w:lineRule="auto"/>
        <w:jc w:val="both"/>
        <w:rPr>
          <w:color w:val="000000"/>
        </w:rPr>
      </w:pPr>
      <w:r w:rsidRPr="00257BB7">
        <w:rPr>
          <w:color w:val="000000"/>
        </w:rPr>
        <w:t>Essa engrenagem de dominação pela fome produz efeitos diretos sobre a </w:t>
      </w:r>
      <w:r w:rsidRPr="00D91821">
        <w:rPr>
          <w:color w:val="000000"/>
        </w:rPr>
        <w:t>autodeterminação dos povos</w:t>
      </w:r>
      <w:r w:rsidRPr="00257BB7">
        <w:rPr>
          <w:color w:val="000000"/>
        </w:rPr>
        <w:t>. A Carta das Nações Unidas e outros instrumentos internacionais consagram o direito dos povos de escolherem livremente seu status político e seu desenvolvimento econômico, social e cultural (ONU, 1945, art. 1º, 2). Contudo, um povo cuja alimentação é permanentemente controlada por outros</w:t>
      </w:r>
      <w:r w:rsidR="001B493C">
        <w:rPr>
          <w:color w:val="000000"/>
        </w:rPr>
        <w:t>,</w:t>
      </w:r>
      <w:r w:rsidRPr="00257BB7">
        <w:rPr>
          <w:color w:val="000000"/>
        </w:rPr>
        <w:t xml:space="preserve"> porque sua economia é asfixiada por sanções, seus corredores de abastecimento são bloqueados ou sua população vive sob ameaça constante de desabastecimento</w:t>
      </w:r>
      <w:r w:rsidR="001B493C">
        <w:rPr>
          <w:color w:val="000000"/>
        </w:rPr>
        <w:t xml:space="preserve">, </w:t>
      </w:r>
      <w:r w:rsidRPr="00257BB7">
        <w:rPr>
          <w:color w:val="000000"/>
        </w:rPr>
        <w:t>vê esse direito esvaziado na prática (</w:t>
      </w:r>
      <w:r w:rsidRPr="00257BB7" w:rsidR="00B22BBC">
        <w:rPr>
          <w:color w:val="000000"/>
        </w:rPr>
        <w:t>De Waal, 2018</w:t>
      </w:r>
      <w:r w:rsidRPr="00257BB7">
        <w:rPr>
          <w:color w:val="000000"/>
        </w:rPr>
        <w:t xml:space="preserve">). </w:t>
      </w:r>
      <w:r w:rsidR="00B9362C">
        <w:rPr>
          <w:color w:val="000000"/>
        </w:rPr>
        <w:t>Nesse contexto</w:t>
      </w:r>
      <w:r w:rsidRPr="00257BB7">
        <w:rPr>
          <w:color w:val="000000"/>
        </w:rPr>
        <w:t>,</w:t>
      </w:r>
      <w:r w:rsidR="00B9362C">
        <w:rPr>
          <w:color w:val="000000"/>
        </w:rPr>
        <w:t xml:space="preserve"> </w:t>
      </w:r>
      <w:r w:rsidRPr="00257BB7">
        <w:rPr>
          <w:color w:val="000000"/>
        </w:rPr>
        <w:t>observa</w:t>
      </w:r>
      <w:r w:rsidR="00B9362C">
        <w:rPr>
          <w:color w:val="000000"/>
        </w:rPr>
        <w:t>-se</w:t>
      </w:r>
      <w:r w:rsidRPr="00257BB7">
        <w:rPr>
          <w:color w:val="000000"/>
        </w:rPr>
        <w:t xml:space="preserve"> que pode haver Estado formalmente reconhecido e assento em organismos internacionais, mas não há poder efetivo de decidir sobre a própria subsistência quando o acesso ao alimento está submetido ao controle de forças externas (CESE, 2025; </w:t>
      </w:r>
      <w:r w:rsidR="001B493C">
        <w:t>Nyeleni</w:t>
      </w:r>
      <w:r w:rsidRPr="00257BB7">
        <w:rPr>
          <w:color w:val="000000"/>
        </w:rPr>
        <w:t>, 2007).</w:t>
      </w:r>
    </w:p>
    <w:p w:rsidRPr="00257BB7" w:rsidR="00E707FE" w:rsidP="00095198" w:rsidRDefault="00E707FE" w14:paraId="4D5B2AA8" w14:textId="2DC0DD62">
      <w:pPr>
        <w:spacing w:before="100" w:beforeAutospacing="1" w:after="100" w:afterAutospacing="1" w:line="360" w:lineRule="auto"/>
        <w:jc w:val="both"/>
        <w:rPr>
          <w:color w:val="000000"/>
        </w:rPr>
      </w:pPr>
      <w:r w:rsidRPr="00257BB7">
        <w:rPr>
          <w:color w:val="000000"/>
        </w:rPr>
        <w:t>Por outro lado, quando a alimentação é reconhecida e efetivada como </w:t>
      </w:r>
      <w:r w:rsidRPr="00D91821">
        <w:rPr>
          <w:color w:val="000000"/>
        </w:rPr>
        <w:t>direito humano fundamental</w:t>
      </w:r>
      <w:r w:rsidRPr="00257BB7">
        <w:rPr>
          <w:color w:val="000000"/>
        </w:rPr>
        <w:t>, em consonância com o PIDESC e com a interpretação do sistema internacional de proteção, e quando o combate à fome é assumido como compromisso estrutural – e não apenas como resposta emergencial –, a luta contra a privação se torna, ao mesmo tempo, luta pela dignidade, pela autonomia e pela autodeterminação dos povos (</w:t>
      </w:r>
      <w:r w:rsidRPr="00257BB7" w:rsidR="00BC7B36">
        <w:rPr>
          <w:color w:val="000000"/>
        </w:rPr>
        <w:t>Barancelli</w:t>
      </w:r>
      <w:r w:rsidRPr="00257BB7">
        <w:rPr>
          <w:color w:val="000000"/>
        </w:rPr>
        <w:t xml:space="preserve"> et al., 2016; </w:t>
      </w:r>
      <w:r w:rsidR="007A5B3D">
        <w:rPr>
          <w:color w:val="000000"/>
        </w:rPr>
        <w:t xml:space="preserve">Cabral </w:t>
      </w:r>
      <w:r w:rsidRPr="001C613D" w:rsidR="007A5B3D">
        <w:rPr>
          <w:i/>
          <w:iCs/>
          <w:color w:val="000000"/>
        </w:rPr>
        <w:t>et. al,</w:t>
      </w:r>
      <w:r w:rsidRPr="00534305" w:rsidR="007A5B3D">
        <w:rPr>
          <w:color w:val="000000"/>
        </w:rPr>
        <w:t xml:space="preserve"> 2024</w:t>
      </w:r>
      <w:r w:rsidRPr="00257BB7">
        <w:rPr>
          <w:color w:val="000000"/>
        </w:rPr>
        <w:t>). Garantir acesso estável, suficiente e culturalmente adequado à alimentação significa devolver às comunidades a capacidade de existir com segurança, projetar o futuro e participar efetivamente das decisões que as afetam, sem a chantagem permanente da fome como ameaça de fundo (CESE, 2025). Um povo nutrido, que não vive sob esse tipo de coerção, pode construir narrativas próprias, fortalecer suas formas de organização e resistir a projetos que tentam reduzi</w:t>
      </w:r>
      <w:r w:rsidRPr="00257BB7">
        <w:rPr>
          <w:color w:val="000000"/>
        </w:rPr>
        <w:noBreakHyphen/>
      </w:r>
      <w:r w:rsidRPr="00257BB7">
        <w:rPr>
          <w:color w:val="000000"/>
        </w:rPr>
        <w:t>lo à condição de massa descartável (G</w:t>
      </w:r>
      <w:r w:rsidR="00BE37D7">
        <w:rPr>
          <w:color w:val="000000"/>
        </w:rPr>
        <w:t>uerra; Passos,</w:t>
      </w:r>
      <w:r w:rsidRPr="00257BB7">
        <w:rPr>
          <w:color w:val="000000"/>
        </w:rPr>
        <w:t xml:space="preserve"> 2023).</w:t>
      </w:r>
    </w:p>
    <w:p w:rsidR="00C31314" w:rsidP="00C31314" w:rsidRDefault="00E707FE" w14:paraId="52EC7147" w14:textId="53C282B0">
      <w:pPr>
        <w:spacing w:line="360" w:lineRule="auto"/>
        <w:jc w:val="both"/>
        <w:rPr>
          <w:color w:val="000000"/>
        </w:rPr>
      </w:pPr>
      <w:r w:rsidRPr="00257BB7">
        <w:rPr>
          <w:color w:val="000000"/>
        </w:rPr>
        <w:t>Em todos esses casos, a fome não aparece como pano de fundo neutro, mas como elemento central da engrenagem de dominação que atinge a dignidade e a autonomia dos povos. Reconhecer essa centralidade é fundamental para compreender a restrição alimentar como forma de violação de direitos humanos e como</w:t>
      </w:r>
      <w:r w:rsidR="00B9362C">
        <w:rPr>
          <w:color w:val="000000"/>
        </w:rPr>
        <w:t xml:space="preserve"> mecanismo</w:t>
      </w:r>
      <w:r w:rsidRPr="00257BB7">
        <w:rPr>
          <w:color w:val="000000"/>
        </w:rPr>
        <w:t xml:space="preserve"> </w:t>
      </w:r>
      <w:r w:rsidRPr="00B9362C" w:rsidR="00B9362C">
        <w:rPr>
          <w:color w:val="000000"/>
        </w:rPr>
        <w:t xml:space="preserve">que pode desencadear e agravar práticas </w:t>
      </w:r>
      <w:r w:rsidR="00B9362C">
        <w:rPr>
          <w:color w:val="000000"/>
        </w:rPr>
        <w:t xml:space="preserve">de </w:t>
      </w:r>
      <w:r w:rsidRPr="00257BB7">
        <w:rPr>
          <w:color w:val="000000"/>
        </w:rPr>
        <w:t xml:space="preserve">genocídio, nutricídio, racismo e </w:t>
      </w:r>
      <w:r w:rsidRPr="00D91821">
        <w:rPr>
          <w:i/>
          <w:iCs/>
          <w:color w:val="000000"/>
        </w:rPr>
        <w:t>apartheid</w:t>
      </w:r>
      <w:r w:rsidRPr="00257BB7">
        <w:rPr>
          <w:color w:val="000000"/>
        </w:rPr>
        <w:t xml:space="preserve"> alimentar – práticas que se atualizam em diferentes contextos contemporâneos. É também o ponto de partida </w:t>
      </w:r>
      <w:r w:rsidR="00B9362C">
        <w:rPr>
          <w:color w:val="000000"/>
        </w:rPr>
        <w:t xml:space="preserve">para </w:t>
      </w:r>
      <w:r w:rsidRPr="00257BB7">
        <w:rPr>
          <w:color w:val="000000"/>
        </w:rPr>
        <w:t>aprofunda</w:t>
      </w:r>
      <w:r w:rsidR="00B9362C">
        <w:rPr>
          <w:color w:val="000000"/>
        </w:rPr>
        <w:t xml:space="preserve">mento </w:t>
      </w:r>
      <w:r w:rsidRPr="00257BB7">
        <w:rPr>
          <w:color w:val="000000"/>
        </w:rPr>
        <w:t>da </w:t>
      </w:r>
      <w:r w:rsidRPr="00D91821">
        <w:rPr>
          <w:color w:val="000000"/>
        </w:rPr>
        <w:t>legislação internacional e nacional aplicável,</w:t>
      </w:r>
      <w:r w:rsidRPr="00257BB7">
        <w:rPr>
          <w:color w:val="000000"/>
        </w:rPr>
        <w:t xml:space="preserve"> examinando como o direito internacional dos direitos humanos, o direito internacional humanitário e as normas internas sobre alimentação e conflito tratam o uso da fome como arma, permitindo qualificar juridicamente as práticas descritas aqui e avaliar responsabilidades estatais e mecanismos de responsabilização (ONU, 1948; ONU, 1966; CICV, 2023).</w:t>
      </w:r>
    </w:p>
    <w:p w:rsidR="00C31314" w:rsidP="00C31314" w:rsidRDefault="00C31314" w14:paraId="2068B3DD" w14:textId="77777777">
      <w:pPr>
        <w:spacing w:line="360" w:lineRule="auto"/>
        <w:jc w:val="both"/>
        <w:rPr>
          <w:color w:val="000000"/>
        </w:rPr>
      </w:pPr>
    </w:p>
    <w:p w:rsidRPr="00257BB7" w:rsidR="00C31314" w:rsidP="00C31314" w:rsidRDefault="00C31314" w14:paraId="13336263" w14:textId="77777777">
      <w:pPr>
        <w:spacing w:line="360" w:lineRule="auto"/>
        <w:jc w:val="both"/>
        <w:rPr>
          <w:color w:val="000000"/>
        </w:rPr>
      </w:pPr>
    </w:p>
    <w:p w:rsidR="0096705A" w:rsidP="00095198" w:rsidRDefault="0096705A" w14:paraId="66D42015" w14:textId="77777777">
      <w:pPr>
        <w:spacing w:line="360" w:lineRule="auto"/>
        <w:jc w:val="both"/>
      </w:pPr>
      <w:r w:rsidRPr="00AE4B4A">
        <w:t>4.2 A INSTRUMENTALIZAÇÃO DA FOME EM PARÂMETROS LEGAIS: UMA VISÃO JURÍDICA</w:t>
      </w:r>
      <w:r w:rsidRPr="00AE4B4A">
        <w:noBreakHyphen/>
      </w:r>
      <w:r w:rsidRPr="00AE4B4A">
        <w:t>NORMATIVA</w:t>
      </w:r>
    </w:p>
    <w:p w:rsidR="0096705A" w:rsidP="00C31314" w:rsidRDefault="0096705A" w14:paraId="7DDF744E" w14:textId="77777777">
      <w:pPr>
        <w:spacing w:line="360" w:lineRule="auto"/>
        <w:jc w:val="both"/>
      </w:pPr>
    </w:p>
    <w:p w:rsidRPr="00AE4B4A" w:rsidR="0096705A" w:rsidP="00095198" w:rsidRDefault="0096705A" w14:paraId="75FC27B4" w14:textId="77777777">
      <w:pPr>
        <w:spacing w:line="360" w:lineRule="auto"/>
        <w:jc w:val="both"/>
      </w:pPr>
    </w:p>
    <w:p w:rsidRPr="00AE4B4A" w:rsidR="0096705A" w:rsidP="00095198" w:rsidRDefault="0096705A" w14:paraId="72DFC54E" w14:textId="1A1F51F4">
      <w:pPr>
        <w:spacing w:after="140" w:line="360" w:lineRule="auto"/>
        <w:jc w:val="both"/>
      </w:pPr>
      <w:r w:rsidRPr="00AE4B4A">
        <w:t>Conforme exposto nos capítulos anteriores sobre o Direito Agrário como direito humano fundamental e a segurança alimentar como meio para a realização da soberania dos povos (</w:t>
      </w:r>
      <w:r w:rsidRPr="00AE4B4A" w:rsidR="001E5CC2">
        <w:t>Marques</w:t>
      </w:r>
      <w:r w:rsidRPr="00AE4B4A">
        <w:t xml:space="preserve">, 2015; </w:t>
      </w:r>
      <w:r w:rsidRPr="00AE4B4A" w:rsidR="001E5CC2">
        <w:t>Maniglia</w:t>
      </w:r>
      <w:r w:rsidRPr="00AE4B4A">
        <w:t xml:space="preserve">, 2009), a fome emerge como instrumento deliberado de controle social, gerando genocídio, </w:t>
      </w:r>
      <w:r w:rsidRPr="0096705A">
        <w:rPr>
          <w:i/>
          <w:iCs/>
        </w:rPr>
        <w:t>apartheid</w:t>
      </w:r>
      <w:r w:rsidRPr="00AE4B4A">
        <w:t>, nutrício e racismo estrutural quando alimentos e água são negados. É nesse contexto que o Direito Internacional Humanitário (DIH) oferece proibições explícitas, mas também brechas interpretativas que sustentam sua instrumentalização em crises (</w:t>
      </w:r>
      <w:r w:rsidR="00AD6AC5">
        <w:t>Allen</w:t>
      </w:r>
      <w:r w:rsidRPr="00AE4B4A">
        <w:t xml:space="preserve">, 1989; </w:t>
      </w:r>
      <w:r w:rsidRPr="00AE4B4A" w:rsidR="00A73ABA">
        <w:t>Dannenbaum</w:t>
      </w:r>
      <w:r w:rsidRPr="00AE4B4A">
        <w:t>, 2021).</w:t>
      </w:r>
    </w:p>
    <w:p w:rsidR="0096705A" w:rsidP="00095198" w:rsidRDefault="0096705A" w14:paraId="31A3463A" w14:textId="77777777">
      <w:pPr>
        <w:spacing w:line="360" w:lineRule="auto"/>
        <w:jc w:val="both"/>
      </w:pPr>
      <w:r w:rsidRPr="00AE4B4A">
        <w:t xml:space="preserve">Do ponto de vista normativo, as Convenções de Genebra de 1949 e seus Protocolos Adicionais constituem o núcleo duro da proteção contra o uso da fome como arma de guerra (CICV, 2005). O artigo 3 comum às quatro Convenções, aplicável a conflitos armados não internacionais </w:t>
      </w:r>
      <w:r w:rsidRPr="003E3D6E">
        <w:rPr>
          <w:i/>
          <w:iCs/>
        </w:rPr>
        <w:t>(Non</w:t>
      </w:r>
      <w:r w:rsidRPr="003E3D6E">
        <w:rPr>
          <w:i/>
          <w:iCs/>
        </w:rPr>
        <w:noBreakHyphen/>
      </w:r>
      <w:r w:rsidRPr="003E3D6E">
        <w:rPr>
          <w:i/>
          <w:iCs/>
        </w:rPr>
        <w:t>International Armed Conflict – NIAC),</w:t>
      </w:r>
      <w:r w:rsidRPr="00AE4B4A">
        <w:t xml:space="preserve"> estabelece que </w:t>
      </w:r>
    </w:p>
    <w:p w:rsidR="0096705A" w:rsidP="00095198" w:rsidRDefault="0096705A" w14:paraId="1229C1C1" w14:textId="77777777">
      <w:pPr>
        <w:spacing w:line="360" w:lineRule="auto"/>
        <w:jc w:val="both"/>
      </w:pPr>
    </w:p>
    <w:p w:rsidR="0096705A" w:rsidP="00095198" w:rsidRDefault="00BC7B36" w14:paraId="2246C963" w14:textId="36F4305A">
      <w:pPr>
        <w:spacing w:line="360" w:lineRule="auto"/>
        <w:ind w:left="2268"/>
        <w:jc w:val="both"/>
        <w:rPr>
          <w:sz w:val="20"/>
          <w:szCs w:val="20"/>
        </w:rPr>
      </w:pPr>
      <w:r>
        <w:rPr>
          <w:sz w:val="20"/>
          <w:szCs w:val="20"/>
        </w:rPr>
        <w:t>A</w:t>
      </w:r>
      <w:r w:rsidRPr="0096705A" w:rsidR="0096705A">
        <w:rPr>
          <w:sz w:val="20"/>
          <w:szCs w:val="20"/>
        </w:rPr>
        <w:t>s pessoas que não tomem parte nas hostilidades [...] serão, em todas as circunstâncias, tratadas com humanidade, sem distinção alguma, com proibição de [...] atentados à vida da pessoa ou a sua integridade física ou espiritual, [...] ou de execuções sumárias ou arbitrárias (CONVENÇÃO DE GENEBRA IV, 1949, art. 3).</w:t>
      </w:r>
    </w:p>
    <w:p w:rsidRPr="0096705A" w:rsidR="0096705A" w:rsidP="00095198" w:rsidRDefault="0096705A" w14:paraId="3EC54023" w14:textId="77777777">
      <w:pPr>
        <w:spacing w:line="360" w:lineRule="auto"/>
        <w:ind w:left="2268"/>
        <w:jc w:val="both"/>
        <w:rPr>
          <w:sz w:val="20"/>
          <w:szCs w:val="20"/>
        </w:rPr>
      </w:pPr>
    </w:p>
    <w:p w:rsidRPr="00AE4B4A" w:rsidR="0096705A" w:rsidP="00095198" w:rsidRDefault="0096705A" w14:paraId="0DA12EF6" w14:textId="63F30C0E">
      <w:pPr>
        <w:spacing w:after="140" w:line="360" w:lineRule="auto"/>
        <w:jc w:val="both"/>
      </w:pPr>
      <w:r w:rsidRPr="00AE4B4A">
        <w:t xml:space="preserve"> A doutrina contemporânea, como </w:t>
      </w:r>
      <w:r w:rsidR="00AD6AC5">
        <w:t>Allen</w:t>
      </w:r>
      <w:r w:rsidRPr="00AE4B4A">
        <w:t xml:space="preserve"> (1989), interpreta essa cláusula como abrangendo a privação deliberada e sistemática de alimentos e bens essenciais à sobrevivência, configurando a fome coletiva como “tratamento desumano” que viola a humanidade mínima em guerras civis. A Quarta Convenção de Genebra, ao tratar da proteção de civis, veda deslocamentos forçados e deportações que, na prática, desestruturam cadeias produtivas, rompem redes de abastecimento e expõem populações inteiras à insegurança alimentar extrema (</w:t>
      </w:r>
      <w:r w:rsidRPr="00AE4B4A" w:rsidR="000223A9">
        <w:t xml:space="preserve">Convenção </w:t>
      </w:r>
      <w:r w:rsidR="000223A9">
        <w:t>d</w:t>
      </w:r>
      <w:r w:rsidRPr="00AE4B4A" w:rsidR="000223A9">
        <w:t xml:space="preserve">e Genebra </w:t>
      </w:r>
      <w:r w:rsidRPr="00AE4B4A">
        <w:t>IV, 1949, art. 49).</w:t>
      </w:r>
    </w:p>
    <w:p w:rsidRPr="00AE4B4A" w:rsidR="0096705A" w:rsidP="00095198" w:rsidRDefault="0096705A" w14:paraId="7B933CF3" w14:textId="181434FA">
      <w:pPr>
        <w:spacing w:after="140" w:line="360" w:lineRule="auto"/>
        <w:jc w:val="both"/>
      </w:pPr>
      <w:r w:rsidRPr="00AE4B4A">
        <w:t xml:space="preserve">Em complemento, o Protocolo Adicional I, aplicável a conflitos armados internacionais </w:t>
      </w:r>
      <w:r w:rsidRPr="003E3D6E">
        <w:rPr>
          <w:i/>
          <w:iCs/>
        </w:rPr>
        <w:t>(International Armed Conflict – IAC),</w:t>
      </w:r>
      <w:r w:rsidRPr="00AE4B4A">
        <w:t xml:space="preserve"> consagra no artigo 54 talvez a formulação mais clara sobre o tema: é expressamente proibido “atacar, destruir, remover ou tornar inutilizáveis objetos indispensáveis à sobrevivência da população civil, como alimentos, áreas agrícolas, colheitas, gado, instalações e reservas de água potável e obras de irrigação”, com o propósito de negá</w:t>
      </w:r>
      <w:r w:rsidRPr="00AE4B4A">
        <w:noBreakHyphen/>
      </w:r>
      <w:r w:rsidRPr="00AE4B4A">
        <w:t>los à população ou à parte adversa, seja para provocar fome, deslocamento forçado ou qualquer outro fim (</w:t>
      </w:r>
      <w:r w:rsidRPr="00AE4B4A" w:rsidR="000223A9">
        <w:t>Protocolo Adicional</w:t>
      </w:r>
      <w:r w:rsidRPr="00AE4B4A">
        <w:t xml:space="preserve"> I, 1977, art. 54). O Protocolo Adicional II, dedicado às vítimas de conflitos armados não internacionais (NIAC), reproduz a mesma lógica no seu artigo 14, ao afirmar ser “proibido atacar, destruir, tornar inutilizáveis ou capturar objetos indispensáveis à sobrevivência da população civil”, estendendo tal proteção às guerras internas, justamente aquelas em que a fome tem sido utilizada de maneira mais intensa e sistemática (</w:t>
      </w:r>
      <w:r w:rsidR="000223A9">
        <w:t>P</w:t>
      </w:r>
      <w:r w:rsidRPr="00AE4B4A" w:rsidR="000223A9">
        <w:t xml:space="preserve">rotocolo </w:t>
      </w:r>
      <w:r w:rsidR="000223A9">
        <w:t>A</w:t>
      </w:r>
      <w:r w:rsidRPr="00AE4B4A" w:rsidR="000223A9">
        <w:t xml:space="preserve">dicional </w:t>
      </w:r>
      <w:r w:rsidR="000223A9">
        <w:t>II</w:t>
      </w:r>
      <w:r w:rsidRPr="00AE4B4A" w:rsidR="000223A9">
        <w:t xml:space="preserve">, 1977, </w:t>
      </w:r>
      <w:r w:rsidR="000223A9">
        <w:t>A</w:t>
      </w:r>
      <w:r w:rsidRPr="00AE4B4A" w:rsidR="000223A9">
        <w:t>rt. 14</w:t>
      </w:r>
      <w:r w:rsidRPr="00AE4B4A">
        <w:t>).</w:t>
      </w:r>
    </w:p>
    <w:p w:rsidRPr="00AE4B4A" w:rsidR="0096705A" w:rsidP="00095198" w:rsidRDefault="0096705A" w14:paraId="5A962F36" w14:textId="410975A0">
      <w:pPr>
        <w:spacing w:after="140" w:line="360" w:lineRule="auto"/>
        <w:jc w:val="both"/>
      </w:pPr>
      <w:r w:rsidRPr="00AE4B4A">
        <w:t>Essas previsões convencionais dialogam com princípios estruturantes do DIH, fundamentais para impedir que a fome se configure como consequência tolerável de ações militares, como visto no cerco palestino moderno, em que obstruções à entrada de alimentos e ajuda humanitária ignoraram tais salvaguardas (</w:t>
      </w:r>
      <w:r w:rsidRPr="0096705A" w:rsidR="000223A9">
        <w:rPr>
          <w:i/>
          <w:iCs/>
        </w:rPr>
        <w:t>Human Rights Watch</w:t>
      </w:r>
      <w:r w:rsidRPr="0096705A">
        <w:rPr>
          <w:i/>
          <w:iCs/>
        </w:rPr>
        <w:t>,</w:t>
      </w:r>
      <w:r w:rsidRPr="00AE4B4A">
        <w:t xml:space="preserve"> 2021; FAO, 2019). O princípio da distinção, previsto no artigo 48 do Protocolo Adicional I às Convenções de Genebra, impõe às partes em conflito o dever de, em todos os momentos, distinguir entre população civil e combatentes, bem como entre bens de caráter civil e objetivos militares (</w:t>
      </w:r>
      <w:r w:rsidRPr="00AE4B4A" w:rsidR="000223A9">
        <w:t xml:space="preserve">Protocolo Adicional </w:t>
      </w:r>
      <w:r w:rsidRPr="00AE4B4A">
        <w:t>I, 1977, art. 48). Isso significa que recursos que servem simultaneamente à população e às forças armadas, como estoques de alimentos ou rotas de distribuição que atendem primordialmente civis, não podem ser atacados indiscriminadamente, salvo em casos de “necessidade militar imperativa”, de interpretação estrita (</w:t>
      </w:r>
      <w:r w:rsidRPr="00AE4B4A" w:rsidR="000223A9">
        <w:t>Cottier</w:t>
      </w:r>
      <w:r w:rsidRPr="00AE4B4A">
        <w:t>, 1997). O princípio da proporcionalidade, consagrado no artigo 51, determina que são ilícitas operações em que os danos incidentais à população civil, inclusive a destruição ou bloqueio de acesso a alimentos e água, sejam excessivos em relação à vantagem militar concreta e direta esperada (</w:t>
      </w:r>
      <w:r w:rsidRPr="00AE4B4A" w:rsidR="000223A9">
        <w:t xml:space="preserve">Protocolo Adicional </w:t>
      </w:r>
      <w:r w:rsidRPr="00AE4B4A">
        <w:t>I, 1977, art. 51.5, b). Já o princípio da precaução, previsto no artigo 57, exige que comandantes, ao planejar ataques, adotem “cuidados constantes para poupar a população civil” e “todas as precauções viáveis para evitar [...] danos a objetos civis”, o que implica verificar previamente alvos que afetem suprimentos de comida e emitir avisos para não obstruir a distribuição alimentar, minimizando a fome como risco evitável (</w:t>
      </w:r>
      <w:r w:rsidRPr="00AE4B4A" w:rsidR="000223A9">
        <w:t xml:space="preserve">Protocolo Adicional </w:t>
      </w:r>
      <w:r w:rsidRPr="00AE4B4A">
        <w:t>I, 1977, art. 57).</w:t>
      </w:r>
    </w:p>
    <w:p w:rsidR="0096705A" w:rsidP="00095198" w:rsidRDefault="0096705A" w14:paraId="4E9E0B0D" w14:textId="45B81FF1">
      <w:pPr>
        <w:spacing w:after="140" w:line="360" w:lineRule="auto"/>
        <w:jc w:val="both"/>
      </w:pPr>
      <w:r w:rsidRPr="00AE4B4A">
        <w:t xml:space="preserve">O Comitê Internacional da Cruz Vermelha (CICV), autoridade de referência no DIH, consolida no seu Estudo do Costume Internacional Humanitário as </w:t>
      </w:r>
      <w:r w:rsidR="00260C51">
        <w:t>Norma</w:t>
      </w:r>
      <w:r w:rsidRPr="00AE4B4A">
        <w:t xml:space="preserve"> 53 a 56 como normas consuetudinárias vinculantes: a </w:t>
      </w:r>
      <w:r w:rsidR="00260C51">
        <w:t>Norma</w:t>
      </w:r>
      <w:r w:rsidRPr="00AE4B4A">
        <w:t xml:space="preserve"> 53 proíbe o uso da fome e da sede da população civil como método de guerra; a </w:t>
      </w:r>
      <w:r w:rsidR="00260C51">
        <w:t>Norma</w:t>
      </w:r>
      <w:r w:rsidRPr="00AE4B4A">
        <w:t xml:space="preserve"> 54 veda ataques, destruição ou remoção de alimentos, colheitas, água potável ou meios de subsistência civis; a </w:t>
      </w:r>
      <w:r w:rsidR="00260C51">
        <w:t>Norma</w:t>
      </w:r>
      <w:r w:rsidRPr="00AE4B4A">
        <w:t xml:space="preserve"> 55 obriga à passagem rápida e desimpedida de ajuda humanitária indispensável a civis em necessidade; e a </w:t>
      </w:r>
      <w:r w:rsidR="00260C51">
        <w:t>Norma</w:t>
      </w:r>
      <w:r w:rsidRPr="00AE4B4A">
        <w:t xml:space="preserve"> 56 garante liberdade de movimento ao pessoal humanitário, restrita apenas por necessidade militar imperativa, aplicáveis tanto a IAC quanto a NIAC (CICV, 2005). Regionalmente, o Protocolo de Malabo (Protocolo sobre Emendas ao Estatuto do Tribunal Africano de Justiça e Direitos Humanos e dos Povos), adotado em 2014 pela União Africana, criminaliza no artigo 28N a “privação intencional de alimentos ou de meios de subsistência [...] em conflitos armados internacionais ou não internacionais”, respondendo a abusos recorrentes como os cercos famintos no Sudão (Darfur) e na Somália </w:t>
      </w:r>
      <w:r w:rsidRPr="00AE4B4A" w:rsidR="0066328D">
        <w:t>(União Africana</w:t>
      </w:r>
      <w:r w:rsidRPr="00AE4B4A">
        <w:t>, 2014).</w:t>
      </w:r>
    </w:p>
    <w:p w:rsidR="0096705A" w:rsidP="00095198" w:rsidRDefault="0096705A" w14:paraId="201AC2CC" w14:textId="6911E352">
      <w:pPr>
        <w:spacing w:after="140" w:line="360" w:lineRule="auto"/>
        <w:jc w:val="both"/>
      </w:pPr>
      <w:r w:rsidRPr="00AE4B4A">
        <w:t xml:space="preserve">Apesar desse aparente rigor normativo, a prática revela um cenário de impunidade estrutural. </w:t>
      </w:r>
      <w:r w:rsidR="00AD6AC5">
        <w:t>Allen</w:t>
      </w:r>
      <w:r w:rsidRPr="00AE4B4A">
        <w:t xml:space="preserve"> (1989) observa que nenhum tribunal internacional condenou explicitamente por fome como crime autônomo, embora a conduta apareça em cerca de vinte casos como elemento subsumido em outros delitos, ou como parte de maus</w:t>
      </w:r>
      <w:r w:rsidRPr="00AE4B4A">
        <w:noBreakHyphen/>
      </w:r>
      <w:r w:rsidRPr="00AE4B4A">
        <w:t>tratos durante a detenção. Em situações como o regime do Khmer Vermelho no Camboja, em que se estima que 1,7 milhão de pessoas tenham morrido por fome, tortura, execuções e trabalho forçado (ECCC; ONU), os crimes relacionados à privação de alimentos foram subsumidos em categorias mais amplas, como crimes contra a humanidade (perseguição, extermínio, escravidão, prisão ou outros atos desumanos) ou graves violações das Convenções de Genebra (homicídio doloso, tortura, tratamento desumano, confinamento ilegal, genocídio) (ECCC, 2014; ONU, 2005). Lógica semelhante se observa no julgamento do general Stanislav Galić, no Tribunal Penal Internacional para a ex</w:t>
      </w:r>
      <w:r w:rsidRPr="00AE4B4A">
        <w:noBreakHyphen/>
      </w:r>
      <w:r w:rsidRPr="00AE4B4A">
        <w:t xml:space="preserve">Iugoslávia, em que o cerco de </w:t>
      </w:r>
      <w:r w:rsidRPr="0066328D">
        <w:rPr>
          <w:i/>
          <w:iCs/>
        </w:rPr>
        <w:t>Sarajevo</w:t>
      </w:r>
      <w:r w:rsidRPr="00AE4B4A">
        <w:t xml:space="preserve"> foi enquadrado como crime de infligir terror à população civil, sem que a fome causada pelo bloqueio prolongado fosse tratada como crime autônomo (TPIJ, Caso GALIĆ, 2003).</w:t>
      </w:r>
    </w:p>
    <w:p w:rsidRPr="004365A4" w:rsidR="0043425C" w:rsidP="00095198" w:rsidRDefault="0043425C" w14:paraId="5D4B04F6" w14:textId="113FE160">
      <w:pPr>
        <w:spacing w:after="140" w:line="360" w:lineRule="auto"/>
        <w:jc w:val="both"/>
      </w:pPr>
      <w:r w:rsidRPr="004365A4">
        <w:t xml:space="preserve">A título de exemplificação, a ofensiva israelense no Líbano tem produzido uma devastação que ultrapassa o confronto militar e incide diretamente sobre a vida civil. Em </w:t>
      </w:r>
      <w:r w:rsidR="00C63D65">
        <w:t>9</w:t>
      </w:r>
      <w:r w:rsidRPr="004365A4">
        <w:t xml:space="preserve"> de abril de 2026, o</w:t>
      </w:r>
      <w:r w:rsidR="004365A4">
        <w:t xml:space="preserve"> </w:t>
      </w:r>
      <w:r w:rsidRPr="004365A4">
        <w:rPr>
          <w:i/>
          <w:iCs/>
        </w:rPr>
        <w:t>The New York Times</w:t>
      </w:r>
      <w:r w:rsidR="004365A4">
        <w:t xml:space="preserve"> </w:t>
      </w:r>
      <w:r w:rsidRPr="004365A4">
        <w:t>registrou a escalada dos ataques israelenses ao sul do Líbano em meio à guerra Israel-Irã, enquanto, a condenação de especialistas da ONU aos ataques de Israel ao país e a apresentação de uma queixa urgente pelo Líbano à organização (</w:t>
      </w:r>
      <w:r w:rsidR="00C63D65">
        <w:t>Ward; Saad; Goldbaum</w:t>
      </w:r>
      <w:r w:rsidRPr="004365A4">
        <w:t xml:space="preserve">, 2026; </w:t>
      </w:r>
      <w:r w:rsidR="00C63D65">
        <w:t>Tamimi; Haq</w:t>
      </w:r>
      <w:r w:rsidRPr="004365A4">
        <w:t xml:space="preserve"> Brasil, 2026). Esses episódios foram acompanhados pela destruição de bens essenciais à sobrevivência, como plantações, reservas de água e infraestrutura básica, além de deslocamentos forçados e danos a equipamentos civis indispensáveis ao cotidiano (</w:t>
      </w:r>
      <w:r w:rsidR="00C63D65">
        <w:t>Tamimi; Haq</w:t>
      </w:r>
      <w:r w:rsidRPr="004365A4" w:rsidR="00C63D65">
        <w:t xml:space="preserve"> Brasil, 2026</w:t>
      </w:r>
      <w:r w:rsidRPr="004365A4">
        <w:t xml:space="preserve">; </w:t>
      </w:r>
      <w:r w:rsidR="00C63D65">
        <w:t>Ward; Saad; Goldbaum</w:t>
      </w:r>
      <w:r w:rsidRPr="004365A4" w:rsidR="00C63D65">
        <w:t>, 2026</w:t>
      </w:r>
      <w:r w:rsidRPr="004365A4">
        <w:t xml:space="preserve">). Ademais, a destruição de painéis solares em uma vila cristã no sul do Líbano, equipamento usado para fornecer eletricidade e acionar bombas de água, além de danos a oliveiras, tratores e outros bens civis. Os relatos também destacaram o ataque a símbolos religiosos do povo libanês, reforçando que a ofensiva não se limita à neutralização de combatentes do </w:t>
      </w:r>
      <w:r w:rsidRPr="00A703D6">
        <w:rPr>
          <w:i/>
          <w:iCs/>
        </w:rPr>
        <w:t>Hezbollah</w:t>
      </w:r>
      <w:r w:rsidRPr="004365A4">
        <w:t>, mas alcança a própria estrutura de vida da população civil (</w:t>
      </w:r>
      <w:r w:rsidRPr="004365A4">
        <w:rPr>
          <w:i/>
          <w:iCs/>
        </w:rPr>
        <w:t xml:space="preserve">The Telegraph, 2026; </w:t>
      </w:r>
      <w:r w:rsidR="00C63D65">
        <w:t>Ward; Saad; Goldbaum</w:t>
      </w:r>
      <w:r w:rsidRPr="004365A4" w:rsidR="00C63D65">
        <w:t>, 2026</w:t>
      </w:r>
      <w:r w:rsidRPr="004365A4">
        <w:t>). Por fim, o Líbano acusou Israel de destruir terras agrícolas em ataques, enquanto o governo libanês afirmou que quase um quarto das áreas agrícolas nas zonas atingidas havia sido devastado e que grande parte dos agricultores do sul havia sido deslocada pelas hostilidades; no mesmo texto, a ONU alertou que declarações vagas de Israel poderiam equivaler a deslocamento forçado, em violação ao direito internacional (</w:t>
      </w:r>
      <w:r w:rsidR="00C63D65">
        <w:t>Tamimi; Haq</w:t>
      </w:r>
      <w:r w:rsidRPr="004365A4" w:rsidR="00C63D65">
        <w:t xml:space="preserve"> Brasil, 2026</w:t>
      </w:r>
      <w:r w:rsidRPr="004365A4">
        <w:t>). A fala de um morador sintetiza essa experiência de privação: depois de passar a noite em uma cadeira do lado de fora do hospital, sem comida nem água, ele disse que antes vivia bem e agora se via reduzido à condição de mendigo, afirmando que “esta não é a nossa guerra” (</w:t>
      </w:r>
      <w:r w:rsidR="00C63D65">
        <w:t>Ward; Saad; Goldbaum</w:t>
      </w:r>
      <w:r w:rsidRPr="004365A4" w:rsidR="00C63D65">
        <w:t>, 2026</w:t>
      </w:r>
      <w:r w:rsidRPr="004365A4">
        <w:t>). Nesse quadro, a guerra volta a operar como espaço de suspensão da norma, especialmente das Convenções de Genebra, dos Protocolos Adicionais e dos princípios estruturantes do direito internacional humanitário, de modo que a privação alimentar e a destruição das bases materiais da vida se tornam instrumentos de enfraquecimento social e político. Ao atingir água, alimentos, plantações e bens civis, a violência fragiliza o entrelaçamento da vida humana e compromete a soberania do povo sobre sua própria existência.</w:t>
      </w:r>
    </w:p>
    <w:p w:rsidRPr="00AE4B4A" w:rsidR="0096705A" w:rsidP="00095198" w:rsidRDefault="0096705A" w14:paraId="3DAFD41E" w14:textId="0F2829E0">
      <w:pPr>
        <w:spacing w:after="140" w:line="360" w:lineRule="auto"/>
        <w:jc w:val="both"/>
      </w:pPr>
      <w:r w:rsidRPr="00AE4B4A">
        <w:t xml:space="preserve">Essa tendência de “dissolver” a fome dentro de tipos penais mais amplos é profundamente problemática sob a perspectiva deste trabalho. </w:t>
      </w:r>
      <w:r w:rsidRPr="00031671" w:rsidR="00031671">
        <w:t>Em primeiro lugar, porque apaga a especificidade da fome como arma: uma privação estrutural, continuada e deliberada de bens indispensáveis à vida, dirigida contra coletividades inteiras, muitas vezes com recorte étnico, religioso ou político. Uma vez tipificada a fome como arma, abre-se a possibilidade de intervenção preventiva e de adoção de outros mecanismos jurídicos e políticos capazes de contê-la antes que se aproxime de formas mais extremas de violência, como o genocídio, aproximando-se de formas de genocídio cultural, nutricídio e racismo institucional (</w:t>
      </w:r>
      <w:r w:rsidRPr="00031671" w:rsidR="00A73ABA">
        <w:t>Dannenbaum</w:t>
      </w:r>
      <w:r w:rsidRPr="00031671" w:rsidR="00031671">
        <w:t>, 2021).</w:t>
      </w:r>
      <w:r w:rsidR="00031671">
        <w:t xml:space="preserve"> </w:t>
      </w:r>
      <w:r w:rsidRPr="00AE4B4A">
        <w:t>Em segundo lugar, porque dificulta a identificação dos elementos característicos desse crime, o que fragiliza a prova, dilui a responsabilidade de comando e dificulta a construção de uma jurisprudência consistente sobre o tema (</w:t>
      </w:r>
      <w:r w:rsidRPr="00A73ABA" w:rsidR="00A73ABA">
        <w:t>Schaer</w:t>
      </w:r>
      <w:r w:rsidRPr="00AE4B4A">
        <w:t>, 2025). Em terceiro lugar, porque produz um efeito simbólico de desvalorização da experiência das vítimas: o corpo jurídico reconhece o assassinato, a tortura ou a deportação, mas não nomeia a fome, embora ela seja, muitas vezes, a forma mais lenta, humilhante e abrangente de destruição social</w:t>
      </w:r>
      <w:r w:rsidR="00031671">
        <w:t>, soberania dos povos</w:t>
      </w:r>
      <w:r w:rsidRPr="00AE4B4A">
        <w:t xml:space="preserve"> (</w:t>
      </w:r>
      <w:r w:rsidRPr="00AE4B4A" w:rsidR="00A73ABA">
        <w:t>De Waal, 2018</w:t>
      </w:r>
      <w:r w:rsidRPr="00AE4B4A">
        <w:t xml:space="preserve">; </w:t>
      </w:r>
      <w:r w:rsidRPr="00AE4B4A" w:rsidR="00A73ABA">
        <w:t>Cottier</w:t>
      </w:r>
      <w:r w:rsidRPr="00AE4B4A">
        <w:t>, 1997).</w:t>
      </w:r>
    </w:p>
    <w:p w:rsidRPr="00AE4B4A" w:rsidR="0096705A" w:rsidP="00095198" w:rsidRDefault="0096705A" w14:paraId="1D694BBB" w14:textId="0FC96FD4">
      <w:pPr>
        <w:spacing w:after="140" w:line="360" w:lineRule="auto"/>
        <w:jc w:val="both"/>
      </w:pPr>
      <w:r w:rsidRPr="00AE4B4A">
        <w:t xml:space="preserve">O Estatuto de Roma do Tribunal Penal Internacional representa um avanço importante ao tipificar, no </w:t>
      </w:r>
      <w:r w:rsidRPr="00AE4B4A" w:rsidR="00A73ABA">
        <w:t>Artigo 8.2.B.XXV</w:t>
      </w:r>
      <w:r w:rsidRPr="00AE4B4A">
        <w:t>, a “fome intencional de civis como método de guerra” em conflitos armados internacionais, incluindo a privação de objetos indispensáveis à sua sobrevivência e a obstrução deliberada de socorros previstos nas Convenções de Genebra (</w:t>
      </w:r>
      <w:r w:rsidRPr="00AE4B4A" w:rsidR="00445954">
        <w:t xml:space="preserve">Estatuto </w:t>
      </w:r>
      <w:r w:rsidR="00445954">
        <w:t>d</w:t>
      </w:r>
      <w:r w:rsidRPr="00AE4B4A" w:rsidR="00445954">
        <w:t>e Roma</w:t>
      </w:r>
      <w:r w:rsidRPr="00AE4B4A">
        <w:t xml:space="preserve">, 1998, </w:t>
      </w:r>
      <w:r w:rsidR="00A73ABA">
        <w:t>A</w:t>
      </w:r>
      <w:r w:rsidRPr="00AE4B4A">
        <w:t>rt. 8.2.</w:t>
      </w:r>
      <w:r w:rsidRPr="00AE4B4A" w:rsidR="00A73ABA">
        <w:t>B</w:t>
      </w:r>
      <w:r w:rsidRPr="00AE4B4A">
        <w:t>.</w:t>
      </w:r>
      <w:r w:rsidRPr="00AE4B4A" w:rsidR="00A73ABA">
        <w:t>XXV</w:t>
      </w:r>
      <w:r w:rsidRPr="00AE4B4A">
        <w:t>). No entanto, o mesmo dispositivo não se aplica, na redação original, a conflitos armados não internacionais, o que evidencia uma lacuna em um sistema que deveria abarcar igualmente esse tipo de conflito (</w:t>
      </w:r>
      <w:r w:rsidRPr="00AE4B4A" w:rsidR="00445954">
        <w:t>Starvation Accountability, 2019</w:t>
      </w:r>
      <w:r w:rsidRPr="00AE4B4A">
        <w:t>). Para enfrentar essa falha, a Suíça propôs em 2018 uma emenda ao Estatuto de Roma, buscando estender a criminalização da fome a conflitos não internacionais, com redação praticamente idêntica à já existente, alinhando o Estatuto ao DIH convencional e consuetudinário (</w:t>
      </w:r>
      <w:r w:rsidRPr="00AE4B4A" w:rsidR="00445954">
        <w:t>Starvation Accountability</w:t>
      </w:r>
      <w:r w:rsidRPr="00AE4B4A">
        <w:t>, 2019). No plano das Nações Unidas, a aprovação da Resolução 2417 do Conselho de Segurança, em 2018, reforça a mesma compreensão, ao reconhecer que o uso da fome contra civis e a obstrução da ajuda humanitária podem constituir crimes de guerra, sem distinguir entre conflitos internacionais e não internacionais (CSNU, Res. 2417/2018). A resolução conclama os Estados a prevenir, investigar e responsabilizar os autores dessas práticas, bem como a integrar a análise de insegurança alimentar às agendas de paz e segurança (FAO, 2019). Em paralelo, diversos países passaram a incluir em seus códigos penais a fome como crime de guerra, tanto em IAC quanto em NIAC, como França, Alemanha, Etiópia e Holanda, que reformaram sua legislação após a Resolução 2417, demonstrando um avanço no enfrentamento dessa problemática (</w:t>
      </w:r>
      <w:r w:rsidR="00784CA9">
        <w:t>Schaer</w:t>
      </w:r>
      <w:r w:rsidRPr="00AE4B4A">
        <w:t>, 2025; CICV, 2024).</w:t>
      </w:r>
    </w:p>
    <w:p w:rsidRPr="00AE4B4A" w:rsidR="0096705A" w:rsidP="00095198" w:rsidRDefault="0096705A" w14:paraId="6B8B0DB0" w14:textId="76B0DB8B">
      <w:pPr>
        <w:spacing w:after="140" w:line="360" w:lineRule="auto"/>
        <w:jc w:val="both"/>
      </w:pPr>
      <w:r w:rsidRPr="00AE4B4A">
        <w:t>Durante o conflito entre a antiga Iugoslávia e a Croácia (1991</w:t>
      </w:r>
      <w:r w:rsidRPr="00AE4B4A">
        <w:noBreakHyphen/>
      </w:r>
      <w:r w:rsidRPr="00AE4B4A">
        <w:t xml:space="preserve">1995), o Exército Popular Iugoslavo (JNA) cercou e bombardeou a cidade croata de </w:t>
      </w:r>
      <w:r w:rsidRPr="00AA68CC">
        <w:rPr>
          <w:i/>
          <w:iCs/>
        </w:rPr>
        <w:t>Zadar</w:t>
      </w:r>
      <w:r w:rsidRPr="00AE4B4A">
        <w:t>, direcionando artilharia e foguetes contra bairros civis, igrejas e estruturas essenciais à vida cotidiana, o que levou à morte de pelo menos 30 civis e à destruição de dezenas de edifícios de relevância econômica e cultural, sem que se configurasse qualquer necessidade militar concreta para tais ataques (</w:t>
      </w:r>
      <w:r w:rsidRPr="00AE4B4A" w:rsidR="00AA68CC">
        <w:t>International Crimes Database</w:t>
      </w:r>
      <w:r w:rsidRPr="00AE4B4A">
        <w:t xml:space="preserve">, 2014). Em 24 de abril de 1997, o Tribunal do Condado de </w:t>
      </w:r>
      <w:r w:rsidRPr="00120290">
        <w:rPr>
          <w:i/>
          <w:iCs/>
        </w:rPr>
        <w:t>Zadar</w:t>
      </w:r>
      <w:r w:rsidRPr="00AE4B4A">
        <w:t xml:space="preserve"> condenou, </w:t>
      </w:r>
      <w:r w:rsidRPr="00AA68CC">
        <w:rPr>
          <w:i/>
          <w:iCs/>
        </w:rPr>
        <w:t>in absentia</w:t>
      </w:r>
      <w:r w:rsidRPr="00AE4B4A">
        <w:t xml:space="preserve">, 19 oficiais do JNA a penas entre 10 e 20 anos de prisão por crimes de guerra contra civis e crimes contra a humanidade, com fundamento na Convenção de Haia IV (art. 25), na Quarta Convenção de Genebra (art. 3) e no Protocolo Adicional II (arts. 13 e 14), reconhecendo que o cerco e os ataques violaram diretamente o direito de subsistência da população de </w:t>
      </w:r>
      <w:r w:rsidRPr="00AA68CC">
        <w:rPr>
          <w:i/>
          <w:iCs/>
        </w:rPr>
        <w:t>Zadar</w:t>
      </w:r>
      <w:r w:rsidRPr="00AE4B4A">
        <w:t xml:space="preserve"> (</w:t>
      </w:r>
      <w:r w:rsidRPr="00AE4B4A" w:rsidR="00120290">
        <w:t>International Crimes Database</w:t>
      </w:r>
      <w:r w:rsidRPr="00AE4B4A">
        <w:t>, 2014). Entre os condenados estava o coronel Momčilo Perišić, comandante do Centro de Artilharia responsável pela seleção de alvos e ordens de fogo, o que torna o caso um raro exemplo de responsabilização da cadeia de comando por condutas que, na prática, equivalem ao uso da privação de recursos civis e da fome como método de guerra (</w:t>
      </w:r>
      <w:r w:rsidRPr="00AE4B4A" w:rsidR="00120290">
        <w:t>International Crimes Database</w:t>
      </w:r>
      <w:r w:rsidRPr="00AE4B4A">
        <w:t>, 2014)</w:t>
      </w:r>
      <w:r w:rsidR="003E3D6E">
        <w:t>.</w:t>
      </w:r>
    </w:p>
    <w:p w:rsidRPr="00120290" w:rsidR="005B3F76" w:rsidP="005B3F76" w:rsidRDefault="0096705A" w14:paraId="3BFE3819" w14:textId="08F35110">
      <w:pPr>
        <w:spacing w:after="140" w:line="360" w:lineRule="auto"/>
        <w:jc w:val="both"/>
      </w:pPr>
      <w:r w:rsidRPr="00AE4B4A">
        <w:t xml:space="preserve">Ao trazer esse precedente para o centro da análise, é possível articular de forma coerente os eixos construídos ao longo da monografia. </w:t>
      </w:r>
      <w:r w:rsidRPr="00120290" w:rsidR="005B3F76">
        <w:t xml:space="preserve">Esse emprego da fome como instrumento de dominação articula-se a outras formas de opressão que produzem populações racializadas, estigmadas como vidas inferiores e matáveis. </w:t>
      </w:r>
      <w:r w:rsidR="00C547E2">
        <w:t>Para</w:t>
      </w:r>
      <w:r w:rsidRPr="00120290" w:rsidR="005B3F76">
        <w:t xml:space="preserve"> </w:t>
      </w:r>
      <w:r w:rsidR="00C547E2">
        <w:t>Martins (2023, pág. 91)</w:t>
      </w:r>
      <w:r w:rsidRPr="00120290" w:rsidR="005B3F76">
        <w:t>, o soberano é aquele que “tem o poder jurídico de decidir sobre a legalidade, a validade e a suspensão das leis”, e é justamente essa capacidade de suspensão que permite expor determinados corpos à condição de vida nua, isto é, a uma existência incluída no ordenamento apenas sob a forma de sua “absoluta matabilidade”. O ordenamento jurídico normativo pode ser compreendido como o conjunto de regras, instituições e critérios que estruturam a ordem jurídica e definem o que é considerado válido, normal e aplicável. Em Agamben</w:t>
      </w:r>
      <w:r w:rsidR="00C547E2">
        <w:t xml:space="preserve"> (</w:t>
      </w:r>
      <w:r w:rsidR="00F050E8">
        <w:t>2007</w:t>
      </w:r>
      <w:r w:rsidR="00C547E2">
        <w:t>)</w:t>
      </w:r>
      <w:r w:rsidRPr="00120290" w:rsidR="005B3F76">
        <w:t>, esse ordenamento não funciona de modo neutro, pois a soberania se exerce justamente na capacidade de decidir sobre a suspensão da norma. Isso significa que o soberano não está fora do direito, mas atua a partir dele, determinando quando a lei vale, quando é interrompida e quem permanece protegido por sua eficácia. Nesse movimento, o próprio ordenamento passa a produzir zonas de exceção, nas quais determinados corpos são incluídos apenas sob a forma de sua exposição à vulnerabilidade e à matabilidade. Assim, a violência não aparece como algo externo à ordem jurídica, mas como possibilidade inscrita na própria estrutura normativa que organiza a vida social. (</w:t>
      </w:r>
      <w:r w:rsidRPr="00120290" w:rsidR="00F050E8">
        <w:t xml:space="preserve">Agamben, </w:t>
      </w:r>
      <w:r w:rsidR="00F050E8">
        <w:t>2007</w:t>
      </w:r>
      <w:r w:rsidRPr="00120290" w:rsidR="005B3F76">
        <w:t>,). Em Fanon</w:t>
      </w:r>
      <w:r w:rsidR="00F050E8">
        <w:t xml:space="preserve"> (1968</w:t>
      </w:r>
      <w:r w:rsidR="0021701D">
        <w:t xml:space="preserve">, </w:t>
      </w:r>
      <w:r w:rsidRPr="00120290" w:rsidR="0021701D">
        <w:t>p</w:t>
      </w:r>
      <w:r w:rsidR="0021701D">
        <w:t>ág</w:t>
      </w:r>
      <w:r w:rsidRPr="00120290" w:rsidR="0021701D">
        <w:t>. 29</w:t>
      </w:r>
      <w:r w:rsidR="00F050E8">
        <w:t>)</w:t>
      </w:r>
      <w:r w:rsidRPr="00120290" w:rsidR="005B3F76">
        <w:t>, a cidade do colonizado é apresentada como um espaço da fome e da despossessão, uma “sociedade de negros, uma cidade de árabes”, em contraste com a cidade do colono, marcada pela abundância e pela proteção</w:t>
      </w:r>
      <w:r w:rsidR="0021701D">
        <w:t>.</w:t>
      </w:r>
      <w:r w:rsidRPr="00120290" w:rsidR="005B3F76">
        <w:t xml:space="preserve"> Já em Mbembe</w:t>
      </w:r>
      <w:r w:rsidR="00F050E8">
        <w:t xml:space="preserve"> (2018)</w:t>
      </w:r>
      <w:r w:rsidRPr="00120290" w:rsidR="005B3F76">
        <w:t>, essa lógica se radicaliza na já falada, necropolítica, isto é, na política da morte, pela qual a soberania se exerce como poder de decidir quem deve viver e quem pode ser exposto à morte, convertendo a destruição das condições de existência em técnica de governo</w:t>
      </w:r>
      <w:r w:rsidR="00F050E8">
        <w:t xml:space="preserve">. </w:t>
      </w:r>
      <w:r w:rsidRPr="00120290" w:rsidR="005B3F76">
        <w:t xml:space="preserve">À luz desses autores, a privação alimentar imposta a populações não pode ser lida como efeito secundário do conflito, mas como parte de uma racionalidade que combina abandono, segregação e administração da morte. A fome, nesse contexto, deixa de ser apenas carência material e passa a operar como forma de sujeição de corpos considerados dispensáveis, em continuidade com a produção colonial de vidas desqualificadas e com a suspensão prática de sua plena humanidade. </w:t>
      </w:r>
    </w:p>
    <w:p w:rsidR="0096705A" w:rsidP="00095198" w:rsidRDefault="0096705A" w14:paraId="0F992736" w14:textId="66ACD1B6">
      <w:pPr>
        <w:spacing w:line="360" w:lineRule="auto"/>
        <w:jc w:val="both"/>
      </w:pPr>
      <w:r w:rsidRPr="00AE4B4A">
        <w:t>Diante das brechas identificadas no plano internacional para a tipificação autônoma da fome e da importância de experiências concretas de responsabilização, o passo seguinte será voltar o olhar à realidade brasileira para sustentar que a construção interna de uma soberania alimentar robusta, alicerçada no Direito Agrário, na função social voltada ao acesso ao alimento e em políticas públicas de combate à fome, pode oferecer à comunidade internacional um modelo normativo e institucional capaz de deslocar definitivamente a fome do campo das armas para o campo dos direitos que o ordenamento jurídico se compromete a proteger e efetivar (</w:t>
      </w:r>
      <w:r w:rsidRPr="00AE4B4A" w:rsidR="0021701D">
        <w:t>Brasil, 1988; Brasil, 2006; Marques</w:t>
      </w:r>
      <w:r w:rsidRPr="00AE4B4A">
        <w:t>, 2015).</w:t>
      </w:r>
    </w:p>
    <w:p w:rsidR="00C31314" w:rsidP="00C31314" w:rsidRDefault="00C31314" w14:paraId="1C270F57" w14:textId="77777777">
      <w:pPr>
        <w:suppressAutoHyphens/>
        <w:jc w:val="both"/>
      </w:pPr>
      <w:bookmarkStart w:name="OLE_LINK12" w:id="22"/>
    </w:p>
    <w:p w:rsidR="00C31314" w:rsidP="00C31314" w:rsidRDefault="00C31314" w14:paraId="69464F81" w14:textId="77777777">
      <w:pPr>
        <w:suppressAutoHyphens/>
        <w:jc w:val="both"/>
      </w:pPr>
    </w:p>
    <w:p w:rsidRPr="0021701D" w:rsidR="005A3612" w:rsidP="0021701D" w:rsidRDefault="0021701D" w14:paraId="0C7F339A" w14:textId="3F94374A">
      <w:pPr>
        <w:suppressAutoHyphens/>
        <w:spacing w:line="360" w:lineRule="auto"/>
        <w:jc w:val="both"/>
      </w:pPr>
      <w:r w:rsidRPr="0021701D">
        <w:t>4.3</w:t>
      </w:r>
      <w:r w:rsidRPr="0021701D" w:rsidR="004B2FBD">
        <w:t xml:space="preserve"> </w:t>
      </w:r>
      <w:r w:rsidRPr="005A3612" w:rsidR="005A3612">
        <w:t>A EXPERIÊNCIA BRASILEIRA EM SEGURANÇA ALIMENTAR COMO PARÂMETRO JURÍDICO-POLÍTICO DIANTE DA INSTRUMENTALIZAÇÃO DA FOME</w:t>
      </w:r>
    </w:p>
    <w:p w:rsidR="00820525" w:rsidP="00C31314" w:rsidRDefault="00820525" w14:paraId="7FD8D4CB" w14:textId="77777777">
      <w:pPr>
        <w:jc w:val="both"/>
        <w:rPr>
          <w:b/>
          <w:bCs/>
        </w:rPr>
      </w:pPr>
    </w:p>
    <w:p w:rsidR="004B2FBD" w:rsidP="00C31314" w:rsidRDefault="004B2FBD" w14:paraId="54B2AA62" w14:textId="77777777">
      <w:pPr>
        <w:jc w:val="both"/>
        <w:rPr>
          <w:b/>
          <w:bCs/>
        </w:rPr>
      </w:pPr>
    </w:p>
    <w:bookmarkEnd w:id="22"/>
    <w:p w:rsidRPr="00820525" w:rsidR="00820525" w:rsidP="0021701D" w:rsidRDefault="00820525" w14:paraId="4B5441EF" w14:textId="0EF615CD">
      <w:pPr>
        <w:suppressAutoHyphens/>
        <w:spacing w:after="140" w:line="360" w:lineRule="auto"/>
        <w:jc w:val="both"/>
      </w:pPr>
      <w:r w:rsidRPr="00820525">
        <w:t>A compreensão do direito agrário como direito humano essencial, diretamente vinculado à efetivação do Direito Humano à Alimentação Adequada (DHAA) e à dignidade da pessoa humana, permite situar a experiência brasileira como um referencial jurídico e político relevante para a comunidade internacional, sobretudo em contextos em que a fome é instrumentalizada como mecanismo de controle social e expressão de necropolítica. Ao reconhecer o alimento como bem jurídico fundamental e não mera mercadoria, o ordenamento brasileiro, especialmente a partir da Constituição de 1988, da ratificação do PIDESC em 1992 e da Lei Orgânica de Segurança Alimentar e Nutricional (LOSAN), estrutura uma base normativa que vincula o Estado ao dever de garantir condições materiais de existência, projetando a segurança alimentar como elemento estruturante da soberania dos povos.</w:t>
      </w:r>
    </w:p>
    <w:p w:rsidRPr="00820525" w:rsidR="00820525" w:rsidP="0021701D" w:rsidRDefault="00820525" w14:paraId="7A724902" w14:textId="00831DFE">
      <w:pPr>
        <w:suppressAutoHyphens/>
        <w:spacing w:after="140" w:line="360" w:lineRule="auto"/>
        <w:jc w:val="both"/>
      </w:pPr>
      <w:r w:rsidRPr="00820525">
        <w:t xml:space="preserve">Essa construção normativa se materializa na inserção do direito à alimentação no art. 6º da Constituição Federal, por meio da Emenda Constitucional nº 64/2010, e na formulação de políticas públicas como o Programa Fome Zero (MP nº 103/2003, convertida em lei) e a Política Nacional de Segurança Alimentar e Nutricional (PNSAN, instituída pela </w:t>
      </w:r>
      <w:r w:rsidRPr="00820525" w:rsidR="00C31314">
        <w:t>LOSAN</w:t>
      </w:r>
      <w:r w:rsidRPr="00820525">
        <w:t>, 2006). Diferentemente de abordagens conjunturais, a institucionalização do DHAA no Brasil representa uma tentativa de consolidá-lo como política de Estado, isto é, como compromisso permanente e estruturante, e não como política de governo, sujeita a descontinuidades. Essa distinção é fundamental, pois evidencia que a garantia da alimentação adequada não pode depender de ciclos políticos, sob pena de se tornar vulnerável a estratégias que, por ação ou omissão, utilizam o sofrimento de parcelas da população como instrumento de gestão, lógica que se aproxima da noção de necropolítica ao admitir a exposição deliberada de grupos à precariedade alimentar (</w:t>
      </w:r>
      <w:r w:rsidRPr="00820525" w:rsidR="00C31314">
        <w:t>Mbembe</w:t>
      </w:r>
      <w:r w:rsidRPr="00820525">
        <w:t xml:space="preserve">, 2023; </w:t>
      </w:r>
      <w:r w:rsidRPr="00820525" w:rsidR="00DA6016">
        <w:t>Prandi; Duarte</w:t>
      </w:r>
      <w:r w:rsidRPr="00820525">
        <w:t xml:space="preserve">, </w:t>
      </w:r>
      <w:r w:rsidR="00DA6016">
        <w:t>2022).</w:t>
      </w:r>
      <w:r w:rsidRPr="00820525">
        <w:t xml:space="preserve"> </w:t>
      </w:r>
    </w:p>
    <w:p w:rsidRPr="00820525" w:rsidR="00820525" w:rsidP="0021701D" w:rsidRDefault="00820525" w14:paraId="0D67D41B" w14:textId="3E18F63F">
      <w:pPr>
        <w:suppressAutoHyphens/>
        <w:spacing w:after="140" w:line="360" w:lineRule="auto"/>
        <w:jc w:val="both"/>
      </w:pPr>
      <w:r w:rsidRPr="00820525">
        <w:t>Nesse sentido, a trajetória brasileira oferece um contraponto relevante a contextos, internos e internacionais, em que a fome é mobilizada como mecanismo de pressão. Seja por meio da omissão estatal na implementação de políticas estruturais, seja por estratégias externas como sanções e bloqueios econômicos que restringem o acesso a alimentos, observa-se a utilização da privação alimentar como instrumento de controle. Em contraste, o caso brasileiro demonstra que a positivação do direito à alimentação, aliada à criação de sistemas institucionais específicos, pode atuar como barreira jurídica e política a essas práticas.</w:t>
      </w:r>
    </w:p>
    <w:p w:rsidRPr="00820525" w:rsidR="00820525" w:rsidP="00820525" w:rsidRDefault="00820525" w14:paraId="6340C561" w14:textId="77777777">
      <w:pPr>
        <w:suppressAutoHyphens/>
        <w:spacing w:line="360" w:lineRule="auto"/>
        <w:jc w:val="both"/>
      </w:pPr>
      <w:r w:rsidRPr="00820525">
        <w:t>A consolidação desse modelo ocorreu de forma mais estruturada a partir da LOSAN (Lei nº 11.346/2006), que define a segurança alimentar como o acesso regular e permanente a alimentos de qualidade, em quantidade suficiente e sem comprometer outras necessidades essenciais, incorporando dimensões sociais, culturais, ambientais e econômicas. A criação do Sistema Nacional de Segurança Alimentar e Nutricional (SISAN) e a centralidade da participação social, especialmente por meio do Conselho Nacional de Segurança Alimentar e Nutricional (CONSEA), com 50% de representantes da sociedade civil (art. 4º, IX, Decreto nº 807/1993), estabelecem um modelo de governança participativa que amplia a legitimidade e a eficácia das políticas públicas. Essa estrutura não apenas operacionaliza o DHAA, mas também oferece um parâmetro institucional replicável para outros Estados e organismos internacionais, ao demonstrar que a efetivação do direito à alimentação depende da articulação entre Estado e sociedade.</w:t>
      </w:r>
    </w:p>
    <w:p w:rsidRPr="00820525" w:rsidR="00820525" w:rsidP="0021701D" w:rsidRDefault="00820525" w14:paraId="46E11592" w14:textId="77777777">
      <w:pPr>
        <w:suppressAutoHyphens/>
        <w:spacing w:after="140" w:line="360" w:lineRule="auto"/>
        <w:jc w:val="both"/>
      </w:pPr>
      <w:r w:rsidRPr="00820525">
        <w:t>O CONSEA, ao atuar na formulação de diretrizes (Decreto nº 4.582/2003), na articulação interministerial e no impulsionamento da inclusão do direito à alimentação no texto constitucional (EC nº 64/2010), evidencia o papel estratégico da participação social na consolidação de direitos fundamentais. A construção do Plano Nacional de Segurança Alimentar e Nutricional (PLANSAN, 2011–2015) e a realização das conferências nacionais (I CNSAN, 1994; II, 2004; III, 2007; IV, 2011; V, 2015) reforçam esse processo ao ampliar o conceito de segurança alimentar, integrando-o às dimensões social, cultural, ambiental e econômica, em consonância com a função social da terra (art. 186, CF/88) e com a concepção do direito agrário como direito humano.</w:t>
      </w:r>
    </w:p>
    <w:p w:rsidRPr="00B03D97" w:rsidR="00B03D97" w:rsidP="00B03D97" w:rsidRDefault="00820525" w14:paraId="40482469" w14:textId="1C3B878B">
      <w:pPr>
        <w:suppressAutoHyphens/>
        <w:spacing w:after="140" w:line="360" w:lineRule="auto"/>
        <w:jc w:val="both"/>
      </w:pPr>
      <w:r w:rsidRPr="00820525">
        <w:t xml:space="preserve">Os resultados dessa articulação foram reconhecidos internacionalmente, com a saída do Brasil do Mapa da Fome em 2014 (FAO, 2014), atribuída à combinação de políticas públicas estruturadas. No entanto, o retorno ao Mapa da Fome a partir de 2018 (IBGE; CONSEA), associado a cortes orçamentários e ao desmonte institucional do SISAN e do CONSEA (2019–2022), evidencia a fragilidade dessas conquistas quando não plenamente consolidadas como políticas de Estado. Dados da Rede Penssan (2020) apontam que 116,8 milhões de brasileiros viviam em algum grau de insegurança alimentar, sendo 43 milhões sem acesso suficiente a alimentos e 19 milhões em situação de fome. </w:t>
      </w:r>
      <w:r w:rsidRPr="00B03D97" w:rsidR="00B03D97">
        <w:t xml:space="preserve">Episódios emblemáticos, como as chamadas “filas do osso” (Bonin, 2021), e reportagens </w:t>
      </w:r>
      <w:r w:rsidR="00B03D97">
        <w:t>como</w:t>
      </w:r>
      <w:r w:rsidRPr="00B03D97" w:rsidR="00B03D97">
        <w:t xml:space="preserve"> “Garimpo contra a fome: sem comida, moradores do Rio recorrem a restos de ossos e carne rejeitados por supermercados” (Souza; Sabóia, 2021) e a cobertura da revista IstoÉ</w:t>
      </w:r>
      <w:r w:rsidR="00B03D97">
        <w:t xml:space="preserve">, </w:t>
      </w:r>
      <w:r w:rsidRPr="00B03D97" w:rsidR="00B03D97">
        <w:t>evidenciam a reemergência de formas extremas de violação dos direitos humanos relacionados à alimentação e à assistência social.</w:t>
      </w:r>
    </w:p>
    <w:p w:rsidRPr="00820525" w:rsidR="00820525" w:rsidP="0021701D" w:rsidRDefault="00820525" w14:paraId="1C85D9B5" w14:textId="1DFAF5A5">
      <w:pPr>
        <w:suppressAutoHyphens/>
        <w:spacing w:after="140" w:line="360" w:lineRule="auto"/>
        <w:jc w:val="both"/>
      </w:pPr>
      <w:r w:rsidRPr="00820525">
        <w:t xml:space="preserve">Essa oscilação revela que a segurança alimentar deve ser objeto de constante vigilância e aprofundamento, uma vez que sua fragilização compromete não apenas o acesso ao alimento, mas a própria soberania dos povos e sua capacidade de autodeterminação. A experiência brasileira, nesse ponto, dialoga diretamente com o cenário internacional, onde, mesmo diante de marcos normativos como o PIDESC (art. 11) e a Declaração de Roma (1996), persistem práticas que instrumentalizam a fome em contextos de crise, frequentemente invisibilizadas sob narrativas de ineficiência interna, mas também associadas a fins políticos e econômicos </w:t>
      </w:r>
      <w:r w:rsidRPr="004F52D5">
        <w:t>(</w:t>
      </w:r>
      <w:r w:rsidR="004F52D5">
        <w:t xml:space="preserve">De </w:t>
      </w:r>
      <w:r w:rsidRPr="004F52D5" w:rsidR="004F52D5">
        <w:t>Aguiar; Padrão</w:t>
      </w:r>
      <w:r w:rsidRPr="00820525">
        <w:t>, 2022).</w:t>
      </w:r>
    </w:p>
    <w:p w:rsidRPr="00820525" w:rsidR="00820525" w:rsidP="0021701D" w:rsidRDefault="00820525" w14:paraId="55FDAAA0" w14:textId="77777777">
      <w:pPr>
        <w:suppressAutoHyphens/>
        <w:spacing w:after="140" w:line="360" w:lineRule="auto"/>
        <w:jc w:val="both"/>
      </w:pPr>
      <w:r w:rsidRPr="00820525">
        <w:t>Ao internalizar esses marcos internacionais e desenvolver uma governança intersetorial e participativa, o Brasil passou a ser reconhecido como referência em políticas de segurança alimentar (FAO, 2014), inclusive com a difusão de suas experiências por meio de cooperação técnica internacional na América Latina e África. Tal reconhecimento decorre, sobretudo, da articulação entre normatividade constitucional, políticas públicas estruturadas e participação social, elementos que, combinados, oferecem parâmetros relevantes para outros países e organizações internacionais na construção de sistemas capazes de prevenir a instrumentalização da fome. Exemplos dessa influência podem ser observados em experiências internacionais inspiradas por marcos globais como o PIDESC (art. 11) e a Declaração de Roma (1996), como a Lei Nacional de Segurança Alimentar da Índia (</w:t>
      </w:r>
      <w:r w:rsidRPr="004F52D5">
        <w:rPr>
          <w:i/>
          <w:iCs/>
        </w:rPr>
        <w:t>National Food Security Ac</w:t>
      </w:r>
      <w:r w:rsidRPr="00820525">
        <w:t>t, 2013) e a Constituição da África do Sul (1996), que também incorporam o direito à alimentação como obrigação estatal.</w:t>
      </w:r>
    </w:p>
    <w:p w:rsidRPr="00820525" w:rsidR="00820525" w:rsidP="0021701D" w:rsidRDefault="00820525" w14:paraId="7F87ACF7" w14:textId="77777777">
      <w:pPr>
        <w:suppressAutoHyphens/>
        <w:spacing w:after="140" w:line="360" w:lineRule="auto"/>
        <w:jc w:val="both"/>
      </w:pPr>
      <w:r w:rsidRPr="00820525">
        <w:t>Ainda assim, o caso brasileiro também funciona como alerta: a vulnerabilidade interna das políticas públicas pode facilitar tanto a reprodução doméstica quanto a incidência internacional de práticas que utilizam a fome como instrumento de poder. Nesse sentido, a consolidação de um Direito Agrário Humanístico, que compreenda a terra não apenas como ativo econômico, mas como meio de garantia da vida e da dignidade, torna-se essencial. Em um país cuja base econômica está fortemente vinculada ao setor agropecuário, essa perspectiva reforça a centralidade do alimento como elemento estruturante da vida social, política e econômica.</w:t>
      </w:r>
    </w:p>
    <w:p w:rsidRPr="00820525" w:rsidR="00820525" w:rsidP="0021701D" w:rsidRDefault="00820525" w14:paraId="13036EB4" w14:textId="5CB7ED02">
      <w:pPr>
        <w:suppressAutoHyphens/>
        <w:spacing w:after="140" w:line="360" w:lineRule="auto"/>
        <w:jc w:val="both"/>
      </w:pPr>
      <w:r w:rsidRPr="00820525">
        <w:t>O desafio, portanto, está em consolidar um “Direito Agrário Humanístico” (</w:t>
      </w:r>
      <w:r w:rsidRPr="004F52D5" w:rsidR="004F52D5">
        <w:t>Maniglia</w:t>
      </w:r>
      <w:r w:rsidR="004F52D5">
        <w:t>, 2009, pág. 82</w:t>
      </w:r>
      <w:r w:rsidRPr="00820525">
        <w:t>), que harmonize os interesses econômicos com a realização dos direitos fundamentais, compreendendo a terra, base do agro e da economia brasileira (responsável por aproximadamente 25% do PIB e 43% das exportações, EMBRAPA, 2020), não como reserva de valor, mas como meio de sobrevivência das gerações e espaço de produção de alimento digno. Isso exige políticas públicas de longo prazo, educação para o uso sustentável da terra, fortalecimento da participação social e proteção dos mecanismos normativos que vinculam o Estado ao dever de garantir o DHAA. Para que, assim, a frase popularmente difundida “agro é pop, agro é tudo” (Campanha Globo, 2017) se concretize para além do discurso.</w:t>
      </w:r>
    </w:p>
    <w:p w:rsidRPr="00820525" w:rsidR="00820525" w:rsidP="0021701D" w:rsidRDefault="00820525" w14:paraId="64182F8B" w14:textId="285FA1CF">
      <w:pPr>
        <w:suppressAutoHyphens/>
        <w:spacing w:after="140" w:line="360" w:lineRule="auto"/>
        <w:jc w:val="both"/>
      </w:pPr>
      <w:r w:rsidRPr="00820525">
        <w:t>A ideia de que “o agro é pop” pode ser reinterpretada, nesse contexto, não apenas como expressão de sua relevância econômica, mas como indicativo de sua dimensão popular e estrutural: o alimento é universal, atravessa todas as esferas da vida e constitui a base material da existência. Por isso, a segurança alimentar e o direito agrário, enquanto direito humano, devem ocupar posição central no debate jurídico e político, tanto no plano nacional quanto internacional, especialmente como instrumentos de enfrentamento à instrumentalização da fome e de afirmação da soberania dos povos.</w:t>
      </w:r>
    </w:p>
    <w:p w:rsidR="004B2FBD" w:rsidP="00095198" w:rsidRDefault="004B2FBD" w14:paraId="45DCB3DB" w14:textId="53B4E1B1">
      <w:pPr>
        <w:suppressAutoHyphens/>
        <w:spacing w:line="360" w:lineRule="auto"/>
        <w:jc w:val="both"/>
      </w:pPr>
      <w:r w:rsidRPr="004B2FBD">
        <w:t xml:space="preserve">Ao mesmo tempo, o caso brasileiro serve de alerta para a necessidade de blindar essas conquistas </w:t>
      </w:r>
      <w:r w:rsidRPr="004B2FBD" w:rsidR="009377A9">
        <w:t>contraciclos</w:t>
      </w:r>
      <w:r w:rsidRPr="004B2FBD">
        <w:t xml:space="preserve"> de desmonte, pois a vulnerabilidade interna das políticas de segurança alimentar facilita a instrumentalização da fome tanto em chave doméstica quanto em chave internacional, como observa</w:t>
      </w:r>
      <w:r w:rsidR="00795AEE">
        <w:t xml:space="preserve">m Prandi e </w:t>
      </w:r>
      <w:r w:rsidRPr="004B2FBD">
        <w:t>Duarte</w:t>
      </w:r>
      <w:r w:rsidR="005A6685">
        <w:t xml:space="preserve"> </w:t>
      </w:r>
      <w:r w:rsidRPr="00BF364A" w:rsidR="00BF364A">
        <w:rPr>
          <w:i/>
          <w:iCs/>
        </w:rPr>
        <w:t>apud</w:t>
      </w:r>
      <w:r w:rsidR="00BF364A">
        <w:t xml:space="preserve"> </w:t>
      </w:r>
      <w:r w:rsidRPr="00BF364A" w:rsidR="007814E0">
        <w:t>Mbembe</w:t>
      </w:r>
      <w:r w:rsidR="007814E0">
        <w:t xml:space="preserve"> </w:t>
      </w:r>
      <w:r w:rsidR="00BF364A">
        <w:t>(</w:t>
      </w:r>
      <w:r w:rsidR="007814E0">
        <w:t>2022</w:t>
      </w:r>
      <w:r w:rsidR="005A6685">
        <w:t xml:space="preserve">; 2021, </w:t>
      </w:r>
      <w:r w:rsidR="00BF364A">
        <w:t xml:space="preserve">pág. </w:t>
      </w:r>
      <w:r w:rsidR="00DA6016">
        <w:t>34</w:t>
      </w:r>
      <w:r w:rsidR="00BF364A">
        <w:t>)</w:t>
      </w:r>
      <w:r w:rsidRPr="004B2FBD">
        <w:t>: "</w:t>
      </w:r>
      <w:r w:rsidRPr="00BF364A" w:rsidR="00BF364A">
        <w:t xml:space="preserve">O conceito de necropolítica pressupõe que, em um Estado soberano, aquele que detém o poder dita quem pode viver e quem deve morrer </w:t>
      </w:r>
      <w:r w:rsidRPr="004B2FBD">
        <w:t>".</w:t>
      </w:r>
    </w:p>
    <w:p w:rsidR="005B3F76" w:rsidP="0086076E" w:rsidRDefault="0021701D" w14:paraId="42D00BE0" w14:textId="366BCCBE">
      <w:pPr>
        <w:suppressAutoHyphens/>
      </w:pPr>
      <w:r>
        <w:br w:type="page"/>
      </w:r>
    </w:p>
    <w:p w:rsidR="005B3F76" w:rsidP="00842650" w:rsidRDefault="0086076E" w14:paraId="78C6866A" w14:textId="6B4D8220">
      <w:pPr>
        <w:pStyle w:val="Corpodetexto"/>
        <w:spacing w:line="360" w:lineRule="auto"/>
        <w:rPr>
          <w:b/>
          <w:bCs/>
        </w:rPr>
      </w:pPr>
      <w:r w:rsidRPr="0086076E">
        <w:rPr>
          <w:b/>
          <w:bCs/>
        </w:rPr>
        <w:t>CONSIDERAÇÕES FINAIS</w:t>
      </w:r>
    </w:p>
    <w:p w:rsidR="00842650" w:rsidP="00842650" w:rsidRDefault="00842650" w14:paraId="08952AA1" w14:textId="77777777">
      <w:pPr>
        <w:pStyle w:val="Corpodetexto"/>
        <w:spacing w:line="360" w:lineRule="auto"/>
        <w:rPr>
          <w:b/>
          <w:bCs/>
        </w:rPr>
      </w:pPr>
    </w:p>
    <w:p w:rsidR="00842650" w:rsidP="00842650" w:rsidRDefault="00842650" w14:paraId="237185FB" w14:textId="77777777">
      <w:pPr>
        <w:pStyle w:val="Corpodetexto"/>
        <w:spacing w:line="360" w:lineRule="auto"/>
        <w:rPr>
          <w:b/>
          <w:bCs/>
        </w:rPr>
      </w:pPr>
    </w:p>
    <w:p w:rsidRPr="00FC6D7A" w:rsidR="00FC6D7A" w:rsidP="00842650" w:rsidRDefault="00FC6D7A" w14:paraId="261FB815" w14:textId="77777777">
      <w:pPr>
        <w:suppressAutoHyphens/>
        <w:spacing w:after="140" w:line="360" w:lineRule="auto"/>
        <w:jc w:val="both"/>
      </w:pPr>
      <w:r w:rsidRPr="00FC6D7A">
        <w:t>Ao longo desta pesquisa, tornou-se possível perceber que a terra não é apenas superfície, mas origem: dela emanam a produção, a subsistência, a permanência dos grupos humanos e a própria possibilidade de soberania. Quando esse vínculo é rompido, não se compromete apenas a economia de um povo, mas a estrutura material que sustenta sua liberdade, sua autonomia e sua continuidade histórica. Por isso, o Direito Agrário revelou-se, no presente trabalho, não como disciplina acessória do ordenamento, mas como instrumento de contenção da desigualdade e de proteção da vida coletiva, justamente porque sua centralidade repousa sobre a função social da propriedade e sobre a exigência de que a terra produza em favor do interesse comum.</w:t>
      </w:r>
    </w:p>
    <w:p w:rsidRPr="00FC6D7A" w:rsidR="00FC6D7A" w:rsidP="00842650" w:rsidRDefault="00FC6D7A" w14:paraId="29E5C317" w14:textId="77777777">
      <w:pPr>
        <w:suppressAutoHyphens/>
        <w:spacing w:after="140" w:line="360" w:lineRule="auto"/>
        <w:jc w:val="both"/>
      </w:pPr>
      <w:r w:rsidRPr="00FC6D7A">
        <w:t>Nesse percurso, verificou-se que a segurança alimentar não pode ser reduzida a uma noção técnica de oferta de bens, nem tratada como variável periférica da política pública. Ela se revelou, antes, como condição concreta da dignidade humana, pois define se corpos viverão com saúde, se comunidades preservarão sua autonomia e se povos poderão projetar o próprio futuro sem submissão estrutural. A fome, nesse sentido, não se apresentou como acidente neutro da escassez, mas como expressão extrema da desigualdade, da exclusão e da negação do acesso aos meios materiais de existência. Assim, a alimentação surgiu, no desenvolvimento do trabalho, como direito essencial e, ao mesmo tempo, como chave interpretativa para compreender a justiça social em sua dimensão mais elementar.</w:t>
      </w:r>
    </w:p>
    <w:p w:rsidRPr="00FC6D7A" w:rsidR="00FC6D7A" w:rsidP="00842650" w:rsidRDefault="00FC6D7A" w14:paraId="6E7A0B71" w14:textId="77777777">
      <w:pPr>
        <w:suppressAutoHyphens/>
        <w:spacing w:after="140" w:line="360" w:lineRule="auto"/>
        <w:jc w:val="both"/>
      </w:pPr>
      <w:r w:rsidRPr="00FC6D7A">
        <w:t>A análise desenvolvida permitiu compreender, ainda, que o Direito Agrário pode e deve ser lido como direito humano elementar, porque é a partir dele que se organiza juridicamente o acesso à base material da produção de alimentos. Não se trata apenas de disciplinar a posse, o uso ou a produtividade da terra, mas de assegurar, por meio de sua função social, as condições concretas para a garantia da segurança alimentar, que constitui direito humano básico e indispensável à própria existência digna. Nessa perspectiva, tornou-se evidente que, sem terra produtiva orientada ao interesse coletivo, sem acesso estável aos meios de cultivo, de distribuição e de abastecimento, esvazia-se a possibilidade de uma soberania real, porque nenhum povo permanece verdadeiramente autônomo quando depende da vontade de terceiros para comer.</w:t>
      </w:r>
    </w:p>
    <w:p w:rsidRPr="00FC6D7A" w:rsidR="00FC6D7A" w:rsidP="00842650" w:rsidRDefault="00FC6D7A" w14:paraId="5B15CFD5" w14:textId="77777777">
      <w:pPr>
        <w:suppressAutoHyphens/>
        <w:spacing w:after="140" w:line="360" w:lineRule="auto"/>
        <w:jc w:val="both"/>
      </w:pPr>
      <w:r w:rsidRPr="00FC6D7A">
        <w:t>A análise do alimento como elemento social, cultural e político reforçou essa compreensão ao demonstrar que comer significa muito mais do que sobreviver biologicamente. Alimentar-se implica pertencer, reconhecer-se em uma coletividade, preservar memórias, modos de vida e formas de transmissão cultural. Quando esse processo é interrompido por bloqueios, cercos, destruição de rotas de abastecimento ou restrições deliberadas ao acesso a insumos vitais, não se afeta apenas a mesa: afeta-se a continuidade do próprio grupo enquanto sujeito histórico. É nesse ponto que a fome deixa de ser carência e passa a funcionar como mecanismo de dominação, silencioso, prolongado e devastador.</w:t>
      </w:r>
    </w:p>
    <w:p w:rsidRPr="00FC6D7A" w:rsidR="00FC6D7A" w:rsidP="00842650" w:rsidRDefault="00FC6D7A" w14:paraId="6ED2F9DD" w14:textId="77777777">
      <w:pPr>
        <w:suppressAutoHyphens/>
        <w:spacing w:after="140" w:line="360" w:lineRule="auto"/>
        <w:jc w:val="both"/>
      </w:pPr>
      <w:r w:rsidRPr="00FC6D7A">
        <w:t>Foi precisamente nessa chave que o presente estudo examinou os contextos de crise contemporâneos, com especial atenção à Palestina. O caso palestino mostrou, de modo agudo, como a restrição ao alimento, à água, à circulação e aos meios de produção pode integrar uma engrenagem mais ampla de controle político e territorial. O cerco, os bloqueios e a fragmentação das condições de vida não atingem apenas a sobrevivência imediata da população civil; produzem desgaste social, desorganização comunitária e enfraquecimento da capacidade coletiva de resistência. Por isso, a Palestina não apareceu nesta monografia como caso isolado, mas como expressão especialmente visível de uma prática recorrente na história dos conflitos: a conversão da fome em instrumento de poder.</w:t>
      </w:r>
    </w:p>
    <w:p w:rsidRPr="00FC6D7A" w:rsidR="00FC6D7A" w:rsidP="00842650" w:rsidRDefault="00FC6D7A" w14:paraId="2EC88B2C" w14:textId="77777777">
      <w:pPr>
        <w:suppressAutoHyphens/>
        <w:spacing w:after="140" w:line="360" w:lineRule="auto"/>
        <w:jc w:val="both"/>
      </w:pPr>
      <w:r w:rsidRPr="00FC6D7A">
        <w:t>Esse mesmo raciocínio projeta-se sobre outros contextos de crise, nos quais a escassez é administrada, o acesso é condicionado e a vida civil é submetida a estratégias de sufocamento. A instrumentalização da fome em guerras, ocupações, sanções, cercos e bloqueios revela que o alimento pode ser convertido em arma, e talvez resida aí uma das formas mais cruéis de violência, porque não se apresenta de modo instantâneo, mas corrói lentamente a existência até transformar a sobrevivência em exercício de exaustão. É por isso que a gravidade dessa prática precisa ser compreendida com a mesma seriedade conferida a outras formas bárbaras de violação: embora muitas vezes tratada como dano colateral ou efeito secundário da guerra, a fome produzida politicamente destrói corpos, dissolve vínculos comunitários, esgota a resistência e compromete a própria continuidade de um povo, aproximando-se, em seus efeitos, de crimes cuja brutalidade já recebeu do direito e da consciência internacional a devida reprovação.</w:t>
      </w:r>
    </w:p>
    <w:p w:rsidRPr="00FC6D7A" w:rsidR="00FC6D7A" w:rsidP="00842650" w:rsidRDefault="00FC6D7A" w14:paraId="5E8FE270" w14:textId="77777777">
      <w:pPr>
        <w:suppressAutoHyphens/>
        <w:spacing w:after="140" w:line="360" w:lineRule="auto"/>
        <w:jc w:val="both"/>
      </w:pPr>
      <w:r w:rsidRPr="00FC6D7A">
        <w:t>O direito à terra produtiva e à função social da propriedade revelou, portanto, que não há soberania possível quando o acesso à base material de produção de alimentos é destruído, restringido ou manipulado. A segurança alimentar, compreendida como direito humano e condição de dignidade, evidenciou que ataques a estoques, rotas, infraestruturas de abastecimento, fontes de água e meios de subsistência desestruturam a vida civil em seu núcleo mais elementar. E o cerco à Palestina, tomado como exemplo contemporâneo sem perder de vista outros cenários de crise e as tensões regionais que envolvem Israel e o mundo árabe, demonstrou como a fome pode ser convertida em ferramenta de dominação política e em mecanismo concreto de negação da autodeterminação dos povos, reforçando a centralidade da segurança alimentar como direito humano essencial.</w:t>
      </w:r>
    </w:p>
    <w:p w:rsidRPr="00FC6D7A" w:rsidR="00FC6D7A" w:rsidP="00842650" w:rsidRDefault="00FC6D7A" w14:paraId="50EEB927" w14:textId="77777777">
      <w:pPr>
        <w:suppressAutoHyphens/>
        <w:spacing w:after="140" w:line="360" w:lineRule="auto"/>
        <w:jc w:val="both"/>
      </w:pPr>
      <w:r w:rsidRPr="00FC6D7A">
        <w:t>No plano brasileiro, a reflexão conduzida permitiu compreender que a soberania não se sustenta em abstrações, nem em fórmulas retóricas desvinculadas das condições materiais de existência. Ela se realiza quando há estrutura agrária comprometida com a função social da terra, proteção do abastecimento, produção voltada à vida e reconhecimento de que alimentar a população não é efeito colateral do desenvolvimento, mas seu fundamento ético e jurídico. Nesse sentido, a experiência brasileira mostrou que o Direito Agrário, quando lido em chave humanística, não se limita a organizar relações patrimoniais no campo, mas atua como mediação concreta entre terra, dignidade humana, segurança alimentar e projeto democrático. Quando essa engrenagem se enfraquece, o que se compromete não é apenas a política agrária, mas a própria capacidade coletiva de sustentar autonomia social e soberania popular.</w:t>
      </w:r>
    </w:p>
    <w:p w:rsidRPr="00FC6D7A" w:rsidR="00FC6D7A" w:rsidP="00842650" w:rsidRDefault="00FC6D7A" w14:paraId="7141FE88" w14:textId="297DC541">
      <w:pPr>
        <w:suppressAutoHyphens/>
        <w:spacing w:after="140" w:line="360" w:lineRule="auto"/>
        <w:jc w:val="both"/>
      </w:pPr>
      <w:r w:rsidRPr="00FC6D7A">
        <w:t xml:space="preserve">Conclui-se, portanto, que a fome, quando produzida, tolerada ou utilizada como método de coerção, constitui forma gravíssima de violação da dignidade humana e ataque direto à autodeterminação dos povos. A análise desenvolvida demonstrou que o Direito Agrário, articulado à segurança alimentar, oferece uma chave crítica não apenas para compreender a estrutura das desigualdades históricas, mas também para desvelar práticas contemporâneas de dominação que, sob aparências diversas, operam pela asfixia material da vida e pela submissão progressiva de populações inteiras. O cerco à Palestina, examinado nesta monografia em diálogo com outros cenários de crise internacional, expôs de maneira contundente que retirar de um povo o acesso ao alimento não significa apenas privá-lo de um recurso essencial, mas atingir o centro mesmo de sua existência coletiva, de sua permanência histórica e de sua marcha soberana. Ao final, restou claro que terra, alimento e soberania formam um mesmo nó civilizatório: quando um deles é asfixiado, os demais se enfraquecem em cadeia. E, se o Direito Agrário garante, por meio da função social da terra, a base material da alimentação, é também por seu intermédio que se protege a possibilidade de um povo existir com dignidade, preservar sua autonomia e não sucumbir à fome transformada em arma de guerra. </w:t>
      </w:r>
      <w:r w:rsidRPr="004F677C" w:rsidR="004F677C">
        <w:t>Mais do que ramo jurídico de organização da vida rural, ele se afirmou, neste trabalho, como linguagem normativa de proteção da própria vida humana em comum, porque é na garantia do alimento e na recusa de sua instrumentalização que se decide, em última instância, se a ordem jurídica servirá à dignidade dos povos ou à legitimação de sua ruína.</w:t>
      </w:r>
    </w:p>
    <w:p w:rsidRPr="004B2FBD" w:rsidR="00FC6D7A" w:rsidP="00095198" w:rsidRDefault="00FC6D7A" w14:paraId="6922372B" w14:textId="77777777">
      <w:pPr>
        <w:suppressAutoHyphens/>
        <w:spacing w:line="360" w:lineRule="auto"/>
        <w:jc w:val="both"/>
        <w:rPr>
          <w:b/>
          <w:bCs/>
        </w:rPr>
      </w:pPr>
    </w:p>
    <w:p w:rsidRPr="004B2FBD" w:rsidR="005B3F76" w:rsidP="00095198" w:rsidRDefault="004B2FBD" w14:paraId="7478167D" w14:textId="3E03A695">
      <w:pPr>
        <w:suppressAutoHyphens/>
        <w:spacing w:line="360" w:lineRule="auto"/>
        <w:jc w:val="both"/>
        <w:rPr>
          <w:b/>
          <w:bCs/>
        </w:rPr>
      </w:pPr>
      <w:r w:rsidRPr="004B2FBD">
        <w:rPr>
          <w:b/>
          <w:bCs/>
        </w:rPr>
        <w:br w:type="page"/>
      </w:r>
    </w:p>
    <w:p w:rsidRPr="00251127" w:rsidR="00DB48B8" w:rsidRDefault="008D46EF" w14:paraId="708C53AE" w14:textId="43B1BC1C">
      <w:pPr>
        <w:pStyle w:val="Corpodetexto"/>
        <w:spacing w:line="360" w:lineRule="auto"/>
        <w:jc w:val="both"/>
      </w:pPr>
      <w:r w:rsidRPr="00251127">
        <w:rPr>
          <w:b/>
          <w:bCs/>
        </w:rPr>
        <w:t>REFE</w:t>
      </w:r>
      <w:r w:rsidRPr="00251127" w:rsidR="00795AEE">
        <w:rPr>
          <w:b/>
          <w:bCs/>
        </w:rPr>
        <w:t>RÊ</w:t>
      </w:r>
      <w:r w:rsidRPr="00251127">
        <w:rPr>
          <w:b/>
          <w:bCs/>
        </w:rPr>
        <w:t>NCIAS</w:t>
      </w:r>
      <w:r w:rsidRPr="00251127">
        <w:t xml:space="preserve"> </w:t>
      </w:r>
    </w:p>
    <w:p w:rsidRPr="00251127" w:rsidR="005B3F76" w:rsidRDefault="005B3F76" w14:paraId="372E927B" w14:textId="77777777">
      <w:pPr>
        <w:pStyle w:val="Corpodetexto"/>
        <w:spacing w:line="360" w:lineRule="auto"/>
      </w:pPr>
    </w:p>
    <w:p w:rsidR="008F087D" w:rsidP="008F087D" w:rsidRDefault="008F087D" w14:paraId="2E1AF4A2" w14:textId="092AED64">
      <w:pPr>
        <w:pStyle w:val="Corpodetexto"/>
        <w:spacing w:line="240" w:lineRule="auto"/>
      </w:pPr>
      <w:r w:rsidRPr="008F087D">
        <w:t>ACORDOS DE OSLO. Os Acordos de Oslo e o Processo de Paz Árabe-Israelense</w:t>
      </w:r>
      <w:r>
        <w:t xml:space="preserve">. 1993-2000. </w:t>
      </w:r>
      <w:r w:rsidRPr="003A37FE" w:rsidR="003A37FE">
        <w:t xml:space="preserve">Disponível </w:t>
      </w:r>
      <w:r>
        <w:t xml:space="preserve">em: </w:t>
      </w:r>
      <w:hyperlink w:history="1" r:id="rId11">
        <w:r w:rsidRPr="005076B2">
          <w:rPr>
            <w:rStyle w:val="Hyperlink"/>
          </w:rPr>
          <w:t>https://history.state.gov/milestones/1993-2000/oslo</w:t>
        </w:r>
      </w:hyperlink>
      <w:r>
        <w:t xml:space="preserve"> Acesso em 10 de março de 2026</w:t>
      </w:r>
    </w:p>
    <w:p w:rsidRPr="008F087D" w:rsidR="008F087D" w:rsidP="008F087D" w:rsidRDefault="008F087D" w14:paraId="031468A9" w14:textId="77777777">
      <w:pPr>
        <w:pStyle w:val="Corpodetexto"/>
        <w:spacing w:line="240" w:lineRule="auto"/>
      </w:pPr>
    </w:p>
    <w:p w:rsidRPr="0007759B" w:rsidR="003B72BF" w:rsidP="008D25BE" w:rsidRDefault="003B72BF" w14:paraId="0E5FA348" w14:textId="77777777">
      <w:pPr>
        <w:rPr>
          <w:lang w:val="en-US"/>
        </w:rPr>
      </w:pPr>
      <w:r w:rsidRPr="003B72BF">
        <w:rPr>
          <w:lang w:val="en-US"/>
        </w:rPr>
        <w:t xml:space="preserve">ACTION AGAINST HUNGER. Yemen: starvation may have been used as a method of warfare. </w:t>
      </w:r>
      <w:r w:rsidRPr="003B72BF">
        <w:t>Genebra, 2019. Disponível em: </w:t>
      </w:r>
      <w:hyperlink w:tgtFrame="_blank" w:history="1" r:id="rId12">
        <w:r w:rsidRPr="003B72BF">
          <w:rPr>
            <w:rStyle w:val="Hyperlink"/>
          </w:rPr>
          <w:t>https://www.actioncontrelafaim.org/en/news/press/yemen-starvation-may-have-been-used-as-a-method-of-warfare/</w:t>
        </w:r>
      </w:hyperlink>
      <w:r w:rsidRPr="003B72BF">
        <w:t xml:space="preserve">. </w:t>
      </w:r>
      <w:r w:rsidRPr="0007759B">
        <w:rPr>
          <w:lang w:val="en-US"/>
        </w:rPr>
        <w:t>Acesso em: 16 mar. 2026.</w:t>
      </w:r>
    </w:p>
    <w:p w:rsidR="003B72BF" w:rsidP="008D25BE" w:rsidRDefault="003B72BF" w14:paraId="0063C3EA" w14:textId="77777777">
      <w:pPr>
        <w:pStyle w:val="Corpodetexto"/>
        <w:spacing w:line="240" w:lineRule="auto"/>
        <w:rPr>
          <w:lang w:val="en-US"/>
        </w:rPr>
      </w:pPr>
    </w:p>
    <w:p w:rsidRPr="00C143C9" w:rsidR="00713CD7" w:rsidP="008D25BE" w:rsidRDefault="00713CD7" w14:paraId="17196B1A" w14:textId="2FCE1036">
      <w:r w:rsidRPr="00713CD7">
        <w:rPr>
          <w:lang w:val="en-US"/>
        </w:rPr>
        <w:t xml:space="preserve">AFRIKA, Llaila O. Nutricide: the nutritional destruction of the black race. </w:t>
      </w:r>
      <w:r w:rsidRPr="00C143C9">
        <w:t>Brooklyn: A&amp;B Books, 1993.</w:t>
      </w:r>
      <w:r w:rsidR="00AD54D5">
        <w:t xml:space="preserve"> Disponivel em: </w:t>
      </w:r>
      <w:hyperlink w:history="1" r:id="rId13">
        <w:r w:rsidRPr="005076B2" w:rsidR="00E06240">
          <w:rPr>
            <w:rStyle w:val="Hyperlink"/>
          </w:rPr>
          <w:t>https://pdfcoffee.com/nutricidepdf-pdf-free.html</w:t>
        </w:r>
      </w:hyperlink>
      <w:r w:rsidR="00E06240">
        <w:t xml:space="preserve"> Acesso em 20 de janeiro de 2026</w:t>
      </w:r>
    </w:p>
    <w:p w:rsidRPr="00C143C9" w:rsidR="00713CD7" w:rsidP="008D25BE" w:rsidRDefault="00713CD7" w14:paraId="06236654" w14:textId="77777777">
      <w:pPr>
        <w:pStyle w:val="Corpodetexto"/>
        <w:spacing w:line="240" w:lineRule="auto"/>
      </w:pPr>
    </w:p>
    <w:p w:rsidRPr="00333B2B" w:rsidR="00441218" w:rsidP="008D25BE" w:rsidRDefault="00441218" w14:paraId="27449F25" w14:textId="703B756D">
      <w:r w:rsidRPr="00333B2B">
        <w:t>ALBUQUERQUE, Maria de Fátima Machado de. A segurança alimentar e nutricional e o uso da abordagem de direitos humanos no desenho das políticas públicas para combater a fome e a pobreza. Revista de Nutrição, Florianópolis, 2009.</w:t>
      </w:r>
      <w:r w:rsidR="00C0699D">
        <w:t xml:space="preserve"> Disponivel em: </w:t>
      </w:r>
      <w:hyperlink w:history="1" r:id="rId14">
        <w:r w:rsidRPr="005076B2" w:rsidR="00C0699D">
          <w:rPr>
            <w:rStyle w:val="Hyperlink"/>
          </w:rPr>
          <w:t>https://www.scielo.br/j/rn/a/K8QycNXpRNRs8GxWhFCmDBP/abstract/?lang=pt</w:t>
        </w:r>
      </w:hyperlink>
      <w:r w:rsidR="00C0699D">
        <w:t xml:space="preserve"> Acesso em 21 de fevereiro de 2026</w:t>
      </w:r>
    </w:p>
    <w:p w:rsidRPr="00441218" w:rsidR="00441218" w:rsidP="008D25BE" w:rsidRDefault="00441218" w14:paraId="795AB0FC" w14:textId="77777777"/>
    <w:p w:rsidRPr="00461FF1" w:rsidR="003B72BF" w:rsidP="008D25BE" w:rsidRDefault="003B72BF" w14:paraId="109A92AB" w14:textId="13D297FA">
      <w:r w:rsidRPr="00333B2B">
        <w:rPr>
          <w:lang w:val="en-US"/>
        </w:rPr>
        <w:t xml:space="preserve">ALLEN, Charles A. Civilian starvation and relief during armed conflict: the modern humanitarian law. Georgia Journal of International and Comparative Law, v. 43, p. 1–45, </w:t>
      </w:r>
      <w:r w:rsidR="00333B2B">
        <w:rPr>
          <w:lang w:val="en-US"/>
        </w:rPr>
        <w:t>1989</w:t>
      </w:r>
      <w:r w:rsidRPr="00333B2B">
        <w:rPr>
          <w:lang w:val="en-US"/>
        </w:rPr>
        <w:t>. Disponível em: </w:t>
      </w:r>
      <w:hyperlink w:tgtFrame="_blank" w:history="1" r:id="rId15">
        <w:r w:rsidRPr="00333B2B">
          <w:rPr>
            <w:rStyle w:val="Hyperlink"/>
            <w:lang w:val="en-US"/>
          </w:rPr>
          <w:t>https://digitalcommons.law.uga.edu/cgi/viewcontent.cgi?article=1691&amp;context=gjicl</w:t>
        </w:r>
      </w:hyperlink>
      <w:r w:rsidRPr="00333B2B">
        <w:rPr>
          <w:lang w:val="en-US"/>
        </w:rPr>
        <w:t xml:space="preserve">. </w:t>
      </w:r>
      <w:r w:rsidRPr="00333B2B">
        <w:t>Acesso em: 16 mar. 2026.</w:t>
      </w:r>
    </w:p>
    <w:p w:rsidRPr="00461FF1" w:rsidR="003B72BF" w:rsidP="008D25BE" w:rsidRDefault="003B72BF" w14:paraId="2F1D42DB" w14:textId="77777777">
      <w:pPr>
        <w:pStyle w:val="Corpodetexto"/>
        <w:spacing w:line="240" w:lineRule="auto"/>
      </w:pPr>
    </w:p>
    <w:p w:rsidR="00DB48B8" w:rsidP="008D25BE" w:rsidRDefault="008D46EF" w14:paraId="708C53B0" w14:textId="2138F0AC">
      <w:r>
        <w:t xml:space="preserve">ALVARENGA </w:t>
      </w:r>
      <w:r w:rsidR="00036B93">
        <w:t>Octavio Mello</w:t>
      </w:r>
      <w:r>
        <w:t>. Manual de direito agrário. Rio de janeiro. Forense. 1985</w:t>
      </w:r>
    </w:p>
    <w:p w:rsidR="00E7686B" w:rsidP="008D25BE" w:rsidRDefault="00E7686B" w14:paraId="35EB9457" w14:textId="77777777"/>
    <w:p w:rsidRPr="001E5CC2" w:rsidR="00E7686B" w:rsidP="008D25BE" w:rsidRDefault="00E7686B" w14:paraId="2DD4498B" w14:textId="446B3200">
      <w:r w:rsidRPr="001E5CC2">
        <w:t>AMNESTY INTERNATIONAL. </w:t>
      </w:r>
      <w:r w:rsidRPr="00E7686B">
        <w:rPr>
          <w:lang w:val="en-US"/>
        </w:rPr>
        <w:t>Human rights in Israel and the Occupied Palestinian Territory. Londres: Amnesty International, s.d. Disponível em: </w:t>
      </w:r>
      <w:hyperlink w:tgtFrame="_blank" w:history="1" r:id="rId16">
        <w:r w:rsidRPr="00E7686B">
          <w:rPr>
            <w:rStyle w:val="Hyperlink"/>
            <w:lang w:val="en-US"/>
          </w:rPr>
          <w:t>https://www.amnesty.org/en/location/middle-east-and-north-africa/middle-east/israel-and-the-occupied-palestinian-territory/</w:t>
        </w:r>
      </w:hyperlink>
      <w:r w:rsidRPr="00E7686B">
        <w:rPr>
          <w:lang w:val="en-US"/>
        </w:rPr>
        <w:t xml:space="preserve">. </w:t>
      </w:r>
      <w:r w:rsidRPr="001E5CC2">
        <w:t>Acesso em: 21 de abril de 2026</w:t>
      </w:r>
    </w:p>
    <w:p w:rsidRPr="001E5CC2" w:rsidR="003B72BF" w:rsidP="008D25BE" w:rsidRDefault="003B72BF" w14:paraId="168705C1" w14:textId="77777777"/>
    <w:p w:rsidR="00713CD7" w:rsidP="008D25BE" w:rsidRDefault="00713CD7" w14:paraId="46FFBD22" w14:textId="513A1297">
      <w:r w:rsidRPr="00D91821">
        <w:t xml:space="preserve">AMON, Doris; MENASCHE, Renata. Comida como narrativa da memória social. Revista de Nutrição, Campinas, </w:t>
      </w:r>
      <w:r w:rsidR="00203205">
        <w:t>2008</w:t>
      </w:r>
      <w:r w:rsidRPr="00D91821">
        <w:t>.</w:t>
      </w:r>
      <w:r w:rsidR="00203205">
        <w:t xml:space="preserve"> Disponivel em: </w:t>
      </w:r>
      <w:hyperlink w:history="1" r:id="rId17">
        <w:r w:rsidRPr="005076B2" w:rsidR="00E06240">
          <w:rPr>
            <w:rStyle w:val="Hyperlink"/>
          </w:rPr>
          <w:t>https://revistas.ufg.br/fcs/article/view/4467/3867</w:t>
        </w:r>
      </w:hyperlink>
      <w:r w:rsidR="00E06240">
        <w:t>. Acesso em 23 de janeiro de 2026</w:t>
      </w:r>
    </w:p>
    <w:p w:rsidRPr="00D91821" w:rsidR="00713CD7" w:rsidP="008D25BE" w:rsidRDefault="00713CD7" w14:paraId="6782AC2E" w14:textId="77777777"/>
    <w:p w:rsidRPr="00461FF1" w:rsidR="00713CD7" w:rsidP="008D25BE" w:rsidRDefault="00713CD7" w14:paraId="5C078ED3" w14:textId="7624AC83">
      <w:r w:rsidRPr="00D91821">
        <w:t xml:space="preserve">ANISTIA INTERNACIONAL. O apartheid de Israel contra palestinos: um sistema cruel de dominação e um crime contra a humanidade. </w:t>
      </w:r>
      <w:r w:rsidRPr="00461FF1">
        <w:t>Brasília: Anistia Internacional Brasil, 2025.</w:t>
      </w:r>
      <w:r w:rsidR="00E06240">
        <w:t xml:space="preserve"> Disponivel em: </w:t>
      </w:r>
      <w:hyperlink w:history="1" r:id="rId18">
        <w:r w:rsidRPr="005076B2" w:rsidR="00E06240">
          <w:rPr>
            <w:rStyle w:val="Hyperlink"/>
          </w:rPr>
          <w:t>https://anistia.org.br/informe/o-apartheid-de-israel-contra-palestinos-um-sistema-cruel-de-dominacao-e-um-crime-contra-a-humanidade</w:t>
        </w:r>
      </w:hyperlink>
      <w:r w:rsidR="00E06240">
        <w:t xml:space="preserve"> Acesso em: 10 de abril de 2026</w:t>
      </w:r>
    </w:p>
    <w:p w:rsidRPr="00461FF1" w:rsidR="00E86C98" w:rsidP="008D25BE" w:rsidRDefault="00E86C98" w14:paraId="61905DA0" w14:textId="77777777"/>
    <w:p w:rsidRPr="00F050E8" w:rsidR="00F050E8" w:rsidP="008D25BE" w:rsidRDefault="00F050E8" w14:paraId="6F9CF9C0" w14:textId="77777777">
      <w:r w:rsidRPr="00F050E8">
        <w:t>AGAMBEN, Giorgio. Homo Sacer: o poder soberano e a vida nua. 2 ed. Belo Horizonte:</w:t>
      </w:r>
    </w:p>
    <w:p w:rsidRPr="00461FF1" w:rsidR="00F050E8" w:rsidP="008D25BE" w:rsidRDefault="00F050E8" w14:paraId="3C476141" w14:textId="5F781340">
      <w:pPr>
        <w:rPr>
          <w:lang w:val="en-US"/>
        </w:rPr>
      </w:pPr>
      <w:r w:rsidRPr="00F050E8">
        <w:t xml:space="preserve">Editora UFMG, 2007. Disponivel em: </w:t>
      </w:r>
      <w:hyperlink w:history="1" r:id="rId19">
        <w:r w:rsidRPr="00CD4EFE">
          <w:rPr>
            <w:rStyle w:val="Hyperlink"/>
          </w:rPr>
          <w:t>https://psicanalisepolitica.wordpress.com/wp-content/uploads/2014/10/homo-sacer-o-poder-soberano-e-a-vida-nua-agambem.pdf</w:t>
        </w:r>
      </w:hyperlink>
      <w:r>
        <w:t xml:space="preserve">. </w:t>
      </w:r>
      <w:r w:rsidRPr="00461FF1">
        <w:rPr>
          <w:lang w:val="en-US"/>
        </w:rPr>
        <w:t>Acesso em 20 de abril de 2026</w:t>
      </w:r>
    </w:p>
    <w:p w:rsidRPr="00461FF1" w:rsidR="00F050E8" w:rsidP="008D25BE" w:rsidRDefault="00F050E8" w14:paraId="30852D69" w14:textId="77777777">
      <w:pPr>
        <w:rPr>
          <w:lang w:val="en-US"/>
        </w:rPr>
      </w:pPr>
    </w:p>
    <w:p w:rsidRPr="00D36535" w:rsidR="00E86C98" w:rsidP="008D25BE" w:rsidRDefault="00E86C98" w14:paraId="1205301F" w14:textId="7632870B">
      <w:r w:rsidRPr="00D36535">
        <w:rPr>
          <w:lang w:val="en-US"/>
        </w:rPr>
        <w:t xml:space="preserve">ANTHROPOLOGY OF FOOD. Anthropology of food: culture &amp; power. </w:t>
      </w:r>
      <w:r w:rsidRPr="00D36535">
        <w:t>[S.l.]: [Editora/Revista], 2012. Disponível em: </w:t>
      </w:r>
      <w:hyperlink w:tgtFrame="_blank" w:history="1" r:id="rId20">
        <w:r w:rsidRPr="00D36535">
          <w:rPr>
            <w:rStyle w:val="Hyperlink"/>
          </w:rPr>
          <w:t>https://academic.oup.com/edited-volume/34515/chapter/292847213</w:t>
        </w:r>
      </w:hyperlink>
      <w:r w:rsidRPr="00D36535">
        <w:t>.</w:t>
      </w:r>
      <w:r w:rsidRPr="00D36535" w:rsidR="00E06240">
        <w:t xml:space="preserve"> Acesso em 20 de fevereiro de 2026</w:t>
      </w:r>
    </w:p>
    <w:p w:rsidRPr="00F36165" w:rsidR="00A355E4" w:rsidP="008D25BE" w:rsidRDefault="00A355E4" w14:paraId="425BB342" w14:textId="77777777"/>
    <w:p w:rsidRPr="007559CE" w:rsidR="00A355E4" w:rsidP="008D25BE" w:rsidRDefault="00A355E4" w14:paraId="52F8CCC2" w14:textId="2FD24273">
      <w:pPr>
        <w:rPr>
          <w:color w:val="000000"/>
        </w:rPr>
      </w:pPr>
      <w:r w:rsidRPr="00F36165">
        <w:rPr>
          <w:color w:val="000000"/>
        </w:rPr>
        <w:t>AURORA. Faixa de Gaza e o Hamas no imaginário social. Aurora: Revista de Arte, Mídia e Política, Marília: UNESP, 2017.[</w:t>
      </w:r>
      <w:hyperlink w:history="1" r:id="rId21">
        <w:r w:rsidRPr="003C56D5">
          <w:rPr>
            <w:rStyle w:val="Hyperlink"/>
            <w:lang w:val="en-US"/>
          </w:rPr>
          <w:t>revistas.marilia.unesp</w:t>
        </w:r>
      </w:hyperlink>
      <w:r w:rsidR="00036B93">
        <w:t xml:space="preserve"> . Acesos em 10 de janeiro de 2026</w:t>
      </w:r>
    </w:p>
    <w:p w:rsidRPr="007559CE" w:rsidR="00DB48B8" w:rsidP="008D25BE" w:rsidRDefault="00DB48B8" w14:paraId="708C53B1" w14:textId="77777777"/>
    <w:p w:rsidRPr="00D91821" w:rsidR="00832C4E" w:rsidP="008D25BE" w:rsidRDefault="00832C4E" w14:paraId="5148A009" w14:textId="72DC0580">
      <w:r w:rsidRPr="00251127">
        <w:t>BARANCELLI, Rosaneli et al. </w:t>
      </w:r>
      <w:r w:rsidRPr="00D91821">
        <w:t>A fome e o sistema alimentar: a violação da dignidade humana. Revista Brasileira de Bioética, Brasília, v. 12, n. 2, p. 11-13, 2016. Disponível em:</w:t>
      </w:r>
      <w:r w:rsidR="00036B93">
        <w:t xml:space="preserve"> </w:t>
      </w:r>
      <w:hyperlink w:history="1" r:id="rId22">
        <w:r w:rsidRPr="00582934" w:rsidR="00036B93">
          <w:rPr>
            <w:rStyle w:val="Hyperlink"/>
          </w:rPr>
          <w:t>https://www.researchgate.net/publication/335130554_A_fome_e_o_sistema_alimentar_a_violacao_da_dignidade_humana</w:t>
        </w:r>
      </w:hyperlink>
      <w:hyperlink w:tgtFrame="_blank" w:history="1" r:id="rId23">
        <w:r>
          <w:rPr>
            <w:rStyle w:val="Hyperlink"/>
          </w:rPr>
          <w:t>https://periodicos.unb.br/index.php/rbb/article/download/7663/6323/13291</w:t>
        </w:r>
      </w:hyperlink>
      <w:r w:rsidR="00036B93">
        <w:t xml:space="preserve">. </w:t>
      </w:r>
      <w:r w:rsidRPr="00D91821">
        <w:t>Acesso em: 17 mar. 2026</w:t>
      </w:r>
    </w:p>
    <w:p w:rsidR="00C23AC3" w:rsidP="008D25BE" w:rsidRDefault="00C23AC3" w14:paraId="1E055DB8" w14:textId="77777777"/>
    <w:p w:rsidRPr="00A355E4" w:rsidR="00A355E4" w:rsidP="008D25BE" w:rsidRDefault="00A355E4" w14:paraId="115856E1" w14:textId="77777777">
      <w:r w:rsidRPr="00A355E4">
        <w:t xml:space="preserve">BARROS, Paulo. Israel amplia cerco a Gaza e ONU alerta para colapso humanitário: "Além do desumano". InfoMoney, 10 out. 2023. Disponível em: </w:t>
      </w:r>
      <w:hyperlink w:tgtFrame="_blank" w:history="1" r:id="rId24">
        <w:r w:rsidRPr="00A355E4">
          <w:rPr>
            <w:rStyle w:val="Hyperlink"/>
          </w:rPr>
          <w:t>https://www.infomoney.com.br/mundo/israel-amplia-cerco-a-gaza-e-onu-alerta-para-colapso-humanitario-alem-do-desumano/</w:t>
        </w:r>
      </w:hyperlink>
      <w:r w:rsidRPr="00A355E4">
        <w:t>. Acesso em: 25 mar. 2026.</w:t>
      </w:r>
    </w:p>
    <w:p w:rsidR="00A355E4" w:rsidP="008D25BE" w:rsidRDefault="00A355E4" w14:paraId="33C3476E" w14:textId="77777777"/>
    <w:p w:rsidR="00DB48B8" w:rsidP="008D25BE" w:rsidRDefault="008D46EF" w14:paraId="708C53B2" w14:textId="39481975">
      <w:r w:rsidRPr="0096705A">
        <w:t xml:space="preserve">BARROS, Wellington Pacheco. </w:t>
      </w:r>
      <w:r>
        <w:t>Curso de direito agrário. Porto Alegre: Livraria do Advogado, 2009.</w:t>
      </w:r>
    </w:p>
    <w:p w:rsidR="00C23AC3" w:rsidP="008D25BE" w:rsidRDefault="00C23AC3" w14:paraId="707D6772" w14:textId="77777777">
      <w:pPr>
        <w:rPr>
          <w:color w:val="000000"/>
        </w:rPr>
      </w:pPr>
    </w:p>
    <w:p w:rsidRPr="00F36165" w:rsidR="00A355E4" w:rsidP="008D25BE" w:rsidRDefault="00A355E4" w14:paraId="51740E5C" w14:textId="117262E3">
      <w:pPr>
        <w:rPr>
          <w:color w:val="000000"/>
        </w:rPr>
      </w:pPr>
      <w:r w:rsidRPr="00F36165">
        <w:rPr>
          <w:color w:val="000000"/>
        </w:rPr>
        <w:t>BBC. Entenda a história do longo conflito entre israelenses e palestinos. BBC Brasil, 2023. Disponível em: </w:t>
      </w:r>
      <w:hyperlink w:tgtFrame="_blank" w:history="1" r:id="rId25">
        <w:r w:rsidRPr="00F36165">
          <w:rPr>
            <w:rStyle w:val="Hyperlink"/>
          </w:rPr>
          <w:t>https://www.bbc.com/portuguese/articles/ckgn7w97l48o</w:t>
        </w:r>
      </w:hyperlink>
      <w:r w:rsidRPr="00F36165">
        <w:rPr>
          <w:color w:val="000000"/>
        </w:rPr>
        <w:t xml:space="preserve">. Acesso em: </w:t>
      </w:r>
      <w:r w:rsidR="00B86751">
        <w:rPr>
          <w:color w:val="000000"/>
        </w:rPr>
        <w:t>5 de março de 2026</w:t>
      </w:r>
    </w:p>
    <w:p w:rsidRPr="00A73ABA" w:rsidR="00A73ABA" w:rsidP="008D25BE" w:rsidRDefault="00A73ABA" w14:paraId="031B6D8B" w14:textId="77777777">
      <w:pPr>
        <w:rPr>
          <w:color w:val="000000"/>
        </w:rPr>
      </w:pPr>
    </w:p>
    <w:p w:rsidR="00DB48B8" w:rsidP="008D25BE" w:rsidRDefault="008D46EF" w14:paraId="708C53B6" w14:textId="77777777">
      <w:r>
        <w:t>BOLLA, Giangastone. Scritti di diritto agrario. Milano: A. Giuffrè, 1963.</w:t>
      </w:r>
    </w:p>
    <w:p w:rsidR="00DB48B8" w:rsidP="008D25BE" w:rsidRDefault="00DB48B8" w14:paraId="708C53B7" w14:textId="77777777"/>
    <w:p w:rsidRPr="00D47A47" w:rsidR="00D47A47" w:rsidP="008D25BE" w:rsidRDefault="00D47A47" w14:paraId="4C0FB655" w14:textId="5AD99394">
      <w:r w:rsidRPr="00D47A47">
        <w:t>BONIN, Robson. ‘Fila do osso’ continua alimentando pessoas carentes em Cuiabá. Veja, 2023. Disponível em: abril.com.br. Acesso em: 15 mai. 2026.</w:t>
      </w:r>
      <w:r>
        <w:t xml:space="preserve"> Disponivel: </w:t>
      </w:r>
      <w:hyperlink w:history="1" r:id="rId26">
        <w:r w:rsidRPr="00CD4EFE">
          <w:rPr>
            <w:rStyle w:val="Hyperlink"/>
          </w:rPr>
          <w:t>https://veja.abril.com.br/coluna/radar/fila-do-osso-continua-alimentando-pessoas-carentes-em-cuiaba/</w:t>
        </w:r>
      </w:hyperlink>
      <w:r>
        <w:t>. Acessado em: 10 de abril 2026.</w:t>
      </w:r>
    </w:p>
    <w:p w:rsidR="00D47A47" w:rsidP="008D25BE" w:rsidRDefault="00D47A47" w14:paraId="2FFF1E3E" w14:textId="67B98ADD"/>
    <w:p w:rsidR="00DB48B8" w:rsidP="008D25BE" w:rsidRDefault="008D46EF" w14:paraId="708C53B8" w14:textId="79DBC46E">
      <w:r>
        <w:t>BOURDIEU, Pierre. O poder simbólico. Rio de Janeiro: Bertrand Brasil, 1989.</w:t>
      </w:r>
      <w:r w:rsidR="00036B93">
        <w:t xml:space="preserve"> Disponivel em: </w:t>
      </w:r>
      <w:hyperlink w:history="1" r:id="rId27">
        <w:r w:rsidRPr="00582934" w:rsidR="00036B93">
          <w:rPr>
            <w:rStyle w:val="Hyperlink"/>
          </w:rPr>
          <w:t>https://www.uel.br/grupo-pesquisa/socreligioes/pages/arquivos/fabio_lanza/Textos_Soc.%20Relig/3.Mod_BOURDIEU%20P.%20O%20Poder%20Simbolico.pdf</w:t>
        </w:r>
      </w:hyperlink>
      <w:r w:rsidR="00036B93">
        <w:t xml:space="preserve"> . Acesso em 6 de fevereiro de 2026</w:t>
      </w:r>
    </w:p>
    <w:p w:rsidR="0096705A" w:rsidP="008D25BE" w:rsidRDefault="0096705A" w14:paraId="224D2E81" w14:textId="77777777"/>
    <w:p w:rsidRPr="00F36165" w:rsidR="00E86C98" w:rsidP="008D25BE" w:rsidRDefault="00E86C98" w14:paraId="5874DF93" w14:textId="77777777">
      <w:pPr>
        <w:rPr>
          <w:color w:val="000000"/>
        </w:rPr>
      </w:pPr>
      <w:r w:rsidRPr="00F36165">
        <w:rPr>
          <w:color w:val="000000"/>
        </w:rPr>
        <w:t>BOZI, Alba Lívia Tallon. Fome: um dispositivo de controle na sociedade contemporânea. In: JORNADA INTERNACIONAL DE POLÍTICAS PÚBLICAS, 4., 2017, São Luís. Anais […]. São Luís: UFMA, 2017. Disponível em: </w:t>
      </w:r>
      <w:hyperlink w:tgtFrame="_blank" w:history="1" r:id="rId28">
        <w:r w:rsidRPr="00F36165">
          <w:rPr>
            <w:rStyle w:val="Hyperlink"/>
          </w:rPr>
          <w:t>https://www.revistas.una.ac.cr/index.php/derechoshumanos/article/view/195</w:t>
        </w:r>
      </w:hyperlink>
      <w:r w:rsidRPr="00F36165">
        <w:rPr>
          <w:color w:val="000000"/>
        </w:rPr>
        <w:t>. Acesso em: 08 mar. 2026.</w:t>
      </w:r>
    </w:p>
    <w:p w:rsidR="00E86C98" w:rsidP="008D25BE" w:rsidRDefault="00E86C98" w14:paraId="4A4F1F69" w14:textId="77777777"/>
    <w:p w:rsidR="0096705A" w:rsidP="008D25BE" w:rsidRDefault="0096705A" w14:paraId="75B4DC28" w14:textId="5E303546">
      <w:r w:rsidRPr="00165106">
        <w:t>BRASIL. Constituição da República Federativa do Brasil de 1988. Brasília, DF: Senado Federal, 1988</w:t>
      </w:r>
      <w:r w:rsidR="00036B93">
        <w:t xml:space="preserve">.Disponivel em: </w:t>
      </w:r>
      <w:hyperlink w:history="1" r:id="rId29">
        <w:r w:rsidRPr="00582934" w:rsidR="00036B93">
          <w:rPr>
            <w:rStyle w:val="Hyperlink"/>
          </w:rPr>
          <w:t>https://www.planalto.gov.br/ccivil_03/constituicao/constituicaocompilado.htm</w:t>
        </w:r>
      </w:hyperlink>
      <w:r w:rsidR="00036B93">
        <w:t xml:space="preserve"> . Acesso em 10 de novembro de 2026</w:t>
      </w:r>
    </w:p>
    <w:p w:rsidR="00BF364A" w:rsidP="008D25BE" w:rsidRDefault="00BF364A" w14:paraId="4E7F5B1C" w14:textId="77777777"/>
    <w:p w:rsidRPr="00BF364A" w:rsidR="00BF364A" w:rsidP="008D25BE" w:rsidRDefault="00BF364A" w14:paraId="1B5DCA16" w14:textId="77777777"/>
    <w:p w:rsidRPr="00036B93" w:rsidR="00BF364A" w:rsidP="008D25BE" w:rsidRDefault="00BF364A" w14:paraId="4560583A" w14:textId="2A05CDC3">
      <w:r w:rsidRPr="00036B93">
        <w:t>BRASIL. Decreto nº 591, de 6 de julho de 1992. Diário Oficial da União, Brasília, DF, 7 jul. 1992.</w:t>
      </w:r>
      <w:r w:rsidR="00036B93">
        <w:t xml:space="preserve"> Disponivel em: </w:t>
      </w:r>
      <w:hyperlink w:history="1" r:id="rId30">
        <w:r w:rsidRPr="00582934" w:rsidR="00036B93">
          <w:rPr>
            <w:rStyle w:val="Hyperlink"/>
          </w:rPr>
          <w:t>https://www.planalto.gov.br/ccivil_03/decreto/1990-1994/d0591.htm</w:t>
        </w:r>
      </w:hyperlink>
      <w:r w:rsidR="00036B93">
        <w:t xml:space="preserve"> . Acesso em 6 de dezembro de 2026</w:t>
      </w:r>
    </w:p>
    <w:p w:rsidRPr="00036B93" w:rsidR="00BF364A" w:rsidP="008D25BE" w:rsidRDefault="00BF364A" w14:paraId="42377720" w14:textId="77777777"/>
    <w:p w:rsidRPr="00036B93" w:rsidR="00BF364A" w:rsidP="008D25BE" w:rsidRDefault="00BF364A" w14:paraId="1C2578B9" w14:textId="0F5E4D4E">
      <w:r w:rsidRPr="00036B93">
        <w:t>BRASIL. Decreto nº 807, de 22 de abril de 1993. Diário Oficial da União, Brasília, DF, 23 abr. 1993.</w:t>
      </w:r>
      <w:r w:rsidR="00036B93">
        <w:t xml:space="preserve"> Disponivel em: </w:t>
      </w:r>
      <w:hyperlink w:history="1" r:id="rId31">
        <w:r w:rsidRPr="00582934" w:rsidR="00036B93">
          <w:rPr>
            <w:rStyle w:val="Hyperlink"/>
          </w:rPr>
          <w:t>https://www.planalto.gov.br/ccivil_03/decreto/1990-1994/d0807.htm</w:t>
        </w:r>
      </w:hyperlink>
      <w:r w:rsidR="00036B93">
        <w:t xml:space="preserve"> . Acesso em 3 de dezembro de 2026</w:t>
      </w:r>
    </w:p>
    <w:p w:rsidRPr="00036B93" w:rsidR="00BF364A" w:rsidP="008D25BE" w:rsidRDefault="00BF364A" w14:paraId="48F700B2" w14:textId="77777777"/>
    <w:p w:rsidRPr="00036B93" w:rsidR="00BF364A" w:rsidP="008D25BE" w:rsidRDefault="00BF364A" w14:paraId="649507E7" w14:textId="51D7CBFC">
      <w:r w:rsidRPr="00036B93">
        <w:t>BRASIL. Decreto nº 4.582, de 30 de janeiro de 2003. Diário Oficial da União, Brasília, DF, 31 jan. 2003.</w:t>
      </w:r>
      <w:r w:rsidR="00036B93">
        <w:t xml:space="preserve"> Disponivel em: </w:t>
      </w:r>
      <w:hyperlink w:history="1" r:id="rId32">
        <w:r w:rsidRPr="00582934" w:rsidR="00036B93">
          <w:rPr>
            <w:rStyle w:val="Hyperlink"/>
          </w:rPr>
          <w:t>https://www.planalto.gov.br/ccivil_03/decreto/2003/d4582.htm</w:t>
        </w:r>
      </w:hyperlink>
      <w:r w:rsidR="00036B93">
        <w:t xml:space="preserve"> . Acesso em: 14 de janeiro de 2026</w:t>
      </w:r>
    </w:p>
    <w:p w:rsidR="00BF364A" w:rsidP="008D25BE" w:rsidRDefault="00BF364A" w14:paraId="7A579FA7" w14:textId="77777777"/>
    <w:p w:rsidRPr="00C31314" w:rsidR="00A355E4" w:rsidP="008D25BE" w:rsidRDefault="00A355E4" w14:paraId="116EFF00" w14:textId="5A3C4F13">
      <w:r w:rsidRPr="00C31314">
        <w:t>BRASIL. Emenda Constitucional nº 64, de 4 de fevereiro de 2010. Diário Oficial da União, Brasília, DF, 5 fev. 2010.</w:t>
      </w:r>
      <w:r w:rsidR="00C31314">
        <w:t xml:space="preserve"> Diponivel em: </w:t>
      </w:r>
      <w:hyperlink w:history="1" r:id="rId33">
        <w:r w:rsidRPr="00CD4EFE" w:rsidR="00C31314">
          <w:rPr>
            <w:rStyle w:val="Hyperlink"/>
          </w:rPr>
          <w:t>https://www.planalto.gov.br/ccivil_03/constituicao/emendas/emc/emc64.htm</w:t>
        </w:r>
      </w:hyperlink>
      <w:r w:rsidR="00C31314">
        <w:t>. Acesso em 10 de abril de 2026</w:t>
      </w:r>
    </w:p>
    <w:p w:rsidR="00A355E4" w:rsidP="008D25BE" w:rsidRDefault="00A355E4" w14:paraId="66B38E82" w14:textId="77777777"/>
    <w:p w:rsidRPr="00F36165" w:rsidR="00A355E4" w:rsidP="008D25BE" w:rsidRDefault="00A355E4" w14:paraId="6235D6BA" w14:textId="77777777">
      <w:pPr>
        <w:rPr>
          <w:color w:val="000000"/>
        </w:rPr>
      </w:pPr>
      <w:r w:rsidRPr="00F36165">
        <w:rPr>
          <w:color w:val="000000"/>
        </w:rPr>
        <w:t>BRASIL ESCOLA. Conflitos na Faixa de Gaza: quais são, motivos. Brasil Escola, 2025. Disponível em: </w:t>
      </w:r>
      <w:hyperlink w:tgtFrame="_blank" w:history="1" r:id="rId34">
        <w:r w:rsidRPr="00F36165">
          <w:rPr>
            <w:rStyle w:val="Hyperlink"/>
          </w:rPr>
          <w:t>https://brasilescola.uol.com.br/geografia/o-conflito-na-palestina-faixa-gaza-1990-aos-dias-atuais.htm</w:t>
        </w:r>
      </w:hyperlink>
      <w:r w:rsidRPr="00F36165">
        <w:rPr>
          <w:color w:val="000000"/>
        </w:rPr>
        <w:t>. Acesso em: [data].[</w:t>
      </w:r>
      <w:hyperlink w:history="1" r:id="rId35">
        <w:r w:rsidRPr="00F36165">
          <w:rPr>
            <w:rStyle w:val="Hyperlink"/>
          </w:rPr>
          <w:t>brasilescola.uol.com</w:t>
        </w:r>
      </w:hyperlink>
      <w:r w:rsidRPr="00F36165">
        <w:rPr>
          <w:color w:val="000000"/>
        </w:rPr>
        <w:t>]​</w:t>
      </w:r>
    </w:p>
    <w:p w:rsidR="00C42822" w:rsidP="008D25BE" w:rsidRDefault="00C42822" w14:paraId="033592BC" w14:textId="77777777"/>
    <w:p w:rsidRPr="00036B93" w:rsidR="00C23AC3" w:rsidP="008D25BE" w:rsidRDefault="00036B93" w14:paraId="7A922725" w14:textId="34FF5B4E">
      <w:r w:rsidRPr="00036B93">
        <w:t>Brasil. Ministério da educação. Alimentação e nutrição: textos de apoio para a educação básica. Brasília, df: mec, 2007.</w:t>
      </w:r>
      <w:r>
        <w:t xml:space="preserve"> Disponivel em: </w:t>
      </w:r>
      <w:hyperlink w:history="1" r:id="rId36">
        <w:r w:rsidRPr="00582934">
          <w:rPr>
            <w:rStyle w:val="Hyperlink"/>
          </w:rPr>
          <w:t>https://portal.mec.gov.br/seb/arquivos/pdf/profunc/aliment.pdf</w:t>
        </w:r>
      </w:hyperlink>
      <w:r>
        <w:t>. Acesso em 10 de dezembro de 2026</w:t>
      </w:r>
    </w:p>
    <w:p w:rsidR="00C23AC3" w:rsidP="008D25BE" w:rsidRDefault="00C23AC3" w14:paraId="2F8E20EE" w14:textId="77777777"/>
    <w:p w:rsidRPr="003C56D5" w:rsidR="00A355E4" w:rsidP="008D25BE" w:rsidRDefault="00A355E4" w14:paraId="1CE678FA" w14:textId="77777777">
      <w:pPr>
        <w:rPr>
          <w:color w:val="000000"/>
          <w:lang w:val="en-US"/>
        </w:rPr>
      </w:pPr>
      <w:r>
        <w:rPr>
          <w:color w:val="000000"/>
        </w:rPr>
        <w:t>Breda</w:t>
      </w:r>
      <w:r w:rsidRPr="00F36165">
        <w:rPr>
          <w:color w:val="000000"/>
        </w:rPr>
        <w:t xml:space="preserve">, </w:t>
      </w:r>
      <w:r>
        <w:rPr>
          <w:color w:val="000000"/>
        </w:rPr>
        <w:t>Tadeu</w:t>
      </w:r>
      <w:r w:rsidRPr="00F36165">
        <w:rPr>
          <w:color w:val="000000"/>
        </w:rPr>
        <w:t>. A fome é um fenômeno político. São Paulo: Editora Elefante, 2022. Disponível em: </w:t>
      </w:r>
      <w:hyperlink w:tgtFrame="_blank" w:history="1" r:id="rId37">
        <w:r w:rsidRPr="00F36165">
          <w:rPr>
            <w:rStyle w:val="Hyperlink"/>
          </w:rPr>
          <w:t>https://editoraelefante.com.br/a-fome-e-um-fenomeno-politico/</w:t>
        </w:r>
      </w:hyperlink>
      <w:r w:rsidRPr="00F36165">
        <w:rPr>
          <w:color w:val="000000"/>
        </w:rPr>
        <w:t xml:space="preserve">. </w:t>
      </w:r>
      <w:r w:rsidRPr="003C56D5">
        <w:rPr>
          <w:color w:val="000000"/>
          <w:lang w:val="en-US"/>
        </w:rPr>
        <w:t>Acesso em: 09 mar. 2026.</w:t>
      </w:r>
    </w:p>
    <w:p w:rsidRPr="003C56D5" w:rsidR="00A355E4" w:rsidP="008D25BE" w:rsidRDefault="00A355E4" w14:paraId="1587FC4B" w14:textId="77777777">
      <w:pPr>
        <w:rPr>
          <w:lang w:val="en-US"/>
        </w:rPr>
      </w:pPr>
    </w:p>
    <w:p w:rsidRPr="00C42822" w:rsidR="00C42822" w:rsidP="008D25BE" w:rsidRDefault="00C42822" w14:paraId="09F442BD" w14:textId="30639F43">
      <w:r w:rsidRPr="00C42822">
        <w:rPr>
          <w:lang w:val="en-US"/>
        </w:rPr>
        <w:t xml:space="preserve">BUBOLA, Emma; HUBBARD, Ben. Gaza Is Fenced In on All Sides, and a Crucial Border Crossing Is Closed. The New York Times, 10 out. 2023. Disponível em: </w:t>
      </w:r>
      <w:hyperlink w:tgtFrame="_blank" w:history="1" r:id="rId38">
        <w:r w:rsidRPr="00C42822">
          <w:rPr>
            <w:rStyle w:val="Hyperlink"/>
            <w:lang w:val="en-US"/>
          </w:rPr>
          <w:t>https://www.nytimes.com/2023/10/10/world/middleeast/gaza-strip-israel-egypt.html</w:t>
        </w:r>
      </w:hyperlink>
      <w:r w:rsidRPr="00C42822">
        <w:rPr>
          <w:lang w:val="en-US"/>
        </w:rPr>
        <w:t xml:space="preserve">. </w:t>
      </w:r>
      <w:r w:rsidRPr="00C42822">
        <w:t>Acesso em: 24 mar. 2026.</w:t>
      </w:r>
    </w:p>
    <w:p w:rsidR="00441218" w:rsidP="008D25BE" w:rsidRDefault="00441218" w14:paraId="72F8ACAB" w14:textId="77777777"/>
    <w:p w:rsidRPr="00441218" w:rsidR="00441218" w:rsidP="008D25BE" w:rsidRDefault="00441218" w14:paraId="1A075445" w14:textId="77777777">
      <w:r w:rsidRPr="00441218">
        <w:t>BUR LANDY, Luciene. A construção da política de segurança alimentar e nutricional no Brasil: estratégias e desafios para a promoção da intersetorialidade no âmbito federal de governo. Ciência &amp; Saúde Coletiva, Rio de Janeiro, v. 14, n. 3, p. 851-860, 2009.</w:t>
      </w:r>
    </w:p>
    <w:p w:rsidR="00BF364A" w:rsidP="008D25BE" w:rsidRDefault="00BF364A" w14:paraId="11FC8B28" w14:textId="77777777"/>
    <w:p w:rsidRPr="00E851C3" w:rsidR="00E851C3" w:rsidP="008D25BE" w:rsidRDefault="00E851C3" w14:paraId="26D59410" w14:textId="069C1493">
      <w:r w:rsidRPr="00E851C3">
        <w:t>BUSS, Paulo Marchiori; KASTRUP, Erica; BURGER, Pedro (org.). Cadernos CRIS-Fiocruz: informe 08/24 sobre saúde global e diplomacia da saúde. Rio de Janeiro: Fundação Oswaldo Cruz, 2024. Disponível em: </w:t>
      </w:r>
      <w:hyperlink w:tgtFrame="_blank" w:history="1" r:id="rId39">
        <w:r w:rsidRPr="00E851C3">
          <w:rPr>
            <w:rStyle w:val="Hyperlink"/>
          </w:rPr>
          <w:t>https://fiocruz.br/sites/fiocruz.br/files/documentos_2/cadernos_cris-fiocruz_-informe_08-24_sobre_saude_global_e_diplomacia_da_saude_0.pdf</w:t>
        </w:r>
      </w:hyperlink>
      <w:r w:rsidRPr="00E851C3">
        <w:t xml:space="preserve">. Acesso em: 14 </w:t>
      </w:r>
      <w:r>
        <w:t>março</w:t>
      </w:r>
      <w:r w:rsidRPr="00E851C3">
        <w:t xml:space="preserve"> 2026.</w:t>
      </w:r>
    </w:p>
    <w:p w:rsidR="00E851C3" w:rsidP="008D25BE" w:rsidRDefault="00E851C3" w14:paraId="5D8FABF7" w14:textId="77777777"/>
    <w:p w:rsidR="001C613D" w:rsidP="008D25BE" w:rsidRDefault="001C613D" w14:paraId="0FDDA7AD" w14:textId="1A777BA1">
      <w:r w:rsidRPr="001C613D">
        <w:t>CABRAL, Mariana Pompílio Gomes; MOREIRA, Daiana de Jesus; ALVES, Erinaldo Domingos; LIMA, Raquel Cerdeira de; BOSI, Maria Lúcia Magalhães. Nutricídio e racismo alimentar na crise neoliberal e sociossanitária da pandemia de covid-19 no Brasil. Saúde e Sociedade, São Paulo,</w:t>
      </w:r>
      <w:r>
        <w:t xml:space="preserve"> </w:t>
      </w:r>
      <w:r w:rsidRPr="001C613D">
        <w:t>2024</w:t>
      </w:r>
      <w:r>
        <w:t>. Disponivel em:</w:t>
      </w:r>
      <w:r w:rsidR="003006A7">
        <w:t xml:space="preserve"> </w:t>
      </w:r>
      <w:hyperlink w:history="1" r:id="rId40">
        <w:r w:rsidRPr="00582934" w:rsidR="003006A7">
          <w:rPr>
            <w:rStyle w:val="Hyperlink"/>
          </w:rPr>
          <w:t>https://revistas.usp.br/sausoc/pt_BR/article/view/228353/206680</w:t>
        </w:r>
      </w:hyperlink>
      <w:r w:rsidR="003006A7">
        <w:t xml:space="preserve"> Acesso em 20 de fevereiro de 2026</w:t>
      </w:r>
    </w:p>
    <w:p w:rsidR="001C613D" w:rsidP="008D25BE" w:rsidRDefault="001C613D" w14:paraId="6476F4DE" w14:textId="77777777"/>
    <w:p w:rsidRPr="00F36165" w:rsidR="00C23AC3" w:rsidP="008D25BE" w:rsidRDefault="00C23AC3" w14:paraId="73E323B8" w14:textId="4AFBA3CF">
      <w:pPr>
        <w:rPr>
          <w:color w:val="000000"/>
        </w:rPr>
      </w:pPr>
      <w:r w:rsidRPr="001C613D">
        <w:rPr>
          <w:color w:val="000000"/>
        </w:rPr>
        <w:t>CAISAN. A exigibilidade do direito humano à alimentação adequada. Brasília, DF: CAISAN, 2021</w:t>
      </w:r>
      <w:r w:rsidRPr="00F36165">
        <w:rPr>
          <w:color w:val="000000"/>
        </w:rPr>
        <w:t>.</w:t>
      </w:r>
      <w:r w:rsidR="003E0EBE">
        <w:rPr>
          <w:color w:val="000000"/>
        </w:rPr>
        <w:t xml:space="preserve"> Disponivel em: </w:t>
      </w:r>
      <w:hyperlink w:history="1" r:id="rId41">
        <w:r w:rsidRPr="005076B2" w:rsidR="003E0EBE">
          <w:rPr>
            <w:rStyle w:val="Hyperlink"/>
          </w:rPr>
          <w:t>https://www.mds.gov.br/webarquivos/arquivo/seguranca_alimentar/caisan/Publicacao/Caisan_Nacional/exigibilidade_direito_humano_alimentacao_adequada.pdf</w:t>
        </w:r>
      </w:hyperlink>
      <w:r w:rsidR="003E0EBE">
        <w:rPr>
          <w:color w:val="000000"/>
        </w:rPr>
        <w:t>. Acesso em: 10 de janeiro de 2026</w:t>
      </w:r>
    </w:p>
    <w:p w:rsidR="00C23AC3" w:rsidP="008D25BE" w:rsidRDefault="00C23AC3" w14:paraId="6DEB387E" w14:textId="77777777"/>
    <w:p w:rsidR="00F07AFD" w:rsidP="008D25BE" w:rsidRDefault="00F07AFD" w14:paraId="0DFEF6EA" w14:textId="1B393FBD">
      <w:r w:rsidRPr="00F07AFD">
        <w:t xml:space="preserve">CORRÊA, Leonardo (org.). Diálogos sobre o Direito Humano à Alimentação Adequada. Juiz de Fora: Faculdade de Direito da Universidade Federal de Juiz de Fora, 2019 Disponível em: </w:t>
      </w:r>
      <w:hyperlink w:history="1" r:id="rId42">
        <w:r w:rsidRPr="005076B2" w:rsidR="003E0EBE">
          <w:rPr>
            <w:rStyle w:val="Hyperlink"/>
          </w:rPr>
          <w:t>https://alimentacaoescolar.org.br/wp-content/uploads/2024/08/2019_DIALOGOS-SOBRE-DHAA_UFJF.pdf</w:t>
        </w:r>
      </w:hyperlink>
      <w:r w:rsidR="003E0EBE">
        <w:t xml:space="preserve"> </w:t>
      </w:r>
      <w:r w:rsidRPr="00F07AFD">
        <w:t xml:space="preserve"> Acesso em: </w:t>
      </w:r>
      <w:r>
        <w:t>01</w:t>
      </w:r>
      <w:r w:rsidRPr="00F07AFD">
        <w:t xml:space="preserve"> </w:t>
      </w:r>
      <w:r>
        <w:t>abril</w:t>
      </w:r>
      <w:r w:rsidRPr="00F07AFD">
        <w:t>. 2026.</w:t>
      </w:r>
    </w:p>
    <w:p w:rsidR="00C23AC3" w:rsidP="008D25BE" w:rsidRDefault="00C23AC3" w14:paraId="14919E65" w14:textId="77777777"/>
    <w:p w:rsidRPr="00F441B6" w:rsidR="00C23AC3" w:rsidP="008D25BE" w:rsidRDefault="00C23AC3" w14:paraId="3E577871" w14:textId="44D8A05A">
      <w:r w:rsidRPr="00F441B6">
        <w:t>CARNEIRO, Henrique Soares. “Comida e sociedade: significados sociais na história da alimentação”. História: Questões &amp; Debates, Curitiba, n. 42, p. 71</w:t>
      </w:r>
      <w:r w:rsidRPr="00F441B6">
        <w:noBreakHyphen/>
      </w:r>
      <w:r w:rsidRPr="00F441B6">
        <w:t>80, 2005.</w:t>
      </w:r>
      <w:r w:rsidRPr="00F441B6" w:rsidR="00D74A02">
        <w:t xml:space="preserve"> Disponivel em: </w:t>
      </w:r>
      <w:hyperlink w:history="1" r:id="rId43">
        <w:r w:rsidRPr="00F441B6" w:rsidR="00D74A02">
          <w:rPr>
            <w:rStyle w:val="Hyperlink"/>
          </w:rPr>
          <w:t>https://culinariac5.wordpress.com/wp-content/uploads/2014/02/henrique-carneiro-comida-e-sociedadesignificados-sociais-na-histc3b3ria-da-alimentac3a7c3a3o.pdf</w:t>
        </w:r>
      </w:hyperlink>
      <w:r w:rsidRPr="00F441B6" w:rsidR="00D74A02">
        <w:t xml:space="preserve"> Acesso em 10 de janeiro de 2026</w:t>
      </w:r>
    </w:p>
    <w:p w:rsidR="00C23AC3" w:rsidP="008D25BE" w:rsidRDefault="00C23AC3" w14:paraId="2AB8D64A" w14:textId="77777777"/>
    <w:p w:rsidRPr="000346A0" w:rsidR="00C23AC3" w:rsidP="008D25BE" w:rsidRDefault="00C23AC3" w14:paraId="79444E4C" w14:textId="212BBF81">
      <w:r w:rsidRPr="000346A0">
        <w:t>CASCUDO, Luís da Câmara. História da alimentação no Brasil. 2. ed. Belo Horizonte: Itatiaia, 1983</w:t>
      </w:r>
      <w:r w:rsidR="000346A0">
        <w:t xml:space="preserve">. Disponivel em: </w:t>
      </w:r>
      <w:hyperlink w:history="1" r:id="rId44">
        <w:r w:rsidRPr="005076B2" w:rsidR="000346A0">
          <w:rPr>
            <w:rStyle w:val="Hyperlink"/>
          </w:rPr>
          <w:t>https://bdor.sibi.ufrj.br/bitstream/doc/370/1/323%20PDF%20-%20OCR%20-%20RED.pdf</w:t>
        </w:r>
      </w:hyperlink>
      <w:r w:rsidR="000346A0">
        <w:t>. Acesso em 12 de maio de 2026</w:t>
      </w:r>
    </w:p>
    <w:p w:rsidR="00DB48B8" w:rsidP="008D25BE" w:rsidRDefault="00DB48B8" w14:paraId="708C53BB" w14:textId="77777777"/>
    <w:p w:rsidRPr="00FB4A3F" w:rsidR="00FB4A3F" w:rsidP="008D25BE" w:rsidRDefault="00FB4A3F" w14:paraId="6664B021" w14:textId="1ED77A2E">
      <w:r w:rsidRPr="00FB4A3F">
        <w:t xml:space="preserve">CASTRO, Josué de. Geografia da fome: o dilema brasileiro: pão ou aço. 10. ed. rev. Rio de Janeiro: Edições Antares, 1984. Disponível em: </w:t>
      </w:r>
      <w:hyperlink w:history="1" r:id="rId45">
        <w:r w:rsidRPr="00525297">
          <w:rPr>
            <w:rStyle w:val="Hyperlink"/>
          </w:rPr>
          <w:t>https://files.cercomp.ufg.br/weby/up/473/o/CASTRO__Josu%C3%A9_de_-_Geografia_da_Fome.pdf</w:t>
        </w:r>
      </w:hyperlink>
      <w:r>
        <w:t xml:space="preserve"> </w:t>
      </w:r>
      <w:r w:rsidRPr="00FB4A3F">
        <w:t xml:space="preserve"> Acesso em: </w:t>
      </w:r>
      <w:r>
        <w:t>10 janeiro 2025</w:t>
      </w:r>
      <w:r w:rsidRPr="00FB4A3F">
        <w:t>.</w:t>
      </w:r>
    </w:p>
    <w:p w:rsidR="00832C4E" w:rsidP="008D25BE" w:rsidRDefault="00832C4E" w14:paraId="0543D59E" w14:textId="50294B68"/>
    <w:p w:rsidR="00832C4E" w:rsidP="008D25BE" w:rsidRDefault="00832C4E" w14:paraId="72EA8933" w14:textId="77777777">
      <w:r w:rsidRPr="00D91821">
        <w:t>CESE. Soberania alimentar: segurança e justiça para todos. Salvador: CESE, 2025. Disponível em: </w:t>
      </w:r>
      <w:hyperlink w:tgtFrame="_blank" w:history="1" r:id="rId46">
        <w:r w:rsidRPr="00D91821">
          <w:rPr>
            <w:rStyle w:val="Hyperlink"/>
          </w:rPr>
          <w:t>https://cese.org.br/blog/soberania-alimentar-seguranca-e-justica-para-todos/</w:t>
        </w:r>
      </w:hyperlink>
      <w:r w:rsidRPr="00D91821">
        <w:t>. Acesso em: 17 mar. 2026.</w:t>
      </w:r>
    </w:p>
    <w:p w:rsidR="00C23AC3" w:rsidP="008D25BE" w:rsidRDefault="00C23AC3" w14:paraId="68DD3520" w14:textId="77777777"/>
    <w:p w:rsidR="0096705A" w:rsidP="008D25BE" w:rsidRDefault="0096705A" w14:paraId="3015237F" w14:textId="0BF7400B">
      <w:r w:rsidRPr="00165106">
        <w:t>CICV. COMITÊ INTERNACIONAL DA CRUZ VERMELHA. Direito internacional humanitário consuetudinário. v. I: regras. Cambridge: Cambridge University Press, 2005</w:t>
      </w:r>
      <w:r w:rsidR="00260C51">
        <w:t xml:space="preserve">. Disponivel em: </w:t>
      </w:r>
      <w:hyperlink w:history="1" r:id="rId47">
        <w:r w:rsidRPr="00CD4EFE" w:rsidR="00260C51">
          <w:rPr>
            <w:rStyle w:val="Hyperlink"/>
          </w:rPr>
          <w:t>https://www.icrc.org/sites/default/files/topic/file_plus_list/direito_internacional_humanitario_consuetudinario.pdf</w:t>
        </w:r>
      </w:hyperlink>
      <w:r w:rsidR="00260C51">
        <w:t>. Acesso em 10 de mar de 2026</w:t>
      </w:r>
    </w:p>
    <w:p w:rsidR="00C158F5" w:rsidP="008D25BE" w:rsidRDefault="00C158F5" w14:paraId="451213A8" w14:textId="77777777"/>
    <w:p w:rsidRPr="00165106" w:rsidR="00C158F5" w:rsidP="008D25BE" w:rsidRDefault="00C158F5" w14:paraId="5B0F2D38" w14:textId="621AFED3">
      <w:r w:rsidRPr="00165106">
        <w:t>CICV. COMITÊ INTERNACIONAL DA CRUZ VERMELHA. O DIH e o desafio de manter a segurança alimentar em conflitos armados. Blog Law &amp; Policy, 2024.</w:t>
      </w:r>
    </w:p>
    <w:p w:rsidRPr="00D91821" w:rsidR="00832C4E" w:rsidP="008D25BE" w:rsidRDefault="00832C4E" w14:paraId="653C94EE" w14:textId="77777777"/>
    <w:p w:rsidRPr="003C56D5" w:rsidR="00832C4E" w:rsidP="008D25BE" w:rsidRDefault="00832C4E" w14:paraId="00F5DB4B" w14:textId="6DEE857A">
      <w:r w:rsidRPr="00D91821">
        <w:t xml:space="preserve">CICV. Segurança alimentar durante conflitos armados: o que você precisa saber. </w:t>
      </w:r>
      <w:r w:rsidRPr="003C56D5">
        <w:t>Genebra: Comitê Internacional da Cruz Vermelha, 2023.</w:t>
      </w:r>
      <w:r w:rsidR="00FD650F">
        <w:t xml:space="preserve"> Disponivel em: </w:t>
      </w:r>
      <w:hyperlink w:history="1" r:id="rId48">
        <w:r w:rsidRPr="003D67C0" w:rsidR="00FD650F">
          <w:rPr>
            <w:rStyle w:val="Hyperlink"/>
          </w:rPr>
          <w:t>https://www.icrc.org/pt/document/seguranca-alimentar-conflito-armado-voce-precisa-saber</w:t>
        </w:r>
      </w:hyperlink>
      <w:r w:rsidR="00FD650F">
        <w:t>. Acesso em: 12 de nov. de 2025</w:t>
      </w:r>
    </w:p>
    <w:p w:rsidRPr="003C56D5" w:rsidR="00DB48B8" w:rsidP="008D25BE" w:rsidRDefault="00DB48B8" w14:paraId="708C53BD" w14:textId="77777777"/>
    <w:p w:rsidR="00E73E5D" w:rsidP="008D25BE" w:rsidRDefault="00E73E5D" w14:paraId="1FEBB87A" w14:textId="77777777">
      <w:pPr>
        <w:pStyle w:val="Corpodetexto"/>
        <w:spacing w:line="240" w:lineRule="auto"/>
      </w:pPr>
      <w:r>
        <w:t xml:space="preserve">CÓDIGO DE HAMURÁBI. Disponível em: </w:t>
      </w:r>
      <w:hyperlink w:tgtFrame="_blank" r:id="rId49">
        <w:r>
          <w:rPr>
            <w:rStyle w:val="Hyperlink"/>
          </w:rPr>
          <w:t>https://www.dhnet.org.br/direitos/anthist/hamurabi.htm</w:t>
        </w:r>
      </w:hyperlink>
      <w:r>
        <w:t xml:space="preserve">. </w:t>
      </w:r>
      <w:r w:rsidRPr="0096705A">
        <w:t>Acesso em: 15 nov. 2025.</w:t>
      </w:r>
    </w:p>
    <w:p w:rsidR="00E73E5D" w:rsidP="008D25BE" w:rsidRDefault="00E73E5D" w14:paraId="3AAB2ACE" w14:textId="77777777">
      <w:pPr>
        <w:pStyle w:val="Corpodetexto"/>
        <w:spacing w:line="240" w:lineRule="auto"/>
      </w:pPr>
    </w:p>
    <w:p w:rsidRPr="00B3313E" w:rsidR="00B3313E" w:rsidP="008D25BE" w:rsidRDefault="00B3313E" w14:paraId="44A7597C" w14:textId="4DF35EDE">
      <w:pPr>
        <w:pStyle w:val="Corpodetexto"/>
        <w:spacing w:line="240" w:lineRule="auto"/>
      </w:pPr>
      <w:r w:rsidRPr="00B3313E">
        <w:t xml:space="preserve">COGGIOLA, </w:t>
      </w:r>
      <w:r>
        <w:t>O</w:t>
      </w:r>
      <w:r w:rsidRPr="00B3313E">
        <w:t xml:space="preserve">svaldo. História do capitalismo - das origens até a primeira guerra mundial. Ariadna ediciones/galiza livre, 2015. Disponível em: </w:t>
      </w:r>
      <w:hyperlink w:history="1" r:id="rId50">
        <w:r w:rsidRPr="00525297" w:rsidR="006B6F52">
          <w:rPr>
            <w:rStyle w:val="Hyperlink"/>
          </w:rPr>
          <w:t>https://ariadnaediciones.cl/images/pdf/historia.do.capilalismo.II.pdf</w:t>
        </w:r>
      </w:hyperlink>
      <w:r w:rsidR="006B6F52">
        <w:t xml:space="preserve"> . </w:t>
      </w:r>
      <w:r w:rsidRPr="00B3313E">
        <w:t xml:space="preserve">Acesso em: </w:t>
      </w:r>
      <w:r w:rsidR="006B6F52">
        <w:t>10</w:t>
      </w:r>
      <w:r>
        <w:t xml:space="preserve"> de </w:t>
      </w:r>
      <w:r w:rsidR="006B6F52">
        <w:t>dezembro</w:t>
      </w:r>
      <w:r>
        <w:t xml:space="preserve"> de 202</w:t>
      </w:r>
      <w:r w:rsidR="006B6F52">
        <w:t>5</w:t>
      </w:r>
    </w:p>
    <w:p w:rsidR="00E73E5D" w:rsidP="008D25BE" w:rsidRDefault="00E73E5D" w14:paraId="39FB44D3" w14:textId="77777777"/>
    <w:p w:rsidRPr="00FB4A3F" w:rsidR="00E73E5D" w:rsidP="008D25BE" w:rsidRDefault="00FB4A3F" w14:paraId="64AB6FC5" w14:textId="39081D35">
      <w:pPr>
        <w:rPr>
          <w:color w:val="000000"/>
        </w:rPr>
      </w:pPr>
      <w:r w:rsidRPr="00FB4A3F">
        <w:rPr>
          <w:color w:val="000000"/>
        </w:rPr>
        <w:t xml:space="preserve">COMPARATO, Fábio Konder. Ética: direito, moral e religião no mundo moderno. 3. ed. São Paulo: Companhia das Letras, 2016. Disponível em: </w:t>
      </w:r>
      <w:hyperlink w:history="1" r:id="rId51">
        <w:r w:rsidRPr="005076B2" w:rsidR="00B86952">
          <w:rPr>
            <w:rStyle w:val="Hyperlink"/>
          </w:rPr>
          <w:t>https://www.companhiadasletras.com.br/trechos/12253.pdf</w:t>
        </w:r>
      </w:hyperlink>
      <w:r w:rsidR="00B86952">
        <w:rPr>
          <w:color w:val="000000"/>
        </w:rPr>
        <w:t xml:space="preserve"> </w:t>
      </w:r>
      <w:r w:rsidRPr="00FB4A3F">
        <w:rPr>
          <w:color w:val="000000"/>
        </w:rPr>
        <w:t>Acesso em: 10 de outubro de 2025.</w:t>
      </w:r>
    </w:p>
    <w:p w:rsidRPr="003C56D5" w:rsidR="00FB4A3F" w:rsidP="008D25BE" w:rsidRDefault="00FB4A3F" w14:paraId="731535CF" w14:textId="77777777"/>
    <w:p w:rsidR="003B72BF" w:rsidP="008D25BE" w:rsidRDefault="003B72BF" w14:paraId="7BB02145" w14:textId="77777777">
      <w:r w:rsidRPr="00E324DB">
        <w:rPr>
          <w:lang w:val="en-US"/>
        </w:rPr>
        <w:t>CONCERN WORLDWIDE. </w:t>
      </w:r>
      <w:r w:rsidRPr="00C158F5">
        <w:rPr>
          <w:lang w:val="en-US"/>
        </w:rPr>
        <w:t xml:space="preserve">Timeline: 54 years of hunger as a weapon of war. </w:t>
      </w:r>
      <w:r w:rsidRPr="00C158F5">
        <w:t>Dublin: Concern Worldwide, 2021. Disponível em: </w:t>
      </w:r>
      <w:hyperlink w:tgtFrame="_blank" w:history="1" r:id="rId52">
        <w:r w:rsidRPr="00C158F5">
          <w:rPr>
            <w:rStyle w:val="Hyperlink"/>
          </w:rPr>
          <w:t>https://www.concern.net/news/hunger-as-a-weapon-of-war-timeline</w:t>
        </w:r>
      </w:hyperlink>
      <w:r w:rsidRPr="00C158F5">
        <w:t>. Acesso em: 16 mar. 2026.</w:t>
      </w:r>
    </w:p>
    <w:p w:rsidR="00E91BFE" w:rsidP="008D25BE" w:rsidRDefault="00E91BFE" w14:paraId="4A40213E" w14:textId="77777777"/>
    <w:p w:rsidRPr="00E91BFE" w:rsidR="00E91BFE" w:rsidP="008D25BE" w:rsidRDefault="00E91BFE" w14:paraId="7F17FFBF" w14:textId="65C7634E">
      <w:r w:rsidRPr="00E91BFE">
        <w:rPr>
          <w:lang w:val="en-US"/>
        </w:rPr>
        <w:t>CONFERENCIA DE HOTSPRING. The United Nations conference on food and agriculture.</w:t>
      </w:r>
      <w:r>
        <w:rPr>
          <w:lang w:val="en-US"/>
        </w:rPr>
        <w:t xml:space="preserve"> </w:t>
      </w:r>
      <w:r w:rsidRPr="00E91BFE">
        <w:t xml:space="preserve">1943. Disponivel em: </w:t>
      </w:r>
      <w:hyperlink w:history="1" r:id="rId53">
        <w:r w:rsidRPr="005076B2">
          <w:rPr>
            <w:rStyle w:val="Hyperlink"/>
          </w:rPr>
          <w:t>https://researchrepository.ilo.org/esploro/outputs/journalArticle/The-United-Nations-conference-on-food/995319197902676</w:t>
        </w:r>
      </w:hyperlink>
      <w:r>
        <w:t>. Acesso em 20 de fevereiro de 2026)</w:t>
      </w:r>
    </w:p>
    <w:p w:rsidRPr="00E91BFE" w:rsidR="00C158F5" w:rsidP="008D25BE" w:rsidRDefault="00C158F5" w14:paraId="710E29A4" w14:textId="77777777"/>
    <w:p w:rsidRPr="007559CE" w:rsidR="00C158F5" w:rsidP="008D25BE" w:rsidRDefault="00C158F5" w14:paraId="4A68DD71" w14:textId="72F4209F">
      <w:r w:rsidRPr="00C158F5">
        <w:t xml:space="preserve">CONVENÇÃO DE GENEBRA IV relativa à proteção de pessoas civis em tempo de guerra, de 12 de agosto de 1949. </w:t>
      </w:r>
      <w:r w:rsidRPr="00AD6AC5">
        <w:t>Genebra: ONU, 1949</w:t>
      </w:r>
      <w:r w:rsidRPr="00AD6AC5" w:rsidR="00AD6AC5">
        <w:t xml:space="preserve">. Disponivel em: </w:t>
      </w:r>
      <w:hyperlink w:history="1" r:id="rId54">
        <w:r w:rsidRPr="00CD4EFE" w:rsidR="00AD6AC5">
          <w:rPr>
            <w:rStyle w:val="Hyperlink"/>
          </w:rPr>
          <w:t>http://crmm.nepp-dh.ufrj.br/onu2-11-4.html</w:t>
        </w:r>
      </w:hyperlink>
      <w:r w:rsidR="00AD6AC5">
        <w:t xml:space="preserve">. </w:t>
      </w:r>
      <w:r w:rsidRPr="007559CE" w:rsidR="00AD6AC5">
        <w:t>Acesso em: 16 de mar de 2026</w:t>
      </w:r>
    </w:p>
    <w:p w:rsidRPr="007559CE" w:rsidR="00C158F5" w:rsidP="008D25BE" w:rsidRDefault="00C158F5" w14:paraId="4BB6B133" w14:textId="77777777">
      <w:pPr>
        <w:pStyle w:val="Corpodetexto"/>
        <w:spacing w:line="240" w:lineRule="auto"/>
      </w:pPr>
    </w:p>
    <w:p w:rsidR="00C23AC3" w:rsidP="008D25BE" w:rsidRDefault="00C23AC3" w14:paraId="0E5339B4" w14:textId="71293B35">
      <w:pPr>
        <w:rPr>
          <w:color w:val="000000"/>
        </w:rPr>
      </w:pPr>
      <w:r w:rsidRPr="00F36165">
        <w:rPr>
          <w:color w:val="000000"/>
        </w:rPr>
        <w:t>CONSEA. Princípios e diretrizes de uma Política de Segurança Alimentar e Nutricional. Brasília, DF: CONSEA, 2004.</w:t>
      </w:r>
      <w:r w:rsidR="00F01BD4">
        <w:rPr>
          <w:color w:val="000000"/>
        </w:rPr>
        <w:t xml:space="preserve"> Disponivel em: </w:t>
      </w:r>
      <w:hyperlink w:history="1" r:id="rId55">
        <w:r w:rsidRPr="005076B2" w:rsidR="00F01BD4">
          <w:rPr>
            <w:rStyle w:val="Hyperlink"/>
          </w:rPr>
          <w:t>https://www.ipea.gov.br/participacao/images/pdfs/conferencias/Seguranca_Alimentar_II/textos_referencia_2_conferencia_seguranca_alimentar.pdf</w:t>
        </w:r>
      </w:hyperlink>
      <w:r w:rsidR="00F01BD4">
        <w:rPr>
          <w:color w:val="000000"/>
        </w:rPr>
        <w:t xml:space="preserve"> . Acesso em 12 de novembro de 2025</w:t>
      </w:r>
    </w:p>
    <w:p w:rsidR="006E1262" w:rsidP="008D25BE" w:rsidRDefault="006E1262" w14:paraId="3523D7E6" w14:textId="77777777">
      <w:pPr>
        <w:rPr>
          <w:color w:val="000000"/>
        </w:rPr>
      </w:pPr>
    </w:p>
    <w:p w:rsidRPr="000439A8" w:rsidR="000439A8" w:rsidP="000439A8" w:rsidRDefault="000439A8" w14:paraId="6CA525C7" w14:textId="77777777">
      <w:pPr>
        <w:rPr>
          <w:color w:val="000000"/>
        </w:rPr>
      </w:pPr>
      <w:r w:rsidRPr="000439A8">
        <w:rPr>
          <w:color w:val="000000"/>
        </w:rPr>
        <w:t xml:space="preserve">CONTRERAS, Jesús; GRACIA, Mabel. Alimentação, Sociedade e Cultura. Rio de Janeiro: Editora Fiocruz, 2011. Disponível em: </w:t>
      </w:r>
      <w:hyperlink w:history="1" r:id="rId56">
        <w:r w:rsidRPr="000439A8">
          <w:rPr>
            <w:rStyle w:val="Hyperlink"/>
          </w:rPr>
          <w:t>https://pt.scribd.com/document/553298465/Alimentac-a-o-Sociedade-e-Cultura-Jesu-s-Contreras-e-Mabel-Gracia</w:t>
        </w:r>
      </w:hyperlink>
      <w:r w:rsidRPr="000439A8">
        <w:rPr>
          <w:color w:val="000000"/>
        </w:rPr>
        <w:t>. Acesso em: 20 maio 2026.</w:t>
      </w:r>
    </w:p>
    <w:p w:rsidRPr="00461FF1" w:rsidR="00E73E5D" w:rsidP="008D25BE" w:rsidRDefault="00E73E5D" w14:paraId="35A2CDB7" w14:textId="77777777"/>
    <w:p w:rsidRPr="001E5CC2" w:rsidR="001B493C" w:rsidP="008D25BE" w:rsidRDefault="001B493C" w14:paraId="57CCFC84" w14:textId="0F0BBD1F">
      <w:pPr>
        <w:rPr>
          <w:lang w:val="en-US"/>
        </w:rPr>
      </w:pPr>
      <w:r w:rsidRPr="001B493C">
        <w:t>COSTA, Fernando Nogueira da. Resistência antifascista. Ago. 2025. Disponível em: </w:t>
      </w:r>
      <w:hyperlink w:tgtFrame="_blank" w:history="1" r:id="rId57">
        <w:r w:rsidRPr="001B493C">
          <w:rPr>
            <w:rStyle w:val="Hyperlink"/>
          </w:rPr>
          <w:t>https://fernandonogueiracosta.wordpress.com/wp-content/uploads/2025/08/fernando-nogueira-da-costa-resistencia-antifascista-ago-2025.pdf</w:t>
        </w:r>
      </w:hyperlink>
      <w:r w:rsidRPr="001B493C">
        <w:t xml:space="preserve">. </w:t>
      </w:r>
      <w:r w:rsidRPr="001E5CC2">
        <w:rPr>
          <w:lang w:val="en-US"/>
        </w:rPr>
        <w:t>Acesso em: 13 abril 2026.</w:t>
      </w:r>
    </w:p>
    <w:p w:rsidRPr="003C56D5" w:rsidR="001B493C" w:rsidP="008D25BE" w:rsidRDefault="001B493C" w14:paraId="56371916" w14:textId="77777777">
      <w:pPr>
        <w:rPr>
          <w:lang w:val="en-US"/>
        </w:rPr>
      </w:pPr>
    </w:p>
    <w:p w:rsidRPr="003C56D5" w:rsidR="00E73E5D" w:rsidP="008D25BE" w:rsidRDefault="00E73E5D" w14:paraId="5B454E16" w14:textId="77777777">
      <w:pPr>
        <w:rPr>
          <w:lang w:val="en-US"/>
        </w:rPr>
      </w:pPr>
      <w:r w:rsidRPr="00165106">
        <w:rPr>
          <w:lang w:val="en-US"/>
        </w:rPr>
        <w:t xml:space="preserve">COTTIER, Michael. Commentary on Additional Protocol I. In: SANDOZ, Yves; SWINARSKI, Christophe; ZIMMERMANN, Bruno (ed.). Commentary on the Additional Protocols of 8 June 1977 to the Geneva Conventions of 12 August 1949. </w:t>
      </w:r>
      <w:r w:rsidRPr="003C56D5">
        <w:rPr>
          <w:lang w:val="en-US"/>
        </w:rPr>
        <w:t>Geneva: ICRC; Dordrecht: Martinus Nijhoff, 1997.​</w:t>
      </w:r>
    </w:p>
    <w:p w:rsidR="00E73E5D" w:rsidP="008D25BE" w:rsidRDefault="00E73E5D" w14:paraId="260CFCA7" w14:textId="77777777">
      <w:pPr>
        <w:rPr>
          <w:lang w:val="en-US"/>
        </w:rPr>
      </w:pPr>
    </w:p>
    <w:p w:rsidRPr="00D36535" w:rsidR="00E73E5D" w:rsidP="008D25BE" w:rsidRDefault="00E73E5D" w14:paraId="091D7C15" w14:textId="2787B717">
      <w:r w:rsidRPr="00D74A02">
        <w:rPr>
          <w:lang w:val="en-US"/>
        </w:rPr>
        <w:t xml:space="preserve">COUNIHAN, Carole; </w:t>
      </w:r>
      <w:r w:rsidRPr="00D74A02" w:rsidR="00D74A02">
        <w:rPr>
          <w:lang w:val="en-US"/>
        </w:rPr>
        <w:t>ESTERIK Van</w:t>
      </w:r>
      <w:r w:rsidRPr="00D74A02">
        <w:rPr>
          <w:lang w:val="en-US"/>
        </w:rPr>
        <w:t xml:space="preserve">, </w:t>
      </w:r>
      <w:r w:rsidRPr="00D74A02" w:rsidR="00D74A02">
        <w:rPr>
          <w:lang w:val="en-US"/>
        </w:rPr>
        <w:t xml:space="preserve">Julier Alice P. </w:t>
      </w:r>
      <w:r w:rsidRPr="00D74A02">
        <w:rPr>
          <w:lang w:val="en-US"/>
        </w:rPr>
        <w:t xml:space="preserve"> (org.). Food and culture: a reader. 3. ed. New York: Routledge, 2013.</w:t>
      </w:r>
      <w:r w:rsidR="00D36535">
        <w:rPr>
          <w:lang w:val="en-US"/>
        </w:rPr>
        <w:t xml:space="preserve"> </w:t>
      </w:r>
      <w:r w:rsidRPr="00D36535" w:rsidR="00D36535">
        <w:t xml:space="preserve">Disponivel em: </w:t>
      </w:r>
      <w:hyperlink w:history="1" r:id="rId58">
        <w:r w:rsidRPr="005076B2" w:rsidR="00D36535">
          <w:rPr>
            <w:rStyle w:val="Hyperlink"/>
          </w:rPr>
          <w:t>https://pt.scribd.com/document/993693489/Food-and-Culture-A-Reader-4th-Edition-Carole-Counihan-Editor-full</w:t>
        </w:r>
      </w:hyperlink>
      <w:r w:rsidRPr="00D36535" w:rsidR="00D36535">
        <w:t>.</w:t>
      </w:r>
      <w:r w:rsidR="00D36535">
        <w:t xml:space="preserve"> Acesso em 23 de janeiro de 2026</w:t>
      </w:r>
    </w:p>
    <w:p w:rsidRPr="00D36535" w:rsidR="00E73E5D" w:rsidP="008D25BE" w:rsidRDefault="00E73E5D" w14:paraId="563EBE08" w14:textId="77777777">
      <w:pPr>
        <w:rPr>
          <w:color w:val="000000"/>
        </w:rPr>
      </w:pPr>
    </w:p>
    <w:p w:rsidRPr="00165106" w:rsidR="00E73E5D" w:rsidP="008D25BE" w:rsidRDefault="00E73E5D" w14:paraId="01C19B8B" w14:textId="31AB1D41">
      <w:r w:rsidRPr="00165106">
        <w:t>CSNU. CONSELHO DE SEGURANÇA DAS NAÇÕES UNIDAS. Resolução 2417 (2018). Nova York, 24 maio 2018.</w:t>
      </w:r>
      <w:r w:rsidR="00120290">
        <w:t xml:space="preserve"> Disponivel em: </w:t>
      </w:r>
      <w:hyperlink w:history="1" r:id="rId59">
        <w:r w:rsidRPr="00CD4EFE" w:rsidR="00120290">
          <w:rPr>
            <w:rStyle w:val="Hyperlink"/>
          </w:rPr>
          <w:t>https://docs.un.org/en/S/res/2417(2018)</w:t>
        </w:r>
      </w:hyperlink>
      <w:r w:rsidR="00120290">
        <w:t>. Acesso em: 10 de março de 2026</w:t>
      </w:r>
    </w:p>
    <w:p w:rsidR="006E1262" w:rsidP="008D25BE" w:rsidRDefault="006E1262" w14:paraId="0638C6FF" w14:textId="77777777">
      <w:pPr>
        <w:rPr>
          <w:color w:val="000000"/>
        </w:rPr>
      </w:pPr>
    </w:p>
    <w:p w:rsidRPr="00B21DFA" w:rsidR="00B21DFA" w:rsidP="008D25BE" w:rsidRDefault="00B21DFA" w14:paraId="0DC25F95" w14:textId="73247EAA">
      <w:pPr>
        <w:rPr>
          <w:color w:val="000000"/>
        </w:rPr>
      </w:pPr>
      <w:r w:rsidRPr="00B21DFA">
        <w:rPr>
          <w:color w:val="000000"/>
        </w:rPr>
        <w:t xml:space="preserve">CUPULA DE ROMA. Declaração de Roma sobre a Segurança Alimentar Mundial. Roma, 13 nov. 1996. Organização das Nações Unidas para a Alimentação e a Agricultura (FAO). Disponível em: </w:t>
      </w:r>
      <w:hyperlink w:history="1" r:id="rId60">
        <w:r w:rsidRPr="00582934" w:rsidR="003006A7">
          <w:rPr>
            <w:rStyle w:val="Hyperlink"/>
          </w:rPr>
          <w:t>https://www.fao.org/4/w3613p/w3613p00.htm</w:t>
        </w:r>
      </w:hyperlink>
      <w:r w:rsidR="003006A7">
        <w:rPr>
          <w:color w:val="000000"/>
        </w:rPr>
        <w:t xml:space="preserve"> </w:t>
      </w:r>
      <w:r w:rsidRPr="00B21DFA">
        <w:rPr>
          <w:color w:val="000000"/>
        </w:rPr>
        <w:t>Acesso em: 20 dezembro 2025.</w:t>
      </w:r>
    </w:p>
    <w:p w:rsidR="00B21DFA" w:rsidP="008D25BE" w:rsidRDefault="00B21DFA" w14:paraId="63DB8C87" w14:textId="77777777">
      <w:pPr>
        <w:rPr>
          <w:color w:val="000000"/>
        </w:rPr>
      </w:pPr>
    </w:p>
    <w:p w:rsidR="006E1262" w:rsidP="008D25BE" w:rsidRDefault="006E1262" w14:paraId="2DCE37B6" w14:textId="4E1B70C7">
      <w:pPr>
        <w:rPr>
          <w:color w:val="000000"/>
        </w:rPr>
      </w:pPr>
      <w:r w:rsidRPr="00F36165">
        <w:rPr>
          <w:color w:val="000000"/>
        </w:rPr>
        <w:t>CUSTÓDIO, Mariana. Direito humano à alimentação adequada e objetivos do desenvolvimento sustentável. Local: Editora, ano. Acesso em: 09 mar. 2026.</w:t>
      </w:r>
    </w:p>
    <w:p w:rsidR="00E73E5D" w:rsidP="008D25BE" w:rsidRDefault="00E73E5D" w14:paraId="785074CE" w14:textId="77777777">
      <w:pPr>
        <w:pStyle w:val="Corpodetexto"/>
        <w:spacing w:line="240" w:lineRule="auto"/>
      </w:pPr>
    </w:p>
    <w:p w:rsidR="006A2E96" w:rsidP="008D25BE" w:rsidRDefault="006A2E96" w14:paraId="72B28990" w14:textId="77777777">
      <w:r w:rsidRPr="006A2E96">
        <w:t>DA SILVA.  Marcio Antônio Both .</w:t>
      </w:r>
      <w:r>
        <w:t xml:space="preserve"> </w:t>
      </w:r>
      <w:r w:rsidRPr="00A9455D">
        <w:t xml:space="preserve">Lei de Terras de 1850: lições sobre os efeitos e os resultados de não se condenar “uma quinta parte da atual população agrícola”. SCIMAGO INSTITUTIONS RANKINGS. </w:t>
      </w:r>
      <w:r>
        <w:t xml:space="preserve">Disponivel em: </w:t>
      </w:r>
      <w:hyperlink w:history="1" r:id="rId61">
        <w:r w:rsidRPr="001B4CF0">
          <w:rPr>
            <w:rStyle w:val="Hyperlink"/>
          </w:rPr>
          <w:t>https://www.scielo.br/j/rbh/a/FmYs48dr3PBSQ9JxhrG5ckK/?lang=pt</w:t>
        </w:r>
      </w:hyperlink>
      <w:r>
        <w:t>. Acessado dia 30 de março de 2026.</w:t>
      </w:r>
    </w:p>
    <w:p w:rsidRPr="003C56D5" w:rsidR="006A2E96" w:rsidP="008D25BE" w:rsidRDefault="006A2E96" w14:paraId="3FE5EC99" w14:textId="77777777">
      <w:pPr>
        <w:pStyle w:val="Corpodetexto"/>
        <w:spacing w:line="240" w:lineRule="auto"/>
      </w:pPr>
    </w:p>
    <w:p w:rsidRPr="003E0EBE" w:rsidR="003E0EBE" w:rsidP="003E0EBE" w:rsidRDefault="003E0EBE" w14:paraId="2FF9A35C" w14:textId="4D54E07C">
      <w:pPr>
        <w:pStyle w:val="Corpodetexto"/>
        <w:rPr>
          <w:color w:val="000000"/>
        </w:rPr>
      </w:pPr>
      <w:r w:rsidRPr="003E0EBE">
        <w:rPr>
          <w:color w:val="000000"/>
        </w:rPr>
        <w:t xml:space="preserve">DALLARI, Dalmo de Abreu. Direitos Humanos e Cidadania. 2021. 5 p. Disponível em: </w:t>
      </w:r>
      <w:hyperlink w:history="1" r:id="rId62">
        <w:r w:rsidRPr="003E0EBE">
          <w:rPr>
            <w:rStyle w:val="Hyperlink"/>
          </w:rPr>
          <w:t>https://doceru.com/doc/ssces10</w:t>
        </w:r>
      </w:hyperlink>
      <w:r w:rsidRPr="003E0EBE">
        <w:rPr>
          <w:color w:val="000000"/>
        </w:rPr>
        <w:t>. Acesso em: 20 janeiro 2026.</w:t>
      </w:r>
    </w:p>
    <w:p w:rsidR="00C23AC3" w:rsidP="008D25BE" w:rsidRDefault="00C23AC3" w14:paraId="7F91EBB0" w14:textId="77777777">
      <w:pPr>
        <w:pStyle w:val="Corpodetexto"/>
        <w:spacing w:line="240" w:lineRule="auto"/>
      </w:pPr>
    </w:p>
    <w:p w:rsidRPr="000346A0" w:rsidR="00E73E5D" w:rsidP="008D25BE" w:rsidRDefault="00E73E5D" w14:paraId="10D4A306" w14:textId="44C9E295">
      <w:r w:rsidRPr="000346A0">
        <w:t>DANIEL, Jungla Maria Pimentel; CRAVO, Veraluz Zicarelli. Olhares antropológicos sobre a alimentação: valor social e cultural da alimentação. In: CANESQUI, Ana Maria (org.). Antropologia e nutrição: um diálogo possível. São Paulo: Hucitec, 2005</w:t>
      </w:r>
      <w:r w:rsidRPr="000346A0" w:rsidR="000346A0">
        <w:t xml:space="preserve">. Disponivel em: </w:t>
      </w:r>
      <w:hyperlink w:history="1" r:id="rId63">
        <w:r w:rsidRPr="005076B2" w:rsidR="000346A0">
          <w:rPr>
            <w:rStyle w:val="Hyperlink"/>
          </w:rPr>
          <w:t>https://books.scielo.org/id/v6rkd/pdf/canesqui-9788575413876-04.pdf</w:t>
        </w:r>
      </w:hyperlink>
      <w:r w:rsidR="000346A0">
        <w:t xml:space="preserve"> . Acesso em 10 de fevereiro de 2026</w:t>
      </w:r>
    </w:p>
    <w:p w:rsidRPr="000346A0" w:rsidR="00E73E5D" w:rsidP="008D25BE" w:rsidRDefault="00E73E5D" w14:paraId="276CB7D1" w14:textId="77777777">
      <w:pPr>
        <w:pStyle w:val="Corpodetexto"/>
        <w:spacing w:line="240" w:lineRule="auto"/>
      </w:pPr>
    </w:p>
    <w:p w:rsidRPr="00A73ABA" w:rsidR="00C158F5" w:rsidP="008D25BE" w:rsidRDefault="00C158F5" w14:paraId="6F4CC935" w14:textId="0695A6BD">
      <w:r w:rsidRPr="00251127">
        <w:t xml:space="preserve">DANNENBAUM, Tom. Siege starvation: a war crime of societal torture. </w:t>
      </w:r>
      <w:r w:rsidRPr="00D47A47">
        <w:rPr>
          <w:lang w:val="en-US"/>
        </w:rPr>
        <w:t>Chicago Journal of International Law, Chicago, 2021.</w:t>
      </w:r>
      <w:r w:rsidRPr="00D47A47" w:rsidR="00A73ABA">
        <w:rPr>
          <w:lang w:val="en-US"/>
        </w:rPr>
        <w:t xml:space="preserve">Disponivel em: </w:t>
      </w:r>
      <w:hyperlink w:history="1" r:id="rId64">
        <w:r w:rsidRPr="00D47A47" w:rsidR="00A73ABA">
          <w:rPr>
            <w:rStyle w:val="Hyperlink"/>
            <w:lang w:val="en-US"/>
          </w:rPr>
          <w:t>https://chicagounbound.uchicago.edu/cgi/viewcontent.cgi?article=1814&amp;context=cjil</w:t>
        </w:r>
      </w:hyperlink>
      <w:r w:rsidRPr="00D47A47" w:rsidR="00A73ABA">
        <w:rPr>
          <w:lang w:val="en-US"/>
        </w:rPr>
        <w:t xml:space="preserve">. </w:t>
      </w:r>
      <w:r w:rsidRPr="00A73ABA" w:rsidR="00A73ABA">
        <w:t xml:space="preserve">Acesso em: </w:t>
      </w:r>
      <w:r w:rsidR="001B2A83">
        <w:t>11</w:t>
      </w:r>
      <w:r w:rsidRPr="00A73ABA" w:rsidR="00A73ABA">
        <w:t xml:space="preserve"> de março de 2026</w:t>
      </w:r>
    </w:p>
    <w:p w:rsidRPr="00A73ABA" w:rsidR="00C158F5" w:rsidP="008D25BE" w:rsidRDefault="00C158F5" w14:paraId="31F7177C" w14:textId="77777777">
      <w:pPr>
        <w:pStyle w:val="Corpodetexto"/>
        <w:spacing w:line="240" w:lineRule="auto"/>
      </w:pPr>
    </w:p>
    <w:p w:rsidRPr="00F36165" w:rsidR="00BF3118" w:rsidP="008D25BE" w:rsidRDefault="00BF3118" w14:paraId="08922CB0" w14:textId="77777777">
      <w:pPr>
        <w:rPr>
          <w:color w:val="000000"/>
        </w:rPr>
      </w:pPr>
      <w:r>
        <w:rPr>
          <w:color w:val="000000"/>
        </w:rPr>
        <w:t>DE AGUIAR</w:t>
      </w:r>
      <w:r w:rsidRPr="00F36165">
        <w:rPr>
          <w:color w:val="000000"/>
        </w:rPr>
        <w:t xml:space="preserve">, </w:t>
      </w:r>
      <w:r w:rsidRPr="00BF3118">
        <w:rPr>
          <w:color w:val="000000"/>
        </w:rPr>
        <w:t>Odaleia Barbosa</w:t>
      </w:r>
      <w:r>
        <w:rPr>
          <w:b/>
          <w:bCs/>
          <w:color w:val="000000"/>
        </w:rPr>
        <w:t xml:space="preserve"> </w:t>
      </w:r>
      <w:r w:rsidRPr="00F36165">
        <w:rPr>
          <w:color w:val="000000"/>
        </w:rPr>
        <w:t xml:space="preserve">; </w:t>
      </w:r>
      <w:r w:rsidRPr="00BF3118">
        <w:rPr>
          <w:color w:val="000000"/>
        </w:rPr>
        <w:t>PADRÃO</w:t>
      </w:r>
      <w:r w:rsidRPr="00F36165">
        <w:rPr>
          <w:color w:val="000000"/>
        </w:rPr>
        <w:t xml:space="preserve">, </w:t>
      </w:r>
      <w:r w:rsidRPr="00BF3118">
        <w:rPr>
          <w:color w:val="000000"/>
        </w:rPr>
        <w:t>Susana Moreira</w:t>
      </w:r>
      <w:r w:rsidRPr="00F36165">
        <w:rPr>
          <w:color w:val="000000"/>
        </w:rPr>
        <w:t>. Direito humano à alimentação adequada: fome, desigualdade e pobreza como obstáculos para garantir direitos sociais. Sociedade e Estado, Brasília</w:t>
      </w:r>
      <w:r>
        <w:rPr>
          <w:color w:val="000000"/>
        </w:rPr>
        <w:t xml:space="preserve">. </w:t>
      </w:r>
      <w:r w:rsidRPr="00F36165">
        <w:rPr>
          <w:color w:val="000000"/>
        </w:rPr>
        <w:t>2022. Disponível em: </w:t>
      </w:r>
      <w:hyperlink w:tgtFrame="_blank" w:history="1" r:id="rId65">
        <w:r w:rsidRPr="00F36165">
          <w:rPr>
            <w:rStyle w:val="Hyperlink"/>
          </w:rPr>
          <w:t>https://www.scielo.br/j/sssoc/a/7GNQn7tYqWL6wYZncbLRnSN/</w:t>
        </w:r>
      </w:hyperlink>
      <w:r w:rsidRPr="00F36165">
        <w:rPr>
          <w:color w:val="000000"/>
        </w:rPr>
        <w:t>. Acesso em: 09 mar. 2026.</w:t>
      </w:r>
    </w:p>
    <w:p w:rsidRPr="001E5CC2" w:rsidR="00BF3118" w:rsidP="008D25BE" w:rsidRDefault="00BF3118" w14:paraId="2221DFC4" w14:textId="77777777">
      <w:pPr>
        <w:pStyle w:val="Corpodetexto"/>
        <w:spacing w:line="240" w:lineRule="auto"/>
      </w:pPr>
    </w:p>
    <w:p w:rsidRPr="007A6CE0" w:rsidR="00A355E4" w:rsidP="008D25BE" w:rsidRDefault="00A355E4" w14:paraId="11921792" w14:textId="06CDEB32">
      <w:pPr>
        <w:rPr>
          <w:color w:val="000000"/>
        </w:rPr>
      </w:pPr>
      <w:r w:rsidRPr="00F36165">
        <w:rPr>
          <w:color w:val="000000"/>
        </w:rPr>
        <w:t>DECLARAÇÃO BALFOUR (1917). A Declaração Balfour, 1917. Center for Israel Education, 2024. Disponível em: </w:t>
      </w:r>
      <w:hyperlink w:tgtFrame="_blank" w:history="1" r:id="rId66">
        <w:r w:rsidRPr="00F36165">
          <w:rPr>
            <w:rStyle w:val="Hyperlink"/>
          </w:rPr>
          <w:t>https://israeled.org/a-declaracao-balfour/</w:t>
        </w:r>
      </w:hyperlink>
      <w:r w:rsidRPr="00F36165">
        <w:rPr>
          <w:color w:val="000000"/>
        </w:rPr>
        <w:t xml:space="preserve">. </w:t>
      </w:r>
      <w:r w:rsidRPr="007A6CE0">
        <w:rPr>
          <w:color w:val="000000"/>
        </w:rPr>
        <w:t xml:space="preserve">Acesso em: </w:t>
      </w:r>
      <w:r w:rsidR="006D39C6">
        <w:rPr>
          <w:color w:val="000000"/>
        </w:rPr>
        <w:t>4 de março de 2026</w:t>
      </w:r>
    </w:p>
    <w:p w:rsidRPr="007A6CE0" w:rsidR="00A355E4" w:rsidP="008D25BE" w:rsidRDefault="00A355E4" w14:paraId="2D939399" w14:textId="77777777">
      <w:pPr>
        <w:pStyle w:val="Corpodetexto"/>
        <w:spacing w:line="240" w:lineRule="auto"/>
      </w:pPr>
    </w:p>
    <w:p w:rsidRPr="00461FF1" w:rsidR="003347DF" w:rsidP="008D25BE" w:rsidRDefault="00EC4409" w14:paraId="6A432099" w14:textId="59D61AF4">
      <w:pPr>
        <w:pStyle w:val="Corpodetexto"/>
        <w:spacing w:line="240" w:lineRule="auto"/>
      </w:pPr>
      <w:r w:rsidRPr="003347DF">
        <w:t>DECLARAÇÃO UNIVERSAL SOBRE A ERRADICAÇÃO DA FOME E DA DESNUTRIÇÃO</w:t>
      </w:r>
      <w:r>
        <w:t xml:space="preserve">. </w:t>
      </w:r>
      <w:r w:rsidRPr="00251127" w:rsidR="003347DF">
        <w:rPr>
          <w:lang w:val="en-US"/>
        </w:rPr>
        <w:t xml:space="preserve">United Nations Humans Rights. </w:t>
      </w:r>
      <w:r w:rsidRPr="003347DF" w:rsidR="003347DF">
        <w:rPr>
          <w:lang w:val="en-US"/>
        </w:rPr>
        <w:t xml:space="preserve">1974. </w:t>
      </w:r>
      <w:r w:rsidRPr="007A6CE0" w:rsidR="003347DF">
        <w:rPr>
          <w:lang w:val="en-US"/>
        </w:rPr>
        <w:t xml:space="preserve">Disponivel em: </w:t>
      </w:r>
      <w:hyperlink w:history="1" r:id="rId67">
        <w:r w:rsidRPr="007A6CE0" w:rsidR="003347DF">
          <w:rPr>
            <w:rStyle w:val="Hyperlink"/>
            <w:lang w:val="en-US"/>
          </w:rPr>
          <w:t>https://www.ohchr.org/en/instruments-mechanisms/instruments/universal-declaration-eradication-hunger-and-malnutrition</w:t>
        </w:r>
      </w:hyperlink>
      <w:r w:rsidRPr="007A6CE0" w:rsidR="003347DF">
        <w:rPr>
          <w:lang w:val="en-US"/>
        </w:rPr>
        <w:t xml:space="preserve">. </w:t>
      </w:r>
      <w:r w:rsidRPr="00461FF1" w:rsidR="003347DF">
        <w:t>Acesso em: 28 de janeiro de 2026</w:t>
      </w:r>
    </w:p>
    <w:p w:rsidRPr="00461FF1" w:rsidR="00EC4409" w:rsidP="008D25BE" w:rsidRDefault="00EC4409" w14:paraId="562BBD8A" w14:textId="77777777">
      <w:pPr>
        <w:pStyle w:val="Corpodetexto"/>
        <w:spacing w:line="240" w:lineRule="auto"/>
      </w:pPr>
    </w:p>
    <w:p w:rsidRPr="00B86751" w:rsidR="00C45742" w:rsidP="008D25BE" w:rsidRDefault="00C45742" w14:paraId="04FCF060" w14:textId="55843555">
      <w:pPr>
        <w:pStyle w:val="Corpodetexto"/>
        <w:spacing w:line="240" w:lineRule="auto"/>
      </w:pPr>
      <w:r w:rsidRPr="00C45742">
        <w:t>DENICOL, Karina A.; BITTENCOURT, Paulo J. S. Condição jurídica da mulher na antiga Mesopotâmia: códigos de Ur</w:t>
      </w:r>
      <w:r w:rsidRPr="00C45742">
        <w:noBreakHyphen/>
      </w:r>
      <w:r w:rsidRPr="00C45742">
        <w:t>Nammu e Hammurabi. </w:t>
      </w:r>
      <w:r w:rsidRPr="00C45742">
        <w:rPr>
          <w:i/>
          <w:iCs/>
        </w:rPr>
        <w:t>Revista Consinter</w:t>
      </w:r>
      <w:r w:rsidRPr="00C45742">
        <w:t xml:space="preserve">, 2019. Disponível em: </w:t>
      </w:r>
      <w:hyperlink w:history="1" r:id="rId68">
        <w:r w:rsidRPr="005076B2" w:rsidR="00B86751">
          <w:rPr>
            <w:rStyle w:val="Hyperlink"/>
          </w:rPr>
          <w:t>https://revistaconsinter.com/index.php/ojs/article/view/171</w:t>
        </w:r>
      </w:hyperlink>
      <w:r w:rsidR="00B86751">
        <w:t xml:space="preserve"> </w:t>
      </w:r>
      <w:r w:rsidRPr="00C45742">
        <w:t xml:space="preserve"> </w:t>
      </w:r>
      <w:r w:rsidRPr="00B86751">
        <w:t>Acesso em 16 de novembro de 2025</w:t>
      </w:r>
    </w:p>
    <w:p w:rsidRPr="00B86751" w:rsidR="00C45742" w:rsidP="008D25BE" w:rsidRDefault="00C45742" w14:paraId="665EE5CE" w14:textId="77777777">
      <w:pPr>
        <w:pStyle w:val="Corpodetexto"/>
        <w:spacing w:line="240" w:lineRule="auto"/>
      </w:pPr>
    </w:p>
    <w:p w:rsidRPr="00F85E6D" w:rsidR="00F85E6D" w:rsidP="008D25BE" w:rsidRDefault="00F85E6D" w14:paraId="2B0CFFFC" w14:textId="51AAE3B5">
      <w:r w:rsidRPr="00D91821">
        <w:rPr>
          <w:lang w:val="en-US"/>
        </w:rPr>
        <w:t>DE WAAL, Alex. </w:t>
      </w:r>
      <w:r w:rsidRPr="00B60619">
        <w:rPr>
          <w:lang w:val="en-US"/>
        </w:rPr>
        <w:t>Mass Starvation: The History and Future of Famine</w:t>
      </w:r>
      <w:r w:rsidRPr="00D91821">
        <w:rPr>
          <w:lang w:val="en-US"/>
        </w:rPr>
        <w:t xml:space="preserve">. </w:t>
      </w:r>
      <w:r w:rsidRPr="00251127">
        <w:t xml:space="preserve">New York: Oxford University Press, 2018. </w:t>
      </w:r>
      <w:r w:rsidRPr="00F85E6D">
        <w:t xml:space="preserve">Disponivel em: </w:t>
      </w:r>
      <w:hyperlink w:history="1" w:anchor="v=onepage&amp;q&amp;f=false" r:id="rId69">
        <w:r w:rsidRPr="005076B2" w:rsidR="00B86751">
          <w:rPr>
            <w:rStyle w:val="Hyperlink"/>
          </w:rPr>
          <w:t>https://books.google.it/books?id=_15CDwAAQBAJ&amp;printsec=frontcover&amp;hl=it#v=onepage&amp;q&amp;f=false</w:t>
        </w:r>
      </w:hyperlink>
      <w:r w:rsidR="00B86751">
        <w:t xml:space="preserve"> Acesso em 10 de janeiro de 2026</w:t>
      </w:r>
    </w:p>
    <w:p w:rsidRPr="00F85E6D" w:rsidR="00832C4E" w:rsidP="008D25BE" w:rsidRDefault="00832C4E" w14:paraId="4119B927" w14:textId="77777777">
      <w:pPr>
        <w:pStyle w:val="Corpodetexto"/>
        <w:spacing w:line="240" w:lineRule="auto"/>
      </w:pPr>
    </w:p>
    <w:p w:rsidRPr="00262634" w:rsidR="00832C4E" w:rsidP="008D25BE" w:rsidRDefault="00882C81" w14:paraId="490CC1C6" w14:textId="3F30632F">
      <w:r w:rsidRPr="0096705A">
        <w:t>DE ZWARTE, Ingrid; CANDEL, Jeroen (Eds.). </w:t>
      </w:r>
      <w:r w:rsidRPr="00882C81">
        <w:rPr>
          <w:lang w:val="en-US"/>
        </w:rPr>
        <w:t xml:space="preserve">The Politics of Famine in European History and Memory. </w:t>
      </w:r>
      <w:r w:rsidRPr="00251127">
        <w:t xml:space="preserve">Cambridge: Cambridge University Press, </w:t>
      </w:r>
      <w:r w:rsidRPr="00251127" w:rsidR="00262634">
        <w:t>2025</w:t>
      </w:r>
      <w:r w:rsidRPr="00251127">
        <w:t>.</w:t>
      </w:r>
      <w:r w:rsidRPr="00251127" w:rsidR="00262634">
        <w:t xml:space="preserve"> </w:t>
      </w:r>
      <w:r w:rsidRPr="00262634" w:rsidR="00262634">
        <w:t xml:space="preserve">Disponivel em: </w:t>
      </w:r>
      <w:hyperlink w:history="1" r:id="rId70">
        <w:r w:rsidRPr="00262634" w:rsidR="00262634">
          <w:rPr>
            <w:rStyle w:val="Hyperlink"/>
          </w:rPr>
          <w:t>https://www.academia.edu/129454972/The_Politics_of_Famine_in_European_History_and_Memory</w:t>
        </w:r>
      </w:hyperlink>
      <w:r w:rsidRPr="00262634" w:rsidR="00262634">
        <w:t xml:space="preserve"> Ac</w:t>
      </w:r>
      <w:r w:rsidR="00262634">
        <w:t>esso em 1 de março de 2026</w:t>
      </w:r>
    </w:p>
    <w:p w:rsidRPr="00262634" w:rsidR="00B86751" w:rsidP="008D25BE" w:rsidRDefault="00B86751" w14:paraId="0B7A3E83" w14:textId="77777777"/>
    <w:p w:rsidRPr="00F36165" w:rsidR="00B86751" w:rsidP="00B86751" w:rsidRDefault="00B86751" w14:paraId="29BE3C17" w14:textId="77777777">
      <w:pPr>
        <w:rPr>
          <w:color w:val="000000"/>
        </w:rPr>
      </w:pPr>
      <w:r>
        <w:rPr>
          <w:color w:val="000000"/>
        </w:rPr>
        <w:t>DILAWAR, Arvind.</w:t>
      </w:r>
      <w:r w:rsidRPr="00F36165">
        <w:rPr>
          <w:color w:val="000000"/>
        </w:rPr>
        <w:t xml:space="preserve"> Israel tem uma longa história de sufocamento alimentar em Gaza. Jacobin</w:t>
      </w:r>
      <w:r>
        <w:rPr>
          <w:color w:val="000000"/>
        </w:rPr>
        <w:t>a</w:t>
      </w:r>
      <w:r w:rsidRPr="00F36165">
        <w:rPr>
          <w:color w:val="000000"/>
        </w:rPr>
        <w:t>, 2024. Disponível em: </w:t>
      </w:r>
      <w:hyperlink w:tgtFrame="_blank" w:history="1" r:id="rId71">
        <w:r w:rsidRPr="00F36165">
          <w:rPr>
            <w:rStyle w:val="Hyperlink"/>
          </w:rPr>
          <w:t>https://jacobin.com.br/2024/04/israel-tem-uma-longa-historia-de-sufocamento-alimentar-em-gaza/</w:t>
        </w:r>
      </w:hyperlink>
      <w:r w:rsidRPr="00F36165">
        <w:rPr>
          <w:color w:val="000000"/>
        </w:rPr>
        <w:t xml:space="preserve">. Acesso em: </w:t>
      </w:r>
      <w:r>
        <w:rPr>
          <w:color w:val="000000"/>
        </w:rPr>
        <w:t>9 de março de 2026</w:t>
      </w:r>
    </w:p>
    <w:p w:rsidRPr="00C143C9" w:rsidR="00C158F5" w:rsidP="008D25BE" w:rsidRDefault="00C158F5" w14:paraId="2B85B27C" w14:textId="77777777"/>
    <w:p w:rsidRPr="00C143C9" w:rsidR="00C158F5" w:rsidP="008D25BE" w:rsidRDefault="00C158F5" w14:paraId="69D64D86" w14:textId="77777777">
      <w:pPr>
        <w:rPr>
          <w:lang w:val="en-US"/>
        </w:rPr>
      </w:pPr>
      <w:r w:rsidRPr="00165106">
        <w:t xml:space="preserve">DW. DEUTSCHE WELLE. Fome: um crime de guerra que permanece impune. </w:t>
      </w:r>
      <w:r w:rsidRPr="00C143C9">
        <w:rPr>
          <w:lang w:val="en-US"/>
        </w:rPr>
        <w:t>Bonn, 18 ago. 2025.​</w:t>
      </w:r>
    </w:p>
    <w:p w:rsidR="00C158F5" w:rsidP="008D25BE" w:rsidRDefault="00C158F5" w14:paraId="029CEB67" w14:textId="77777777">
      <w:pPr>
        <w:rPr>
          <w:lang w:val="en-US"/>
        </w:rPr>
      </w:pPr>
    </w:p>
    <w:p w:rsidRPr="003C56D5" w:rsidR="00C158F5" w:rsidP="008D25BE" w:rsidRDefault="00C158F5" w14:paraId="5F26A8D8" w14:textId="21B18748">
      <w:pPr>
        <w:rPr>
          <w:lang w:val="en-US"/>
        </w:rPr>
      </w:pPr>
      <w:r w:rsidRPr="00165106">
        <w:rPr>
          <w:lang w:val="en-US"/>
        </w:rPr>
        <w:t xml:space="preserve">ECCC. EXTRAORDINARY CHAMBERS IN THE COURTS OF CAMBODIA. </w:t>
      </w:r>
      <w:r w:rsidRPr="003C56D5">
        <w:rPr>
          <w:lang w:val="en-US"/>
        </w:rPr>
        <w:t>Case 002/01 Judgement. Phnom Penh, 2014.</w:t>
      </w:r>
    </w:p>
    <w:p w:rsidRPr="003C56D5" w:rsidR="006A013C" w:rsidP="008D25BE" w:rsidRDefault="006A013C" w14:paraId="74710AE8" w14:textId="77777777">
      <w:pPr>
        <w:rPr>
          <w:lang w:val="en-US"/>
        </w:rPr>
      </w:pPr>
    </w:p>
    <w:p w:rsidRPr="000346A0" w:rsidR="00E73E5D" w:rsidP="008D25BE" w:rsidRDefault="00E73E5D" w14:paraId="264AA47A" w14:textId="2B3409BB">
      <w:r w:rsidRPr="000346A0">
        <w:rPr>
          <w:lang w:val="en-US"/>
        </w:rPr>
        <w:t>ELIAS, Norbert. </w:t>
      </w:r>
      <w:r w:rsidRPr="000346A0">
        <w:t>O processo civilizador: formação do Estado e civilização. Rio de Janeiro: Jorge Zahar, 1994</w:t>
      </w:r>
      <w:r w:rsidR="000346A0">
        <w:t xml:space="preserve">. Disponivel em: </w:t>
      </w:r>
      <w:hyperlink w:history="1" r:id="rId72">
        <w:r w:rsidRPr="005076B2" w:rsidR="000346A0">
          <w:rPr>
            <w:rStyle w:val="Hyperlink"/>
          </w:rPr>
          <w:t>https://favaretoufabc.wordpress.com/wp-content/uploads/2014/03/elias-norbert-o-processo-civilizador-vol-i.pdf</w:t>
        </w:r>
      </w:hyperlink>
      <w:r w:rsidR="000346A0">
        <w:t xml:space="preserve"> . Acesso em 24 de fevereiro de 2026</w:t>
      </w:r>
    </w:p>
    <w:p w:rsidR="00E73E5D" w:rsidP="008D25BE" w:rsidRDefault="00E73E5D" w14:paraId="5F38EF8C" w14:textId="77777777"/>
    <w:p w:rsidRPr="00C143C9" w:rsidR="006A013C" w:rsidP="008D25BE" w:rsidRDefault="006A013C" w14:paraId="695878EE" w14:textId="3C3C481A">
      <w:r w:rsidRPr="006A013C">
        <w:t xml:space="preserve">EMBRAPA. A agricultura brasileira. Brasília, DF: Embrapa, 2020. Disponível em: </w:t>
      </w:r>
      <w:hyperlink w:history="1" r:id="rId73">
        <w:r w:rsidRPr="005076B2" w:rsidR="000346A0">
          <w:rPr>
            <w:rStyle w:val="Hyperlink"/>
          </w:rPr>
          <w:t>https://www.embrapa.br/vii-plano-diretor/a-agricultura-brasileira</w:t>
        </w:r>
      </w:hyperlink>
      <w:r w:rsidR="000346A0">
        <w:t xml:space="preserve">  </w:t>
      </w:r>
      <w:r w:rsidRPr="006A013C">
        <w:t xml:space="preserve">. </w:t>
      </w:r>
      <w:r w:rsidRPr="00C143C9">
        <w:t>Acesso em: 24 mar. 2026.</w:t>
      </w:r>
    </w:p>
    <w:p w:rsidR="00C158F5" w:rsidP="008D25BE" w:rsidRDefault="00C158F5" w14:paraId="30D8B787" w14:textId="77777777"/>
    <w:p w:rsidRPr="00C143C9" w:rsidR="00C158F5" w:rsidP="008D25BE" w:rsidRDefault="00C158F5" w14:paraId="6EF6B8ED" w14:textId="5A999A1B">
      <w:r w:rsidRPr="00165106">
        <w:t xml:space="preserve">ESTATUTO DE ROMA do Tribunal Penal Internacional. </w:t>
      </w:r>
      <w:r w:rsidRPr="00C143C9">
        <w:t>Roma: ONU, 17 jul. 199</w:t>
      </w:r>
      <w:r w:rsidR="00445954">
        <w:t xml:space="preserve">8. Disponivel em </w:t>
      </w:r>
      <w:hyperlink w:history="1" r:id="rId74">
        <w:r w:rsidRPr="00CD4EFE" w:rsidR="00445954">
          <w:rPr>
            <w:rStyle w:val="Hyperlink"/>
          </w:rPr>
          <w:t>https://www.planalto.gov.br/ccivil_03/decreto/2002/d4388.htm</w:t>
        </w:r>
      </w:hyperlink>
      <w:r w:rsidR="00445954">
        <w:t>. Acesso em: 10 de abril de 2026</w:t>
      </w:r>
    </w:p>
    <w:p w:rsidRPr="00461FF1" w:rsidR="006A013C" w:rsidP="008D25BE" w:rsidRDefault="006A013C" w14:paraId="531029D6" w14:textId="77777777">
      <w:pPr>
        <w:tabs>
          <w:tab w:val="right" w:pos="8504"/>
        </w:tabs>
      </w:pPr>
    </w:p>
    <w:p w:rsidRPr="00251127" w:rsidR="0021701D" w:rsidP="008D25BE" w:rsidRDefault="0021701D" w14:paraId="5AC432DF" w14:textId="5823EFA9">
      <w:pPr>
        <w:tabs>
          <w:tab w:val="right" w:pos="8504"/>
        </w:tabs>
      </w:pPr>
      <w:r w:rsidRPr="0021701D">
        <w:t xml:space="preserve">FANON, Frantz. Os Condenados da Terra. Tradução de José Laurênio de Melo. Rio de Janeiro: Civilização Brasileira, 1968. Disponível em: </w:t>
      </w:r>
      <w:hyperlink w:history="1" r:id="rId75">
        <w:r w:rsidRPr="00CD4EFE">
          <w:rPr>
            <w:rStyle w:val="Hyperlink"/>
          </w:rPr>
          <w:t>https://afrocentricidade.wordpress.com/wp-content/uploads/2012/06/os-condenados-da-terra-frantz-fanon.pdf</w:t>
        </w:r>
      </w:hyperlink>
      <w:r w:rsidRPr="0021701D">
        <w:t>.</w:t>
      </w:r>
      <w:r>
        <w:t xml:space="preserve"> </w:t>
      </w:r>
      <w:r w:rsidRPr="00251127">
        <w:t>Acesso em: 15 abril. 2026.</w:t>
      </w:r>
    </w:p>
    <w:p w:rsidRPr="00251127" w:rsidR="0021701D" w:rsidP="008D25BE" w:rsidRDefault="0021701D" w14:paraId="6D82090A" w14:textId="77777777">
      <w:pPr>
        <w:tabs>
          <w:tab w:val="right" w:pos="8504"/>
        </w:tabs>
      </w:pPr>
    </w:p>
    <w:p w:rsidRPr="00251127" w:rsidR="00D561CB" w:rsidP="008D25BE" w:rsidRDefault="00D561CB" w14:paraId="2C21BEE3" w14:textId="00E1D121">
      <w:r w:rsidRPr="00251127">
        <w:t xml:space="preserve">FAO. Food And Agriculture Organization Of The United Nations, 1974. disponível em: </w:t>
      </w:r>
      <w:hyperlink w:history="1" r:id="rId76">
        <w:r w:rsidRPr="00251127">
          <w:rPr>
            <w:rStyle w:val="Hyperlink"/>
          </w:rPr>
          <w:t>https://openknowledge.fao.org/server/api/core/bitstreams/b4db4b8d-c32e-4eef-82ca-fb9fe633f29e/content</w:t>
        </w:r>
      </w:hyperlink>
      <w:r w:rsidRPr="00251127">
        <w:t>. acesso em: 10 fevereiro 2026.</w:t>
      </w:r>
    </w:p>
    <w:p w:rsidRPr="00251127" w:rsidR="00D561CB" w:rsidP="008D25BE" w:rsidRDefault="00D561CB" w14:paraId="5B5B2D5C" w14:textId="77777777"/>
    <w:p w:rsidRPr="003006A7" w:rsidR="00C23AC3" w:rsidP="008D25BE" w:rsidRDefault="00C23AC3" w14:paraId="4B4A9C8E" w14:textId="0DD0D92C">
      <w:r w:rsidRPr="00165106">
        <w:rPr>
          <w:lang w:val="en-US"/>
        </w:rPr>
        <w:t xml:space="preserve">FAO. </w:t>
      </w:r>
      <w:r w:rsidRPr="00D561CB" w:rsidR="00D561CB">
        <w:rPr>
          <w:lang w:val="en-US"/>
        </w:rPr>
        <w:t>Food And Agriculture Organization Of The United Nations</w:t>
      </w:r>
      <w:r w:rsidRPr="00165106">
        <w:rPr>
          <w:lang w:val="en-US"/>
        </w:rPr>
        <w:t xml:space="preserve">. Briefing to the UN Security Council on conflict and hunger. </w:t>
      </w:r>
      <w:r w:rsidRPr="007559CE">
        <w:t>New York, 2019.</w:t>
      </w:r>
      <w:r w:rsidRPr="007559CE" w:rsidR="003006A7">
        <w:t xml:space="preserve"> </w:t>
      </w:r>
      <w:r w:rsidRPr="003006A7" w:rsidR="003006A7">
        <w:t xml:space="preserve">Disponivel em: </w:t>
      </w:r>
      <w:hyperlink w:history="1" r:id="rId77">
        <w:r w:rsidRPr="00582934" w:rsidR="003006A7">
          <w:rPr>
            <w:rStyle w:val="Hyperlink"/>
          </w:rPr>
          <w:t>https://www.fao.org/director-general/speeches/details/Briefing-to-the-UN-Security-Council-on-conflict-and-hunger/en</w:t>
        </w:r>
      </w:hyperlink>
      <w:r w:rsidR="003006A7">
        <w:t xml:space="preserve"> Acesso em 20 de janeiro de 2026</w:t>
      </w:r>
    </w:p>
    <w:p w:rsidRPr="003006A7" w:rsidR="00C23AC3" w:rsidP="008D25BE" w:rsidRDefault="00C23AC3" w14:paraId="5D2ABABC" w14:textId="77777777">
      <w:pPr>
        <w:rPr>
          <w:rFonts w:ascii="Arial" w:hAnsi="Arial" w:cs="Arial"/>
        </w:rPr>
      </w:pPr>
    </w:p>
    <w:p w:rsidRPr="00251127" w:rsidR="005A6685" w:rsidP="008D25BE" w:rsidRDefault="005A6685" w14:paraId="1AFD2865" w14:textId="5B04E055">
      <w:pPr>
        <w:rPr>
          <w:lang w:val="en-US"/>
        </w:rPr>
      </w:pPr>
      <w:r w:rsidRPr="005E60F2">
        <w:rPr>
          <w:lang w:val="en-US"/>
        </w:rPr>
        <w:t xml:space="preserve">FAO. Rome Declaration on World Food Security and Plan of Action. </w:t>
      </w:r>
      <w:r w:rsidRPr="00251127">
        <w:t xml:space="preserve">Roma: FAO, 1996. </w:t>
      </w:r>
      <w:r w:rsidRPr="00F01BD4">
        <w:t>Disponível em: </w:t>
      </w:r>
      <w:hyperlink w:history="1" r:id="rId78">
        <w:r w:rsidRPr="005076B2" w:rsidR="00F01BD4">
          <w:rPr>
            <w:rStyle w:val="Hyperlink"/>
          </w:rPr>
          <w:t>https://www.fao.org/4/w3613e/w3613e00.htm</w:t>
        </w:r>
      </w:hyperlink>
      <w:r w:rsidR="00F01BD4">
        <w:t xml:space="preserve"> . </w:t>
      </w:r>
      <w:r w:rsidRPr="00251127" w:rsidR="00F01BD4">
        <w:rPr>
          <w:lang w:val="en-US"/>
        </w:rPr>
        <w:t>Acesso em: 20 de fevereiro de 2026</w:t>
      </w:r>
    </w:p>
    <w:p w:rsidRPr="00251127" w:rsidR="005A6685" w:rsidP="008D25BE" w:rsidRDefault="005A6685" w14:paraId="72BB6ACD" w14:textId="77777777">
      <w:pPr>
        <w:tabs>
          <w:tab w:val="right" w:pos="8504"/>
        </w:tabs>
        <w:rPr>
          <w:lang w:val="en-US"/>
        </w:rPr>
      </w:pPr>
    </w:p>
    <w:p w:rsidRPr="005E60F2" w:rsidR="006A013C" w:rsidP="008D25BE" w:rsidRDefault="006A013C" w14:paraId="55FA380B" w14:textId="4A8DC22B">
      <w:r w:rsidRPr="005E60F2">
        <w:rPr>
          <w:lang w:val="en-US"/>
        </w:rPr>
        <w:t xml:space="preserve">FAO. The State of Food Insecurity in the World 2013. </w:t>
      </w:r>
      <w:r w:rsidRPr="005E60F2">
        <w:t>Roma: FAO, 2013.</w:t>
      </w:r>
      <w:r w:rsidR="003006A7">
        <w:t xml:space="preserve"> Disponivel em: </w:t>
      </w:r>
      <w:hyperlink w:history="1" r:id="rId79">
        <w:r w:rsidRPr="00582934" w:rsidR="003006A7">
          <w:rPr>
            <w:rStyle w:val="Hyperlink"/>
          </w:rPr>
          <w:t>https://www.fao.org/4/i3434e/i3434e.pdf</w:t>
        </w:r>
      </w:hyperlink>
      <w:r w:rsidR="003006A7">
        <w:t xml:space="preserve"> . Acesso em 11 de janeiro de 2026</w:t>
      </w:r>
    </w:p>
    <w:p w:rsidRPr="005E60F2" w:rsidR="006A013C" w:rsidP="008D25BE" w:rsidRDefault="006A013C" w14:paraId="20550640" w14:textId="77777777"/>
    <w:p w:rsidRPr="00251127" w:rsidR="006A013C" w:rsidP="008D25BE" w:rsidRDefault="006A013C" w14:paraId="64D83871" w14:textId="1680955F">
      <w:pPr>
        <w:rPr>
          <w:lang w:val="en-US"/>
        </w:rPr>
      </w:pPr>
      <w:r w:rsidRPr="005E60F2">
        <w:t>FAO. O estado de segurança alimentar e nutricional no Brasil: um retrato multidimensional. Brasília, DF: FAO Brasil, 2014. Disponível em:</w:t>
      </w:r>
      <w:r w:rsidR="005E60F2">
        <w:t xml:space="preserve"> </w:t>
      </w:r>
      <w:hyperlink w:history="1" r:id="rId80">
        <w:r w:rsidRPr="005076B2" w:rsidR="005E60F2">
          <w:rPr>
            <w:rStyle w:val="Hyperlink"/>
          </w:rPr>
          <w:t>https://www.enfpt.org.br/wp-content/uploads/2018/02/Relatorio-FAO-Brasil.pdf</w:t>
        </w:r>
      </w:hyperlink>
      <w:r w:rsidR="005E60F2">
        <w:t xml:space="preserve"> </w:t>
      </w:r>
      <w:r w:rsidRPr="005E60F2">
        <w:t xml:space="preserve">. </w:t>
      </w:r>
      <w:r w:rsidRPr="00251127">
        <w:rPr>
          <w:lang w:val="en-US"/>
        </w:rPr>
        <w:t>Acesso em: 24 mar. 2026.</w:t>
      </w:r>
    </w:p>
    <w:p w:rsidRPr="00251127" w:rsidR="005A6685" w:rsidP="008D25BE" w:rsidRDefault="005A6685" w14:paraId="435E49E2" w14:textId="77777777">
      <w:pPr>
        <w:rPr>
          <w:lang w:val="en-US"/>
        </w:rPr>
      </w:pPr>
    </w:p>
    <w:p w:rsidRPr="003006A7" w:rsidR="005A6685" w:rsidP="008D25BE" w:rsidRDefault="005A6685" w14:paraId="64DA9D38" w14:textId="4C509BFD">
      <w:r w:rsidRPr="005E60F2">
        <w:rPr>
          <w:lang w:val="en-US"/>
        </w:rPr>
        <w:t xml:space="preserve">FAO. Voluntary Guidelines to Support the Progressive Realization of the Right to Adequate Food in the Context of National Food Security. </w:t>
      </w:r>
      <w:r w:rsidRPr="003006A7">
        <w:t>Roma: FAO, 2005.</w:t>
      </w:r>
      <w:r w:rsidRPr="003006A7" w:rsidR="003006A7">
        <w:t xml:space="preserve"> Disponivel em: </w:t>
      </w:r>
      <w:hyperlink w:history="1" r:id="rId81">
        <w:r w:rsidRPr="00582934" w:rsidR="003006A7">
          <w:rPr>
            <w:rStyle w:val="Hyperlink"/>
          </w:rPr>
          <w:t>https://www.fao.org/4/y7937e/y7937e00.htm</w:t>
        </w:r>
      </w:hyperlink>
      <w:r w:rsidR="003006A7">
        <w:t xml:space="preserve"> Acesso em 23 de março de 2026</w:t>
      </w:r>
    </w:p>
    <w:p w:rsidRPr="003006A7" w:rsidR="008D7135" w:rsidP="008D25BE" w:rsidRDefault="008D7135" w14:paraId="790A7B7A" w14:textId="77777777"/>
    <w:p w:rsidRPr="003C56D5" w:rsidR="008D7135" w:rsidP="008D25BE" w:rsidRDefault="008D7135" w14:paraId="339A6892" w14:textId="77777777">
      <w:pPr>
        <w:rPr>
          <w:color w:val="000000"/>
          <w:lang w:val="en-US"/>
        </w:rPr>
      </w:pPr>
      <w:r w:rsidRPr="00F36165">
        <w:rPr>
          <w:color w:val="000000"/>
          <w:lang w:val="en-US"/>
        </w:rPr>
        <w:t xml:space="preserve">FAO; WFP; IFPRI et al. Global Report on Food Crises 2025. </w:t>
      </w:r>
      <w:r w:rsidRPr="00F36165">
        <w:rPr>
          <w:color w:val="000000"/>
        </w:rPr>
        <w:t>Roma: FAO, 2025. Disponível em: </w:t>
      </w:r>
      <w:hyperlink w:tgtFrame="_blank" w:history="1" r:id="rId82">
        <w:r w:rsidRPr="00F36165">
          <w:rPr>
            <w:rStyle w:val="Hyperlink"/>
          </w:rPr>
          <w:t>https://ifz.org.br/global-report-on-food-crises-2025/</w:t>
        </w:r>
      </w:hyperlink>
      <w:r w:rsidRPr="00F36165">
        <w:rPr>
          <w:color w:val="000000"/>
        </w:rPr>
        <w:t xml:space="preserve">. </w:t>
      </w:r>
      <w:r w:rsidRPr="003C56D5">
        <w:rPr>
          <w:color w:val="000000"/>
          <w:lang w:val="en-US"/>
        </w:rPr>
        <w:t>Acesso em: [data].[</w:t>
      </w:r>
      <w:hyperlink w:history="1" r:id="rId83">
        <w:r w:rsidRPr="003C56D5">
          <w:rPr>
            <w:rStyle w:val="Hyperlink"/>
            <w:lang w:val="en-US"/>
          </w:rPr>
          <w:t>ifz.org</w:t>
        </w:r>
      </w:hyperlink>
      <w:r w:rsidRPr="003C56D5">
        <w:rPr>
          <w:color w:val="000000"/>
          <w:lang w:val="en-US"/>
        </w:rPr>
        <w:t>]​</w:t>
      </w:r>
    </w:p>
    <w:p w:rsidR="00882C81" w:rsidP="008D25BE" w:rsidRDefault="00882C81" w14:paraId="4A146B22" w14:textId="77777777"/>
    <w:p w:rsidRPr="003006A7" w:rsidR="00B22BBC" w:rsidP="008D25BE" w:rsidRDefault="00B22BBC" w14:paraId="676A1B9C" w14:textId="70D6A3F3">
      <w:r w:rsidRPr="003006A7">
        <w:t>FEFFERMANN, Marisa; KALCKMANN, Suzana; FAUSTINO (Nkosi), Deivison; OLIVEIRA, Dennis de; CALADO, Maria Glória; BATISTA, Luis Eduardo; CHEREGATTO, Raiani. Interfaces do genocídio no Brasil: raça, gênero e classe. São Paulo: Instituto de Saúde, 2019. Disponível em: </w:t>
      </w:r>
      <w:hyperlink w:tgtFrame="_blank" w:history="1" r:id="rId84">
        <w:r w:rsidRPr="003006A7">
          <w:rPr>
            <w:rStyle w:val="Hyperlink"/>
          </w:rPr>
          <w:t>https://www.saude.sp.gov.br/resources/instituto-de-saude/homepage/pdfs/temassaudecoletiva25.pdf</w:t>
        </w:r>
      </w:hyperlink>
      <w:r w:rsidRPr="003006A7">
        <w:t>. Acesso em: 10 janeiro 2026.</w:t>
      </w:r>
    </w:p>
    <w:p w:rsidR="00882C81" w:rsidP="008D25BE" w:rsidRDefault="00882C81" w14:paraId="255006BA" w14:textId="77777777"/>
    <w:p w:rsidRPr="00061F23" w:rsidR="00061F23" w:rsidP="00061F23" w:rsidRDefault="00061F23" w14:paraId="2A383C46" w14:textId="538188CA">
      <w:r w:rsidRPr="00061F23">
        <w:t xml:space="preserve">FISHER, Mark. Para desvendar a cilada do realismo capitalista. </w:t>
      </w:r>
      <w:r w:rsidRPr="00061F23">
        <w:rPr>
          <w:i/>
          <w:iCs/>
        </w:rPr>
        <w:t>Outras Palavras</w:t>
      </w:r>
      <w:r w:rsidRPr="00061F23">
        <w:t xml:space="preserve">, 2020. Disponível em: </w:t>
      </w:r>
      <w:hyperlink w:history="1" r:id="rId85">
        <w:r w:rsidRPr="00061F23">
          <w:rPr>
            <w:rStyle w:val="Hyperlink"/>
          </w:rPr>
          <w:t>https://outraspalavras.net/crise-civilizatoria/para-desvendar-a-cilada-do-realismo-capitalista/</w:t>
        </w:r>
      </w:hyperlink>
      <w:r w:rsidRPr="00061F23">
        <w:t xml:space="preserve">. Acesso em: 20 </w:t>
      </w:r>
      <w:r>
        <w:t>fevereiro</w:t>
      </w:r>
      <w:r w:rsidRPr="00061F23">
        <w:t xml:space="preserve"> 2026.</w:t>
      </w:r>
    </w:p>
    <w:p w:rsidRPr="003C56D5" w:rsidR="00061F23" w:rsidP="008D25BE" w:rsidRDefault="00061F23" w14:paraId="036F131D" w14:textId="77777777"/>
    <w:p w:rsidRPr="003006A7" w:rsidR="008D7135" w:rsidP="008D25BE" w:rsidRDefault="008D7135" w14:paraId="60B66D1E" w14:textId="0A8C7F7C">
      <w:r w:rsidRPr="00F36165">
        <w:rPr>
          <w:color w:val="000000"/>
        </w:rPr>
        <w:t>FILIU, J.</w:t>
      </w:r>
      <w:r w:rsidRPr="00F36165">
        <w:rPr>
          <w:color w:val="000000"/>
        </w:rPr>
        <w:noBreakHyphen/>
      </w:r>
      <w:r w:rsidRPr="00F36165">
        <w:rPr>
          <w:color w:val="000000"/>
        </w:rPr>
        <w:t>P. Israel e Palestina: a história de um conflito sem vencedores – do século XIX aos nossos dias. São Paulo: Editora Unesp, 2015.[</w:t>
      </w:r>
      <w:hyperlink w:history="1" r:id="rId86">
        <w:r w:rsidRPr="00F36165">
          <w:rPr>
            <w:rStyle w:val="Hyperlink"/>
          </w:rPr>
          <w:t>livrariaunesp.com</w:t>
        </w:r>
      </w:hyperlink>
      <w:r w:rsidRPr="00F36165">
        <w:rPr>
          <w:color w:val="000000"/>
        </w:rPr>
        <w:t>]​[</w:t>
      </w:r>
      <w:hyperlink w:history="1" r:id="rId87">
        <w:r w:rsidRPr="00F36165">
          <w:rPr>
            <w:rStyle w:val="Hyperlink"/>
          </w:rPr>
          <w:t>ppl-ai-file-upload.s3.amazonaws</w:t>
        </w:r>
      </w:hyperlink>
      <w:r w:rsidRPr="00F36165">
        <w:rPr>
          <w:color w:val="000000"/>
        </w:rPr>
        <w:t>]​</w:t>
      </w:r>
      <w:r w:rsidR="003006A7">
        <w:rPr>
          <w:color w:val="000000"/>
        </w:rPr>
        <w:t xml:space="preserve"> </w:t>
      </w:r>
      <w:r w:rsidRPr="00061F23" w:rsidR="003006A7">
        <w:t xml:space="preserve">Acesso em: </w:t>
      </w:r>
      <w:r w:rsidR="003006A7">
        <w:t>13</w:t>
      </w:r>
      <w:r w:rsidRPr="00061F23" w:rsidR="003006A7">
        <w:t xml:space="preserve"> </w:t>
      </w:r>
      <w:r w:rsidR="003006A7">
        <w:t>fevereiro</w:t>
      </w:r>
      <w:r w:rsidRPr="00061F23" w:rsidR="003006A7">
        <w:t xml:space="preserve"> 2026.</w:t>
      </w:r>
    </w:p>
    <w:p w:rsidR="00E73E5D" w:rsidP="008D25BE" w:rsidRDefault="00E73E5D" w14:paraId="52754D6E" w14:textId="77777777"/>
    <w:p w:rsidR="00882F96" w:rsidP="008D25BE" w:rsidRDefault="00DA6016" w14:paraId="6C80DC12" w14:textId="2CEE64EF">
      <w:pPr>
        <w:rPr>
          <w:color w:val="000000"/>
        </w:rPr>
      </w:pPr>
      <w:r w:rsidRPr="00DA6016">
        <w:rPr>
          <w:color w:val="000000"/>
        </w:rPr>
        <w:t>FOUCAULT, Michel. Microfísica do poder. Rio de Janeiro: Edições Graal, 1979.</w:t>
      </w:r>
    </w:p>
    <w:p w:rsidRPr="007559CE" w:rsidR="00C23AC3" w:rsidP="008D25BE" w:rsidRDefault="00C23AC3" w14:paraId="60ED083F" w14:textId="77777777"/>
    <w:p w:rsidRPr="003C56D5" w:rsidR="00C23AC3" w:rsidP="008D25BE" w:rsidRDefault="00C23AC3" w14:paraId="6DAF9CC7" w14:textId="4058447F">
      <w:pPr>
        <w:rPr>
          <w:color w:val="000000"/>
        </w:rPr>
      </w:pPr>
      <w:r w:rsidRPr="003006A7">
        <w:rPr>
          <w:color w:val="000000"/>
        </w:rPr>
        <w:t xml:space="preserve">FREITAS, M. R. L.; PONZILACQUA, M. H. P. (org.). </w:t>
      </w:r>
      <w:r w:rsidRPr="00F36165">
        <w:rPr>
          <w:color w:val="000000"/>
        </w:rPr>
        <w:t xml:space="preserve">Análise de política social e direito: interfaces e procedimentos metodológicos. </w:t>
      </w:r>
      <w:r w:rsidRPr="003C56D5">
        <w:rPr>
          <w:color w:val="000000"/>
        </w:rPr>
        <w:t>Ribeirão Preto; Belo Horizonte: FDRP</w:t>
      </w:r>
      <w:r w:rsidRPr="003C56D5">
        <w:rPr>
          <w:color w:val="000000"/>
        </w:rPr>
        <w:noBreakHyphen/>
      </w:r>
      <w:r w:rsidRPr="003C56D5">
        <w:rPr>
          <w:color w:val="000000"/>
        </w:rPr>
        <w:t>USP; PUC Minas, 2020.</w:t>
      </w:r>
      <w:r w:rsidR="00373428">
        <w:rPr>
          <w:color w:val="000000"/>
        </w:rPr>
        <w:t xml:space="preserve"> Disponivel em:</w:t>
      </w:r>
      <w:r w:rsidR="003006A7">
        <w:rPr>
          <w:color w:val="000000"/>
        </w:rPr>
        <w:t xml:space="preserve"> </w:t>
      </w:r>
      <w:hyperlink w:history="1" r:id="rId88">
        <w:r w:rsidRPr="00582934" w:rsidR="003006A7">
          <w:rPr>
            <w:rStyle w:val="Hyperlink"/>
          </w:rPr>
          <w:t>https://www.livrosabertos.abcd.usp.br/portaldelivrosUSP/catalog/book/567</w:t>
        </w:r>
      </w:hyperlink>
      <w:r w:rsidR="003006A7">
        <w:rPr>
          <w:color w:val="000000"/>
        </w:rPr>
        <w:t xml:space="preserve"> Acesso em 10 de novembro de 2026</w:t>
      </w:r>
    </w:p>
    <w:p w:rsidRPr="00C143C9" w:rsidR="00DB48B8" w:rsidP="008D25BE" w:rsidRDefault="00DB48B8" w14:paraId="708C53C5" w14:textId="77777777"/>
    <w:p w:rsidRPr="00441218" w:rsidR="006A013C" w:rsidP="008D25BE" w:rsidRDefault="006A013C" w14:paraId="6357C547" w14:textId="77777777">
      <w:r w:rsidRPr="00441218">
        <w:t>IBGE; CONSEA. [Relatório sobre Mapa da Fome]. Brasília, DF, 2018.</w:t>
      </w:r>
    </w:p>
    <w:p w:rsidR="00441218" w:rsidP="008D25BE" w:rsidRDefault="00441218" w14:paraId="39890A3D" w14:textId="77777777"/>
    <w:p w:rsidRPr="003C56D5" w:rsidR="00441218" w:rsidP="008D25BE" w:rsidRDefault="00441218" w14:paraId="639C72AF" w14:textId="1E224CCF">
      <w:r w:rsidRPr="00B07A2B">
        <w:t>G1. Entenda a campanha "Agro é Tech, Agro é Pop, Agro é Tudo". Globo, 18 jul. 2020. Disponível em:</w:t>
      </w:r>
      <w:r w:rsidR="00E80A86">
        <w:t xml:space="preserve"> </w:t>
      </w:r>
      <w:hyperlink w:history="1" r:id="rId89">
        <w:r w:rsidRPr="005076B2" w:rsidR="00E80A86">
          <w:rPr>
            <w:rStyle w:val="Hyperlink"/>
          </w:rPr>
          <w:t>https://g1.globo.com/economia/agronegocios/video/entenda-a-campanha-agro-e-tech-agro-e-pop-agro-e-tudo-5343997.ghtml</w:t>
        </w:r>
      </w:hyperlink>
      <w:r w:rsidR="00E80A86">
        <w:t xml:space="preserve"> </w:t>
      </w:r>
      <w:r w:rsidRPr="003C56D5">
        <w:t>Acesso em: 24 mar. 2026.</w:t>
      </w:r>
    </w:p>
    <w:p w:rsidRPr="003C56D5" w:rsidR="00441218" w:rsidP="008D25BE" w:rsidRDefault="00441218" w14:paraId="04F26F17" w14:textId="77777777"/>
    <w:p w:rsidRPr="009662DC" w:rsidR="006E1262" w:rsidP="008D25BE" w:rsidRDefault="006E1262" w14:paraId="052CB903" w14:textId="22482F08">
      <w:pPr>
        <w:rPr>
          <w:color w:val="000000"/>
        </w:rPr>
      </w:pPr>
      <w:r w:rsidRPr="00F36165">
        <w:rPr>
          <w:color w:val="000000"/>
        </w:rPr>
        <w:t xml:space="preserve">GARGARELLA, Roberto. La justicia frente al gobierno. </w:t>
      </w:r>
      <w:r w:rsidR="009662DC">
        <w:rPr>
          <w:color w:val="000000"/>
        </w:rPr>
        <w:t>Quito. Equador</w:t>
      </w:r>
      <w:r w:rsidRPr="009662DC">
        <w:rPr>
          <w:color w:val="000000"/>
        </w:rPr>
        <w:t xml:space="preserve">: </w:t>
      </w:r>
      <w:r w:rsidR="009662DC">
        <w:rPr>
          <w:color w:val="000000"/>
        </w:rPr>
        <w:t>Corte Constitucional</w:t>
      </w:r>
      <w:r w:rsidRPr="009662DC">
        <w:rPr>
          <w:color w:val="000000"/>
        </w:rPr>
        <w:t>, 20</w:t>
      </w:r>
      <w:r w:rsidRPr="009662DC" w:rsidR="009662DC">
        <w:rPr>
          <w:color w:val="000000"/>
        </w:rPr>
        <w:t>11</w:t>
      </w:r>
      <w:r w:rsidRPr="009662DC">
        <w:rPr>
          <w:color w:val="000000"/>
        </w:rPr>
        <w:t>.</w:t>
      </w:r>
      <w:r w:rsidRPr="009662DC" w:rsidR="009662DC">
        <w:rPr>
          <w:color w:val="000000"/>
        </w:rPr>
        <w:t xml:space="preserve"> Disponivel em:</w:t>
      </w:r>
      <w:r w:rsidR="009662DC">
        <w:rPr>
          <w:color w:val="000000"/>
        </w:rPr>
        <w:t xml:space="preserve"> </w:t>
      </w:r>
      <w:hyperlink w:history="1" r:id="rId90">
        <w:r w:rsidRPr="005076B2" w:rsidR="009662DC">
          <w:rPr>
            <w:rStyle w:val="Hyperlink"/>
          </w:rPr>
          <w:t>http://bivicce.corteconstitucional.gob.ec/bases/biblo/texto/La_justicia_frente_al_gobierno_3/La_justicia_frente_al_gobierno_3.pdf</w:t>
        </w:r>
      </w:hyperlink>
      <w:r w:rsidR="009662DC">
        <w:rPr>
          <w:color w:val="000000"/>
        </w:rPr>
        <w:t xml:space="preserve">  Acesso em 4 de março de 2026</w:t>
      </w:r>
    </w:p>
    <w:p w:rsidRPr="00EC4409" w:rsidR="00832C4E" w:rsidP="008D25BE" w:rsidRDefault="00832C4E" w14:paraId="7A75C244" w14:textId="77777777">
      <w:pPr>
        <w:pStyle w:val="Corpodetexto"/>
        <w:spacing w:line="240" w:lineRule="auto"/>
      </w:pPr>
    </w:p>
    <w:p w:rsidRPr="009662DC" w:rsidR="00882C81" w:rsidP="008D25BE" w:rsidRDefault="00882C81" w14:paraId="04E6E33F" w14:textId="317164B7">
      <w:r w:rsidRPr="00882C81">
        <w:rPr>
          <w:lang w:val="en-US"/>
        </w:rPr>
        <w:t>GELLATELY, Robert. </w:t>
      </w:r>
      <w:r w:rsidRPr="009662DC" w:rsidR="009662DC">
        <w:rPr>
          <w:lang w:val="en-US"/>
        </w:rPr>
        <w:t>Lenin, stalin, and hitler: the age of social catastrophe</w:t>
      </w:r>
      <w:r w:rsidRPr="00882C81" w:rsidR="009662DC">
        <w:rPr>
          <w:lang w:val="en-US"/>
        </w:rPr>
        <w:t xml:space="preserve">. </w:t>
      </w:r>
      <w:r w:rsidRPr="009662DC">
        <w:t>Londres: Vintage, 2008.</w:t>
      </w:r>
      <w:r w:rsidRPr="009662DC" w:rsidR="009662DC">
        <w:t xml:space="preserve"> Disponivel em: </w:t>
      </w:r>
      <w:hyperlink w:history="1" r:id="rId91">
        <w:r w:rsidRPr="005076B2" w:rsidR="009662DC">
          <w:rPr>
            <w:rStyle w:val="Hyperlink"/>
          </w:rPr>
          <w:t>https://irp.cdn-website.com/959e7c95/files/uploaded/201-satalowubivusu.pdf</w:t>
        </w:r>
      </w:hyperlink>
      <w:r w:rsidR="009662DC">
        <w:t xml:space="preserve"> Acesso em 8 de março de 2026</w:t>
      </w:r>
    </w:p>
    <w:p w:rsidRPr="009662DC" w:rsidR="00882C81" w:rsidP="008D25BE" w:rsidRDefault="00882C81" w14:paraId="0386FAD8" w14:textId="77777777"/>
    <w:p w:rsidRPr="00B86751" w:rsidR="008D7135" w:rsidP="008D25BE" w:rsidRDefault="008D7135" w14:paraId="15AEC602" w14:textId="6E60C632">
      <w:pPr>
        <w:rPr>
          <w:color w:val="000000"/>
        </w:rPr>
      </w:pPr>
      <w:r w:rsidRPr="00F36165">
        <w:rPr>
          <w:color w:val="000000"/>
          <w:lang w:val="en-US"/>
        </w:rPr>
        <w:t>GISHA. Red Lines: Israel calculates restrictions on Gaza. Tel Aviv: Gisha – Legal Center for Freedom of Movement, 2010</w:t>
      </w:r>
      <w:r w:rsidR="00B86751">
        <w:rPr>
          <w:color w:val="000000"/>
          <w:lang w:val="en-US"/>
        </w:rPr>
        <w:t xml:space="preserve">. </w:t>
      </w:r>
      <w:r w:rsidRPr="00B86751" w:rsidR="00B86751">
        <w:rPr>
          <w:color w:val="000000"/>
        </w:rPr>
        <w:t xml:space="preserve">Disponivel em: </w:t>
      </w:r>
      <w:hyperlink w:history="1" r:id="rId92">
        <w:r w:rsidRPr="005076B2" w:rsidR="00B86751">
          <w:rPr>
            <w:rStyle w:val="Hyperlink"/>
          </w:rPr>
          <w:t>https://www.hurriyetdailynews.com/israel-calculates-its-restrictions-on-gaza-32672</w:t>
        </w:r>
      </w:hyperlink>
      <w:r w:rsidR="00B86751">
        <w:rPr>
          <w:color w:val="000000"/>
        </w:rPr>
        <w:t>. Acesso em 8 de março de 2026</w:t>
      </w:r>
    </w:p>
    <w:p w:rsidRPr="00B86751" w:rsidR="008D7135" w:rsidP="008D25BE" w:rsidRDefault="008D7135" w14:paraId="30B2DE85" w14:textId="77777777">
      <w:pPr>
        <w:rPr>
          <w:color w:val="000000"/>
        </w:rPr>
      </w:pPr>
    </w:p>
    <w:p w:rsidRPr="00F36165" w:rsidR="008D7135" w:rsidP="008D25BE" w:rsidRDefault="008D7135" w14:paraId="17FE7674" w14:textId="0E6D887E">
      <w:pPr>
        <w:rPr>
          <w:color w:val="000000"/>
        </w:rPr>
      </w:pPr>
      <w:r w:rsidRPr="00251127">
        <w:rPr>
          <w:color w:val="000000"/>
        </w:rPr>
        <w:t xml:space="preserve">GISHA. Scale of control: Israel’s control of the Gaza Strip. </w:t>
      </w:r>
      <w:r w:rsidRPr="00F36165">
        <w:rPr>
          <w:color w:val="000000"/>
        </w:rPr>
        <w:t>Tel Aviv: Gisha, 2012</w:t>
      </w:r>
      <w:r w:rsidR="00B86751">
        <w:rPr>
          <w:color w:val="000000"/>
        </w:rPr>
        <w:t xml:space="preserve">. Disponivel em: </w:t>
      </w:r>
      <w:hyperlink w:history="1" r:id="rId93">
        <w:r w:rsidRPr="005076B2" w:rsidR="00B86751">
          <w:rPr>
            <w:rStyle w:val="Hyperlink"/>
          </w:rPr>
          <w:t>https://www.hurriyetdailynews.com/israel-calculates-its-restrictions-on-gaza-32672</w:t>
        </w:r>
      </w:hyperlink>
      <w:r w:rsidR="00B86751">
        <w:rPr>
          <w:color w:val="000000"/>
        </w:rPr>
        <w:t>. Acesso em 8 de março de 2026</w:t>
      </w:r>
    </w:p>
    <w:p w:rsidRPr="0096705A" w:rsidR="008D7135" w:rsidP="008D25BE" w:rsidRDefault="008D7135" w14:paraId="01C5A099" w14:textId="77777777"/>
    <w:p w:rsidRPr="001E5CC2" w:rsidR="00832C4E" w:rsidP="008D25BE" w:rsidRDefault="00BE37D7" w14:paraId="1B39A708" w14:textId="59ACC3B4">
      <w:pPr>
        <w:rPr>
          <w:lang w:val="en-US"/>
        </w:rPr>
      </w:pPr>
      <w:r w:rsidRPr="00BE37D7">
        <w:t xml:space="preserve">GUERRA, Lúcia Dias da Silva; PASSOS, Eduardo Vieira. A fome como arma de extermínio: o genocídio alimentar e nutricional dos povos indígenas Xavante na Amazônia Legal Brasileira. </w:t>
      </w:r>
      <w:r w:rsidRPr="00BE37D7">
        <w:rPr>
          <w:lang w:val="en-US"/>
        </w:rPr>
        <w:t xml:space="preserve">JMPHC | Journal of Management &amp; Primary Health Care, v. 15, p. e031, 2023. </w:t>
      </w:r>
      <w:r w:rsidRPr="00BE37D7">
        <w:t xml:space="preserve">Disponível em: </w:t>
      </w:r>
      <w:hyperlink w:history="1" r:id="rId94">
        <w:r w:rsidRPr="00582934" w:rsidR="003006A7">
          <w:rPr>
            <w:rStyle w:val="Hyperlink"/>
          </w:rPr>
          <w:t>https://www.jmphc.com.br/jmphc/article/view/1378</w:t>
        </w:r>
      </w:hyperlink>
      <w:r w:rsidR="003006A7">
        <w:t xml:space="preserve"> </w:t>
      </w:r>
      <w:r w:rsidRPr="00BE37D7">
        <w:t xml:space="preserve">. </w:t>
      </w:r>
      <w:r w:rsidRPr="001E5CC2">
        <w:rPr>
          <w:lang w:val="en-US"/>
        </w:rPr>
        <w:t xml:space="preserve">Acesso em: 14 mai. 2026. </w:t>
      </w:r>
    </w:p>
    <w:p w:rsidR="00BE37D7" w:rsidP="008D25BE" w:rsidRDefault="00BE37D7" w14:paraId="35683B83" w14:textId="77777777">
      <w:pPr>
        <w:rPr>
          <w:lang w:val="en-US"/>
        </w:rPr>
      </w:pPr>
    </w:p>
    <w:p w:rsidRPr="00D91821" w:rsidR="00832C4E" w:rsidP="008D25BE" w:rsidRDefault="00832C4E" w14:paraId="6356C26F" w14:textId="377D194C">
      <w:pPr>
        <w:rPr>
          <w:lang w:val="en-US"/>
        </w:rPr>
      </w:pPr>
      <w:r w:rsidRPr="00D91821">
        <w:rPr>
          <w:lang w:val="en-US"/>
        </w:rPr>
        <w:t>HAUCK-LAWSON, Dorothy. This is who I am: on the construction and repair of identity in foodway research. Food and Foodways, 1998.</w:t>
      </w:r>
    </w:p>
    <w:p w:rsidR="00832C4E" w:rsidP="008D25BE" w:rsidRDefault="00832C4E" w14:paraId="5EAE649D" w14:textId="77777777">
      <w:pPr>
        <w:rPr>
          <w:lang w:val="en-US"/>
        </w:rPr>
      </w:pPr>
    </w:p>
    <w:p w:rsidRPr="00E76721" w:rsidR="00373428" w:rsidP="008D25BE" w:rsidRDefault="00373428" w14:paraId="3748CC59" w14:textId="30A354CD">
      <w:pPr>
        <w:rPr>
          <w:lang w:val="en-US"/>
        </w:rPr>
      </w:pPr>
      <w:r w:rsidRPr="00373428">
        <w:rPr>
          <w:lang w:val="en-US"/>
        </w:rPr>
        <w:t>HAUSEN, Anton; LAUNIALA, Annika.</w:t>
      </w:r>
      <w:r>
        <w:rPr>
          <w:lang w:val="en-US"/>
        </w:rPr>
        <w:t xml:space="preserve"> </w:t>
      </w:r>
      <w:r w:rsidRPr="00373428">
        <w:rPr>
          <w:lang w:val="en-US"/>
        </w:rPr>
        <w:t>Introduction to the Human Rights Based Approach. </w:t>
      </w:r>
      <w:r w:rsidRPr="00373428">
        <w:t>Helsinki: UNICEF, 2015</w:t>
      </w:r>
      <w:r>
        <w:t xml:space="preserve">. </w:t>
      </w:r>
      <w:r w:rsidRPr="00373428">
        <w:t xml:space="preserve"> Disponível em: </w:t>
      </w:r>
      <w:hyperlink w:history="1" r:id="rId95">
        <w:r w:rsidRPr="00525297" w:rsidR="00157BD3">
          <w:rPr>
            <w:rStyle w:val="Hyperlink"/>
          </w:rPr>
          <w:t>https://unicef.studio.crasman.fi/pub/public/pdf/HRBA_manuaali_FINAL_pdf_small2.pdf</w:t>
        </w:r>
      </w:hyperlink>
      <w:r w:rsidR="00157BD3">
        <w:t xml:space="preserve"> </w:t>
      </w:r>
      <w:r w:rsidRPr="00373428">
        <w:t xml:space="preserve">. </w:t>
      </w:r>
      <w:r w:rsidRPr="00E76721">
        <w:rPr>
          <w:lang w:val="en-US"/>
        </w:rPr>
        <w:t>Acesso em: 20 novembro 2025.</w:t>
      </w:r>
    </w:p>
    <w:p w:rsidRPr="00E76721" w:rsidR="00373428" w:rsidP="008D25BE" w:rsidRDefault="00373428" w14:paraId="71B8DF46" w14:textId="77777777">
      <w:pPr>
        <w:rPr>
          <w:lang w:val="en-US"/>
        </w:rPr>
      </w:pPr>
    </w:p>
    <w:p w:rsidR="00882C81" w:rsidP="008D25BE" w:rsidRDefault="00882C81" w14:paraId="693FFABA" w14:textId="77777777">
      <w:r w:rsidRPr="00882C81">
        <w:rPr>
          <w:lang w:val="en-US"/>
        </w:rPr>
        <w:t xml:space="preserve">HUMAN RIGHTS COUNCIL. Report of the Independent International Commission of Inquiry on the Syrian Arab Republic. </w:t>
      </w:r>
      <w:r w:rsidRPr="00882C81">
        <w:t>A/HRC/46/54, 2021. Disponível em: </w:t>
      </w:r>
      <w:hyperlink w:tgtFrame="_blank" w:history="1" r:id="rId96">
        <w:r w:rsidRPr="00882C81">
          <w:rPr>
            <w:rStyle w:val="Hyperlink"/>
          </w:rPr>
          <w:t>https://undocs.org/A/HRC/46/54</w:t>
        </w:r>
      </w:hyperlink>
      <w:r w:rsidRPr="00882C81">
        <w:t>. Acesso em: 16 mar. 2026.</w:t>
      </w:r>
    </w:p>
    <w:p w:rsidR="00C158F5" w:rsidP="008D25BE" w:rsidRDefault="00C158F5" w14:paraId="3D6CE3B7" w14:textId="77777777"/>
    <w:p w:rsidRPr="007559CE" w:rsidR="00C158F5" w:rsidP="008D25BE" w:rsidRDefault="00C158F5" w14:paraId="6B06490F" w14:textId="0DA23DDB">
      <w:pPr>
        <w:rPr>
          <w:lang w:val="en-US"/>
        </w:rPr>
      </w:pPr>
      <w:r w:rsidRPr="00165106">
        <w:rPr>
          <w:lang w:val="en-US"/>
        </w:rPr>
        <w:t>HUMAN RIGHTS WATCH. A threshold crossed: Israeli authorities and the crimes of apartheid and persecution. New York, 2021.</w:t>
      </w:r>
      <w:r w:rsidR="003006A7">
        <w:rPr>
          <w:lang w:val="en-US"/>
        </w:rPr>
        <w:t xml:space="preserve"> </w:t>
      </w:r>
      <w:r w:rsidRPr="007559CE" w:rsidR="003006A7">
        <w:rPr>
          <w:lang w:val="en-US"/>
        </w:rPr>
        <w:t xml:space="preserve">Dsiponivel em: </w:t>
      </w:r>
      <w:hyperlink w:history="1" r:id="rId97">
        <w:r w:rsidRPr="007559CE" w:rsidR="003006A7">
          <w:rPr>
            <w:rStyle w:val="Hyperlink"/>
            <w:lang w:val="en-US"/>
          </w:rPr>
          <w:t>https://www.hrw.org/report/2021/04/27/threshold-crossed/israeli-authorities-and-crimes-apartheid-and-persecution</w:t>
        </w:r>
      </w:hyperlink>
      <w:r w:rsidRPr="007559CE" w:rsidR="003006A7">
        <w:rPr>
          <w:lang w:val="en-US"/>
        </w:rPr>
        <w:t xml:space="preserve"> . Acesso em 20 de março de 2026</w:t>
      </w:r>
    </w:p>
    <w:p w:rsidRPr="007559CE" w:rsidR="00882C81" w:rsidP="008D25BE" w:rsidRDefault="00882C81" w14:paraId="4F56E9FB" w14:textId="77777777">
      <w:pPr>
        <w:rPr>
          <w:lang w:val="en-US"/>
        </w:rPr>
      </w:pPr>
    </w:p>
    <w:p w:rsidR="00882C81" w:rsidP="008D25BE" w:rsidRDefault="00882C81" w14:paraId="6E948E7B" w14:textId="77777777">
      <w:pPr>
        <w:rPr>
          <w:lang w:val="en-US"/>
        </w:rPr>
      </w:pPr>
      <w:r w:rsidRPr="00882C81">
        <w:rPr>
          <w:lang w:val="en-US"/>
        </w:rPr>
        <w:t xml:space="preserve">HUMAN RIGHTS WATCH. Israel: starvation used as a weapon of war in Gaza. </w:t>
      </w:r>
      <w:r w:rsidRPr="00882C81">
        <w:t>Nova York, 2023. Disponível em: </w:t>
      </w:r>
      <w:hyperlink w:tgtFrame="_blank" w:history="1" r:id="rId98">
        <w:r w:rsidRPr="00882C81">
          <w:rPr>
            <w:rStyle w:val="Hyperlink"/>
          </w:rPr>
          <w:t>https://www.hrw.org/news/2023/12/18/israel-starvation-used-weapon-war-gaza</w:t>
        </w:r>
      </w:hyperlink>
      <w:r w:rsidRPr="00882C81">
        <w:t xml:space="preserve">. </w:t>
      </w:r>
      <w:r w:rsidRPr="00882C81">
        <w:rPr>
          <w:lang w:val="en-US"/>
        </w:rPr>
        <w:t>Acesso em: 16 mar. 2026.</w:t>
      </w:r>
    </w:p>
    <w:p w:rsidR="00C158F5" w:rsidP="008D25BE" w:rsidRDefault="00C158F5" w14:paraId="0642F754" w14:textId="77777777">
      <w:pPr>
        <w:rPr>
          <w:lang w:val="en-US"/>
        </w:rPr>
      </w:pPr>
    </w:p>
    <w:p w:rsidR="00C158F5" w:rsidP="008D25BE" w:rsidRDefault="00C158F5" w14:paraId="6A8A87A4" w14:textId="77777777">
      <w:pPr>
        <w:rPr>
          <w:lang w:val="en-US"/>
        </w:rPr>
      </w:pPr>
      <w:r w:rsidRPr="00882C81">
        <w:rPr>
          <w:lang w:val="en-US"/>
        </w:rPr>
        <w:t xml:space="preserve">HUMAN RIGHTS WATCH. Syria: give besieged areas urgent aid access. </w:t>
      </w:r>
      <w:r w:rsidRPr="00882C81">
        <w:t>Nova York, 2016. Disponível em: </w:t>
      </w:r>
      <w:hyperlink w:tgtFrame="_blank" w:history="1" r:id="rId99">
        <w:r w:rsidRPr="00882C81">
          <w:rPr>
            <w:rStyle w:val="Hyperlink"/>
          </w:rPr>
          <w:t>https://www.hrw.org/news/2016/01/07/syria-give-besieged-areas-urgent-aid-access</w:t>
        </w:r>
      </w:hyperlink>
      <w:r w:rsidRPr="00882C81">
        <w:t xml:space="preserve">. </w:t>
      </w:r>
      <w:r w:rsidRPr="00882C81">
        <w:rPr>
          <w:lang w:val="en-US"/>
        </w:rPr>
        <w:t>Acesso em: 16 mar. 2026.</w:t>
      </w:r>
    </w:p>
    <w:p w:rsidRPr="00882C81" w:rsidR="00882C81" w:rsidP="008D25BE" w:rsidRDefault="00882C81" w14:paraId="461B262E" w14:textId="77777777">
      <w:pPr>
        <w:rPr>
          <w:lang w:val="en-US"/>
        </w:rPr>
      </w:pPr>
    </w:p>
    <w:p w:rsidRPr="008D1020" w:rsidR="00882C81" w:rsidP="008D25BE" w:rsidRDefault="00882C81" w14:paraId="542AE69D" w14:textId="2EAC2F91">
      <w:r w:rsidRPr="00882C81">
        <w:rPr>
          <w:lang w:val="en-US"/>
        </w:rPr>
        <w:t xml:space="preserve">HEGOA – BIBLIOTECA. When hunger becomes a weapon of war. </w:t>
      </w:r>
      <w:r w:rsidRPr="00882C81">
        <w:t>Documento de estudos, Bilbao, 2021. Disponível em: </w:t>
      </w:r>
      <w:hyperlink w:history="1" r:id="rId100">
        <w:r w:rsidRPr="005076B2" w:rsidR="008D1020">
          <w:rPr>
            <w:rStyle w:val="Hyperlink"/>
          </w:rPr>
          <w:t>https://biblioteca.hegoa.ehu.eus/downloads/21518/%2Fsystem%2Fpdf%2F4680%2FD-2801.pdf</w:t>
        </w:r>
      </w:hyperlink>
      <w:r w:rsidR="008D1020">
        <w:t xml:space="preserve"> </w:t>
      </w:r>
      <w:r w:rsidRPr="008D1020">
        <w:t>Acesso em: 16 mar. 2026.</w:t>
      </w:r>
    </w:p>
    <w:p w:rsidRPr="008D1020" w:rsidR="00882C81" w:rsidP="008D25BE" w:rsidRDefault="00882C81" w14:paraId="4F6DD411" w14:textId="77777777"/>
    <w:p w:rsidRPr="00F36165" w:rsidR="006E1262" w:rsidP="008D25BE" w:rsidRDefault="006E1262" w14:paraId="2329F378" w14:textId="77777777">
      <w:pPr>
        <w:rPr>
          <w:color w:val="000000"/>
        </w:rPr>
      </w:pPr>
      <w:r w:rsidRPr="00F36165">
        <w:rPr>
          <w:color w:val="000000"/>
          <w:lang w:val="en-US"/>
        </w:rPr>
        <w:t xml:space="preserve">IHRC – ISLAMIC HUMAN RIGHTS COMMISSION. Economic sanctions as human rights violations: international law and the right to life. </w:t>
      </w:r>
      <w:r w:rsidRPr="00F36165">
        <w:rPr>
          <w:color w:val="000000"/>
        </w:rPr>
        <w:t>Londres, 2023. Disponível em: </w:t>
      </w:r>
      <w:hyperlink w:history="1" r:id="rId101">
        <w:r w:rsidRPr="00447C1B">
          <w:rPr>
            <w:rStyle w:val="Hyperlink"/>
          </w:rPr>
          <w:t>https://www.ihrc.org.uk/economic-sanctions-as-human-rights-violations-international-law-and-the-right-to-life/</w:t>
        </w:r>
      </w:hyperlink>
      <w:r w:rsidRPr="00F36165">
        <w:rPr>
          <w:color w:val="000000"/>
        </w:rPr>
        <w:t>. Acesso em: 08 mar. 2026.</w:t>
      </w:r>
    </w:p>
    <w:p w:rsidR="006E1262" w:rsidP="008D25BE" w:rsidRDefault="006E1262" w14:paraId="563DFD44" w14:textId="77777777"/>
    <w:p w:rsidRPr="00D91821" w:rsidR="00832C4E" w:rsidP="008D25BE" w:rsidRDefault="00832C4E" w14:paraId="08145E2A" w14:textId="611AA522">
      <w:r w:rsidRPr="00D91821">
        <w:t>IHU. Israel pratica genocídio, colonização e apartheid. São Leopoldo: Instituto Humanitas Unisinos, 2025. Disponível em: </w:t>
      </w:r>
      <w:hyperlink w:tgtFrame="_blank" w:history="1" r:id="rId102">
        <w:r w:rsidRPr="00D91821">
          <w:rPr>
            <w:rStyle w:val="Hyperlink"/>
          </w:rPr>
          <w:t>https://ihu.unisinos.br/</w:t>
        </w:r>
      </w:hyperlink>
      <w:r w:rsidRPr="00D91821">
        <w:t>. Acesso em: 17 mar. 2026.</w:t>
      </w:r>
    </w:p>
    <w:p w:rsidR="006E1262" w:rsidP="008D25BE" w:rsidRDefault="006E1262" w14:paraId="2EFB655C" w14:textId="77777777"/>
    <w:p w:rsidR="00832C4E" w:rsidP="008D25BE" w:rsidRDefault="00832C4E" w14:paraId="53B11A00" w14:textId="51D3CA39">
      <w:r w:rsidRPr="00D91821">
        <w:t>IHU. Memórias de 64: o capítulo do genocídio indígena. São Leopoldo: Instituto Humanitas Unisinos, 2024.</w:t>
      </w:r>
      <w:r w:rsidR="00F441B6">
        <w:t xml:space="preserve"> Disponivel em: </w:t>
      </w:r>
      <w:hyperlink w:history="1" r:id="rId103">
        <w:r w:rsidRPr="00582934" w:rsidR="00F441B6">
          <w:rPr>
            <w:rStyle w:val="Hyperlink"/>
          </w:rPr>
          <w:t>https://www.ihu.unisinos.br/categorias/637984-memorias-de-64-o-capitulo-do-genocidio-indigena</w:t>
        </w:r>
      </w:hyperlink>
      <w:r w:rsidR="00F441B6">
        <w:t xml:space="preserve"> Acesso em 10 de março de 2026</w:t>
      </w:r>
    </w:p>
    <w:p w:rsidR="006E1262" w:rsidP="008D25BE" w:rsidRDefault="006E1262" w14:paraId="0888451E" w14:textId="77777777"/>
    <w:p w:rsidRPr="003C56D5" w:rsidR="006E1262" w:rsidP="008D25BE" w:rsidRDefault="006E1262" w14:paraId="00EF00BF" w14:textId="77777777">
      <w:pPr>
        <w:rPr>
          <w:color w:val="000000"/>
          <w:lang w:val="en-US"/>
        </w:rPr>
      </w:pPr>
      <w:r w:rsidRPr="00F36165">
        <w:rPr>
          <w:color w:val="000000"/>
          <w:lang w:val="en-US"/>
        </w:rPr>
        <w:t xml:space="preserve">IJDJL – INTERNATIONAL JOURNAL OF DAMIETTA FOR LEGAL STUDIES. Legal dimensions of starvation as a weapon in Gaza. </w:t>
      </w:r>
      <w:r w:rsidRPr="00F36165">
        <w:rPr>
          <w:color w:val="000000"/>
        </w:rPr>
        <w:t>Damietta, v. x, n. x, 2024. Disponível em: </w:t>
      </w:r>
      <w:hyperlink w:tgtFrame="_blank" w:history="1" r:id="rId104">
        <w:r w:rsidRPr="00F36165">
          <w:rPr>
            <w:rStyle w:val="Hyperlink"/>
          </w:rPr>
          <w:t>https://ijdjl.journals.ekb.eg/article_452258_291c58b5b4294cb86159ead26a49e7ba.pdf</w:t>
        </w:r>
      </w:hyperlink>
      <w:r w:rsidRPr="00F36165">
        <w:rPr>
          <w:color w:val="000000"/>
        </w:rPr>
        <w:t xml:space="preserve">. </w:t>
      </w:r>
      <w:r w:rsidRPr="003C56D5">
        <w:rPr>
          <w:color w:val="000000"/>
          <w:lang w:val="en-US"/>
        </w:rPr>
        <w:t>Acesso em: 09 mar. 2026.</w:t>
      </w:r>
    </w:p>
    <w:p w:rsidRPr="003C56D5" w:rsidR="00832C4E" w:rsidP="008D25BE" w:rsidRDefault="00832C4E" w14:paraId="4F158822" w14:textId="77777777">
      <w:pPr>
        <w:rPr>
          <w:lang w:val="en-US"/>
        </w:rPr>
      </w:pPr>
    </w:p>
    <w:p w:rsidR="00882C81" w:rsidP="008D25BE" w:rsidRDefault="00882C81" w14:paraId="0CDDFE76" w14:textId="77777777">
      <w:r w:rsidRPr="00882C81">
        <w:rPr>
          <w:lang w:val="en-US"/>
        </w:rPr>
        <w:t xml:space="preserve">INTEGRATED FOOD SECURITY PHASE CLASSIFICATION (IPC). Acute food insecurity in Gaza – 2025. </w:t>
      </w:r>
      <w:r w:rsidRPr="00882C81">
        <w:t>Relatório, Roma, 2025. Disponível em: </w:t>
      </w:r>
      <w:hyperlink w:tgtFrame="_blank" w:history="1" r:id="rId105">
        <w:r w:rsidRPr="00882C81">
          <w:rPr>
            <w:rStyle w:val="Hyperlink"/>
          </w:rPr>
          <w:t>https://www.ipcglobalplatform.org</w:t>
        </w:r>
      </w:hyperlink>
      <w:r w:rsidRPr="00882C81">
        <w:t>. Acesso em: 16 mar. 2026.</w:t>
      </w:r>
    </w:p>
    <w:p w:rsidR="00C158F5" w:rsidP="008D25BE" w:rsidRDefault="00C158F5" w14:paraId="3C335235" w14:textId="77777777"/>
    <w:p w:rsidRPr="00120290" w:rsidR="00C158F5" w:rsidP="008D25BE" w:rsidRDefault="00C158F5" w14:paraId="5CC3B4D4" w14:textId="21985D5A">
      <w:r w:rsidRPr="00165106">
        <w:rPr>
          <w:lang w:val="en-US"/>
        </w:rPr>
        <w:t xml:space="preserve">INTERNATIONAL CRIMES DATABASE. Zadar County Court – Perišić et al. </w:t>
      </w:r>
      <w:r w:rsidRPr="00120290">
        <w:rPr>
          <w:lang w:val="en-US"/>
        </w:rPr>
        <w:t xml:space="preserve">Case (Croatia). </w:t>
      </w:r>
      <w:r w:rsidRPr="00E324DB">
        <w:t>The Hague, 2014</w:t>
      </w:r>
      <w:r w:rsidRPr="00E324DB" w:rsidR="00120290">
        <w:t xml:space="preserve">. Disponivel em: </w:t>
      </w:r>
      <w:hyperlink w:history="1" r:id="rId106">
        <w:r w:rsidRPr="00E324DB" w:rsidR="00120290">
          <w:rPr>
            <w:rStyle w:val="Hyperlink"/>
          </w:rPr>
          <w:t>https://ihl-databases.icrc.org/en/national-practice/judgment-against-19-soldiers-tried-absentia-war-crimes-zadar-district-court-24</w:t>
        </w:r>
      </w:hyperlink>
      <w:r w:rsidRPr="00E324DB" w:rsidR="00120290">
        <w:t xml:space="preserve">. </w:t>
      </w:r>
      <w:r w:rsidR="00120290">
        <w:t>Acesso em 10 de abril de 2026</w:t>
      </w:r>
    </w:p>
    <w:p w:rsidRPr="00120290" w:rsidR="00882C81" w:rsidP="008D25BE" w:rsidRDefault="00882C81" w14:paraId="592C9A3E" w14:textId="77777777"/>
    <w:p w:rsidR="00882C81" w:rsidP="008D25BE" w:rsidRDefault="00882C81" w14:paraId="3B77BE26" w14:textId="77777777">
      <w:pPr>
        <w:rPr>
          <w:lang w:val="en-US"/>
        </w:rPr>
      </w:pPr>
      <w:r w:rsidRPr="00461FF1">
        <w:t>INSTITUTO POLITICO SOCIAL E INVESTIGAÇÃO (IPIS). </w:t>
      </w:r>
      <w:r w:rsidRPr="00882C81">
        <w:rPr>
          <w:lang w:val="en-US"/>
        </w:rPr>
        <w:t>Famine as weapon of war – a timeline of the Tigray conflict. Bruxelas, 2021. Disponível em: </w:t>
      </w:r>
      <w:hyperlink w:tgtFrame="_blank" w:history="1" r:id="rId107">
        <w:r w:rsidRPr="00882C81">
          <w:rPr>
            <w:rStyle w:val="Hyperlink"/>
            <w:lang w:val="en-US"/>
          </w:rPr>
          <w:t>https://ipisresearch.be</w:t>
        </w:r>
      </w:hyperlink>
      <w:r w:rsidRPr="00882C81">
        <w:rPr>
          <w:lang w:val="en-US"/>
        </w:rPr>
        <w:t>. Acesso em: 16 mar. 2026.</w:t>
      </w:r>
    </w:p>
    <w:p w:rsidRPr="00882C81" w:rsidR="00882C81" w:rsidP="008D25BE" w:rsidRDefault="00882C81" w14:paraId="14F52B49" w14:textId="77777777">
      <w:pPr>
        <w:rPr>
          <w:lang w:val="en-US"/>
        </w:rPr>
      </w:pPr>
    </w:p>
    <w:p w:rsidRPr="00882C81" w:rsidR="00882C81" w:rsidP="008D25BE" w:rsidRDefault="00882C81" w14:paraId="008C330D" w14:textId="1D8F3930">
      <w:r w:rsidRPr="00882C81">
        <w:rPr>
          <w:lang w:val="en-US"/>
        </w:rPr>
        <w:t>INTERNATIONAL FOOD POLICY RESEARCH INSTITUTE (IFPRI). Global report on food crises – conflict</w:t>
      </w:r>
      <w:r w:rsidRPr="00882C81">
        <w:rPr>
          <w:lang w:val="en-US"/>
        </w:rPr>
        <w:noBreakHyphen/>
      </w:r>
      <w:r w:rsidRPr="00882C81">
        <w:rPr>
          <w:lang w:val="en-US"/>
        </w:rPr>
        <w:t xml:space="preserve">induced food insecurity. </w:t>
      </w:r>
      <w:r w:rsidRPr="00882C81">
        <w:t>Washington, 2019. Disponível em: </w:t>
      </w:r>
      <w:hyperlink w:tgtFrame="_blank" w:history="1" r:id="rId108">
        <w:r w:rsidRPr="00882C81">
          <w:rPr>
            <w:rStyle w:val="Hyperlink"/>
          </w:rPr>
          <w:t>https://www.ifpri.org</w:t>
        </w:r>
      </w:hyperlink>
      <w:r w:rsidRPr="00882C81">
        <w:t>. Acesso em: 16 mar. 2026.</w:t>
      </w:r>
    </w:p>
    <w:p w:rsidR="00882C81" w:rsidP="008D25BE" w:rsidRDefault="00882C81" w14:paraId="765DBB49" w14:textId="77777777"/>
    <w:p w:rsidR="008D7135" w:rsidP="008D25BE" w:rsidRDefault="008D7135" w14:paraId="4E544E3E" w14:textId="134A8275">
      <w:pPr>
        <w:rPr>
          <w:color w:val="000000"/>
        </w:rPr>
      </w:pPr>
      <w:r w:rsidRPr="00F36165">
        <w:rPr>
          <w:color w:val="000000"/>
          <w:lang w:val="en-US"/>
        </w:rPr>
        <w:t xml:space="preserve">IPC. Gaza Strip: Acute Food Insecurity and Acute Malnutrition, September 2024–April 2025. </w:t>
      </w:r>
      <w:r w:rsidRPr="00F36165">
        <w:rPr>
          <w:color w:val="000000"/>
        </w:rPr>
        <w:t>Rome: IPC, 2024a. Disponível em: </w:t>
      </w:r>
      <w:hyperlink w:tgtFrame="_blank" w:history="1" r:id="rId109">
        <w:r w:rsidRPr="00F36165">
          <w:rPr>
            <w:rStyle w:val="Hyperlink"/>
          </w:rPr>
          <w:t>https://www.un.org/unispal/document/gaza-strip-ipc-report-sep24-apr25/</w:t>
        </w:r>
      </w:hyperlink>
      <w:r w:rsidRPr="00F36165">
        <w:rPr>
          <w:color w:val="000000"/>
        </w:rPr>
        <w:t>.</w:t>
      </w:r>
    </w:p>
    <w:p w:rsidR="008D7135" w:rsidP="008D25BE" w:rsidRDefault="008D7135" w14:paraId="64FAB5C8" w14:textId="77777777"/>
    <w:p w:rsidR="00832C4E" w:rsidP="008D25BE" w:rsidRDefault="00832C4E" w14:paraId="63D9468B" w14:textId="7E9FAA46">
      <w:pPr>
        <w:rPr>
          <w:lang w:val="en-US"/>
        </w:rPr>
      </w:pPr>
      <w:r w:rsidRPr="00D91821">
        <w:t xml:space="preserve">IPC. Relatório sobre insegurança alimentar em Gaza. </w:t>
      </w:r>
      <w:r w:rsidRPr="00D91821">
        <w:rPr>
          <w:lang w:val="en-US"/>
        </w:rPr>
        <w:t>Genebra: Integrated Food Security Phase Classification (IPC), 2025.</w:t>
      </w:r>
    </w:p>
    <w:p w:rsidR="00AB12D7" w:rsidP="008D25BE" w:rsidRDefault="00AB12D7" w14:paraId="424BEF49" w14:textId="77777777">
      <w:pPr>
        <w:rPr>
          <w:lang w:val="en-US"/>
        </w:rPr>
      </w:pPr>
    </w:p>
    <w:p w:rsidRPr="00B6294E" w:rsidR="00AB12D7" w:rsidP="008D25BE" w:rsidRDefault="00AB12D7" w14:paraId="6A92CFA8" w14:textId="2AD3A1FA">
      <w:r w:rsidRPr="00AB12D7">
        <w:t xml:space="preserve">IWASAKI, Micheli Mayumi. Função social da propriedade rural e a proteção jurídica do meio ambiente. Revista Eletrônica do CEJUR, [s.l.], v. 1, n. 2, dez. 2007. Disponível em: </w:t>
      </w:r>
      <w:hyperlink w:history="1" r:id="rId110">
        <w:r w:rsidRPr="00525297" w:rsidR="00B22008">
          <w:rPr>
            <w:rStyle w:val="Hyperlink"/>
          </w:rPr>
          <w:t>https://revistas.ufpr.br/cejur/article/view/16750</w:t>
        </w:r>
      </w:hyperlink>
      <w:r w:rsidR="00B22008">
        <w:t xml:space="preserve"> </w:t>
      </w:r>
      <w:r w:rsidRPr="00AB12D7">
        <w:t xml:space="preserve">. Acesso em: </w:t>
      </w:r>
      <w:r>
        <w:t>20 de março de 2026</w:t>
      </w:r>
      <w:r w:rsidRPr="00AB12D7">
        <w:t> </w:t>
      </w:r>
    </w:p>
    <w:p w:rsidRPr="003C56D5" w:rsidR="008D7135" w:rsidP="008D25BE" w:rsidRDefault="008D7135" w14:paraId="75577F6B" w14:textId="77777777"/>
    <w:p w:rsidR="00DB48B8" w:rsidP="008D25BE" w:rsidRDefault="008D46EF" w14:paraId="708C53C8" w14:textId="77777777">
      <w:pPr>
        <w:rPr>
          <w:lang w:val="en-US"/>
        </w:rPr>
      </w:pPr>
      <w:r>
        <w:t xml:space="preserve">JOHNSTON, David. História da justiça: da Antiguidade ao século XXI. </w:t>
      </w:r>
      <w:r w:rsidRPr="003C56D5">
        <w:rPr>
          <w:lang w:val="en-US"/>
        </w:rPr>
        <w:t>São Paulo: Saraiva, 2018.</w:t>
      </w:r>
    </w:p>
    <w:p w:rsidR="00C43996" w:rsidP="008D25BE" w:rsidRDefault="00C43996" w14:paraId="03136F39" w14:textId="77777777">
      <w:pPr>
        <w:rPr>
          <w:lang w:val="en-US"/>
        </w:rPr>
      </w:pPr>
    </w:p>
    <w:p w:rsidRPr="00251127" w:rsidR="00C43996" w:rsidP="008D25BE" w:rsidRDefault="00C43996" w14:paraId="2A9F677F" w14:textId="36AE3A71">
      <w:pPr>
        <w:rPr>
          <w:lang w:val="en-US"/>
        </w:rPr>
      </w:pPr>
      <w:r w:rsidRPr="00C43996">
        <w:rPr>
          <w:lang w:val="en-US"/>
        </w:rPr>
        <w:t>KEEGAN, Desmond. Foundations of Distance Education. 3. ed. London; New York: Routledge, 1996.</w:t>
      </w:r>
      <w:r>
        <w:rPr>
          <w:lang w:val="en-US"/>
        </w:rPr>
        <w:t xml:space="preserve"> </w:t>
      </w:r>
      <w:r w:rsidRPr="002052A4">
        <w:t xml:space="preserve">Disponivel em: </w:t>
      </w:r>
      <w:hyperlink w:history="1" w:anchor="v=onepage&amp;q&amp;f=false" r:id="rId111">
        <w:r w:rsidRPr="005076B2" w:rsidR="002052A4">
          <w:rPr>
            <w:rStyle w:val="Hyperlink"/>
          </w:rPr>
          <w:t>https://books.google.com.br/books?id=nYkrTWDj5twC&amp;printsec=copyright#v=onepage&amp;q&amp;f=false</w:t>
        </w:r>
      </w:hyperlink>
      <w:r w:rsidR="002052A4">
        <w:t xml:space="preserve"> . </w:t>
      </w:r>
      <w:r w:rsidRPr="00251127" w:rsidR="002052A4">
        <w:rPr>
          <w:lang w:val="en-US"/>
        </w:rPr>
        <w:t>Acesso em 10 de março de 2026</w:t>
      </w:r>
    </w:p>
    <w:p w:rsidR="006E1262" w:rsidP="008D25BE" w:rsidRDefault="006E1262" w14:paraId="7A585F9E" w14:textId="77777777">
      <w:pPr>
        <w:rPr>
          <w:lang w:val="en-US"/>
        </w:rPr>
      </w:pPr>
    </w:p>
    <w:p w:rsidRPr="00F36165" w:rsidR="006E1262" w:rsidP="008D25BE" w:rsidRDefault="006E1262" w14:paraId="18BC1DD7" w14:textId="77777777">
      <w:pPr>
        <w:rPr>
          <w:color w:val="000000"/>
        </w:rPr>
      </w:pPr>
      <w:r w:rsidRPr="00F36165">
        <w:rPr>
          <w:color w:val="000000"/>
          <w:lang w:val="en-US"/>
        </w:rPr>
        <w:t xml:space="preserve">KARLSSON, Linn et al. Economic sanctions affecting household food and nutrition security and policies to cope with them. International Journal of Health Policy and Management, v. x, n. x, p. xx-xx, 2023. </w:t>
      </w:r>
      <w:r w:rsidRPr="00F36165">
        <w:rPr>
          <w:color w:val="000000"/>
        </w:rPr>
        <w:t>Disponível em: </w:t>
      </w:r>
      <w:hyperlink w:tgtFrame="_blank" w:history="1" r:id="rId112">
        <w:r w:rsidRPr="00F36165">
          <w:rPr>
            <w:rStyle w:val="Hyperlink"/>
          </w:rPr>
          <w:t>https://www.ijhpm.com/article_4477.html</w:t>
        </w:r>
      </w:hyperlink>
      <w:r w:rsidRPr="00F36165">
        <w:rPr>
          <w:color w:val="000000"/>
        </w:rPr>
        <w:t>. Acesso em: 09 mar. 2026.</w:t>
      </w:r>
    </w:p>
    <w:p w:rsidRPr="006E1262" w:rsidR="00832C4E" w:rsidP="008D25BE" w:rsidRDefault="00832C4E" w14:paraId="33A8A5A3" w14:textId="77777777"/>
    <w:p w:rsidRPr="009662DC" w:rsidR="009662DC" w:rsidP="009662DC" w:rsidRDefault="009662DC" w14:paraId="1876BADE" w14:textId="1A1FAE7F">
      <w:pPr>
        <w:pStyle w:val="Corpodetexto"/>
      </w:pPr>
      <w:r w:rsidRPr="009662DC">
        <w:rPr>
          <w:lang w:val="en-US"/>
        </w:rPr>
        <w:t xml:space="preserve">KIERNAN, Ben. Genocide and Resistance in Southeast Asia: Documentation, Denial, and Justice in Cambodia and East Timor. 1. ed. New York: Routledge, 2008. </w:t>
      </w:r>
      <w:r w:rsidRPr="00251127">
        <w:t xml:space="preserve">Disponível em: </w:t>
      </w:r>
      <w:hyperlink w:history="1" r:id="rId113">
        <w:r w:rsidRPr="00251127">
          <w:rPr>
            <w:rStyle w:val="Hyperlink"/>
          </w:rPr>
          <w:t>https://www.taylorfrancis.com/books/mono/10.4324/9780203790885/genocide-resistance-southeast-asia-ben-kiernan</w:t>
        </w:r>
      </w:hyperlink>
      <w:r w:rsidRPr="00251127">
        <w:t xml:space="preserve">. </w:t>
      </w:r>
      <w:r w:rsidRPr="009662DC">
        <w:t xml:space="preserve">Acesso em: </w:t>
      </w:r>
      <w:r>
        <w:t>10</w:t>
      </w:r>
      <w:r w:rsidRPr="009662DC">
        <w:t xml:space="preserve"> </w:t>
      </w:r>
      <w:r>
        <w:t>março</w:t>
      </w:r>
      <w:r w:rsidRPr="009662DC">
        <w:t xml:space="preserve"> 2026.</w:t>
      </w:r>
    </w:p>
    <w:p w:rsidR="00E73E5D" w:rsidP="009662DC" w:rsidRDefault="00E73E5D" w14:paraId="55A0D571" w14:textId="77777777">
      <w:pPr>
        <w:pStyle w:val="Corpodetexto"/>
        <w:spacing w:line="240" w:lineRule="auto"/>
      </w:pPr>
    </w:p>
    <w:p w:rsidRPr="00F36165" w:rsidR="008D7135" w:rsidP="008D25BE" w:rsidRDefault="008D7135" w14:paraId="09FAA25B" w14:textId="1BD31507">
      <w:pPr>
        <w:rPr>
          <w:color w:val="000000"/>
        </w:rPr>
      </w:pPr>
      <w:r w:rsidRPr="00F36165">
        <w:rPr>
          <w:color w:val="000000"/>
        </w:rPr>
        <w:t>KHALIDI, R. Palestina: um século de guerra e resistência (1917</w:t>
      </w:r>
      <w:r w:rsidRPr="00F36165">
        <w:rPr>
          <w:color w:val="000000"/>
        </w:rPr>
        <w:noBreakHyphen/>
      </w:r>
      <w:r w:rsidRPr="00F36165">
        <w:rPr>
          <w:color w:val="000000"/>
        </w:rPr>
        <w:t>2017). Rio de Janeiro: Zahar, 2017</w:t>
      </w:r>
      <w:r w:rsidR="00363ADB">
        <w:rPr>
          <w:color w:val="000000"/>
        </w:rPr>
        <w:t xml:space="preserve">. Disponivel em: </w:t>
      </w:r>
      <w:hyperlink w:history="1" r:id="rId114">
        <w:r w:rsidRPr="003D67C0" w:rsidR="00363ADB">
          <w:rPr>
            <w:rStyle w:val="Hyperlink"/>
          </w:rPr>
          <w:t>https://palestinalivre.com.br/download/palestina-uma-biografia/</w:t>
        </w:r>
      </w:hyperlink>
      <w:r w:rsidR="00363ADB">
        <w:rPr>
          <w:color w:val="000000"/>
        </w:rPr>
        <w:t>. Acesso em: 14 de abril de 2026.</w:t>
      </w:r>
    </w:p>
    <w:p w:rsidR="00E73E5D" w:rsidP="008D25BE" w:rsidRDefault="00E73E5D" w14:paraId="59E5809A" w14:textId="77777777"/>
    <w:p w:rsidRPr="00E06003" w:rsidR="00E73E5D" w:rsidP="008D25BE" w:rsidRDefault="00E73E5D" w14:paraId="05643CD7" w14:textId="06307C36">
      <w:r w:rsidRPr="00E06003">
        <w:t>LARAIA, Roque de Barros. Cultura: um conceito antropológico. 16. ed. Rio de Janeiro: Jorge Zahar, 2001.</w:t>
      </w:r>
      <w:r w:rsidR="00E06003">
        <w:t xml:space="preserve"> Disponivel em: </w:t>
      </w:r>
      <w:hyperlink w:history="1" r:id="rId115">
        <w:r w:rsidRPr="005076B2" w:rsidR="00E06003">
          <w:rPr>
            <w:rStyle w:val="Hyperlink"/>
          </w:rPr>
          <w:t>https://petarquiteturaufmg.wordpress.com/wp-content/uploads/2013/04/laraia-cultura-um-conceito-antropolc3b3gico.pdf</w:t>
        </w:r>
      </w:hyperlink>
      <w:r w:rsidR="00E06003">
        <w:t>. Acesso em 20 de janeiro de 2026</w:t>
      </w:r>
    </w:p>
    <w:p w:rsidR="00DB48B8" w:rsidP="008D25BE" w:rsidRDefault="00DB48B8" w14:paraId="708C53CD" w14:textId="77777777"/>
    <w:p w:rsidRPr="0096705A" w:rsidR="00DB48B8" w:rsidP="008D25BE" w:rsidRDefault="008D46EF" w14:paraId="708C53CE" w14:textId="77777777">
      <w:r>
        <w:t xml:space="preserve">LARANJEIRA, Raymundo. Propedêutica do direito agrário. </w:t>
      </w:r>
      <w:r w:rsidRPr="0096705A">
        <w:t>São Paulo: LTr, 1975.</w:t>
      </w:r>
    </w:p>
    <w:p w:rsidRPr="001E5CC2" w:rsidR="00BE37D7" w:rsidP="008D25BE" w:rsidRDefault="00BE37D7" w14:paraId="55B23AA1" w14:textId="77777777"/>
    <w:p w:rsidRPr="00E06003" w:rsidR="00AD54D5" w:rsidP="008D25BE" w:rsidRDefault="002052A4" w14:paraId="113CD2CF" w14:textId="0FDFDECE">
      <w:r w:rsidRPr="001E5CC2">
        <w:t>LEMKIN</w:t>
      </w:r>
      <w:r w:rsidRPr="001E5CC2" w:rsidR="00AD54D5">
        <w:t>, Raphael. </w:t>
      </w:r>
      <w:r w:rsidRPr="00AD54D5" w:rsidR="00AD54D5">
        <w:rPr>
          <w:lang w:val="en-US"/>
        </w:rPr>
        <w:t>Axis Rule in Occupied Europe: Laws of Occupation, Analysis of Government, Proposals for Redress. Washington, D.C.: Carnegie Endowment for International Peace, 1944.</w:t>
      </w:r>
      <w:r w:rsidR="00AD54D5">
        <w:rPr>
          <w:lang w:val="en-US"/>
        </w:rPr>
        <w:t xml:space="preserve"> </w:t>
      </w:r>
      <w:r w:rsidRPr="00251127" w:rsidR="00AD54D5">
        <w:rPr>
          <w:lang w:val="en-US"/>
        </w:rPr>
        <w:t xml:space="preserve">Disponivel em: </w:t>
      </w:r>
      <w:hyperlink w:history="1" r:id="rId116">
        <w:r w:rsidRPr="00251127" w:rsidR="00E06003">
          <w:rPr>
            <w:rStyle w:val="Hyperlink"/>
            <w:lang w:val="en-US"/>
          </w:rPr>
          <w:t>https://www.lawandisrael.org/wp-content/uploads/Topics/Holocaust/Genocide/Lemkin-Axis-Rule-Genocide.pdf</w:t>
        </w:r>
      </w:hyperlink>
      <w:r w:rsidRPr="00251127" w:rsidR="00E06003">
        <w:rPr>
          <w:lang w:val="en-US"/>
        </w:rPr>
        <w:t xml:space="preserve"> . </w:t>
      </w:r>
      <w:r w:rsidR="00E06003">
        <w:t>Acesso em 20 de fevereiro de 2026</w:t>
      </w:r>
    </w:p>
    <w:p w:rsidRPr="00E06003" w:rsidR="00AD54D5" w:rsidP="008D25BE" w:rsidRDefault="00AD54D5" w14:paraId="74E91646" w14:textId="77777777"/>
    <w:p w:rsidRPr="003C56D5" w:rsidR="00BE37D7" w:rsidP="008D25BE" w:rsidRDefault="00BE37D7" w14:paraId="1765EFB3" w14:textId="50DED7A9">
      <w:r w:rsidRPr="001E5CC2">
        <w:t>LIMA, Thiago. </w:t>
      </w:r>
      <w:r w:rsidRPr="00D91821">
        <w:t>Fome coletiva, pandemia e genocídio.</w:t>
      </w:r>
      <w:r>
        <w:t xml:space="preserve"> </w:t>
      </w:r>
      <w:r w:rsidRPr="00D91821">
        <w:t>ADUFPB, 2021.</w:t>
      </w:r>
      <w:r>
        <w:t xml:space="preserve">Disponível em: </w:t>
      </w:r>
      <w:hyperlink w:history="1" r:id="rId117">
        <w:r w:rsidRPr="005076B2" w:rsidR="00E06003">
          <w:rPr>
            <w:rStyle w:val="Hyperlink"/>
          </w:rPr>
          <w:t>https://www.adufpb.org.br/site/artigo-fome-coletiva-pandemia-e-genocidio/</w:t>
        </w:r>
      </w:hyperlink>
      <w:r w:rsidR="00E06003">
        <w:t xml:space="preserve"> Acesso em 13 de março de 2026</w:t>
      </w:r>
    </w:p>
    <w:p w:rsidRPr="003C56D5" w:rsidR="00882C81" w:rsidP="008D25BE" w:rsidRDefault="00882C81" w14:paraId="053D662C" w14:textId="77777777"/>
    <w:p w:rsidRPr="00F36165" w:rsidR="00E73E5D" w:rsidP="008D25BE" w:rsidRDefault="00E73E5D" w14:paraId="08A7CA4B" w14:textId="77777777">
      <w:r w:rsidRPr="00F36165">
        <w:t>LINASSI, Rosana. “Antropoentomofagia: alimentação exótica ou alternativa?”. [S.l.], 2011. Disponível em: </w:t>
      </w:r>
      <w:hyperlink w:tgtFrame="_blank" w:history="1" r:id="rId118">
        <w:r w:rsidRPr="00F36165">
          <w:rPr>
            <w:rStyle w:val="Hyperlink"/>
          </w:rPr>
          <w:t>http://www.waldemarguimaraes.com.br/2011/06/12/</w:t>
        </w:r>
      </w:hyperlink>
      <w:r w:rsidRPr="00F36165">
        <w:t>.</w:t>
      </w:r>
    </w:p>
    <w:p w:rsidRPr="003C56D5" w:rsidR="00E73E5D" w:rsidP="008D25BE" w:rsidRDefault="00E73E5D" w14:paraId="6C40AFDE" w14:textId="77777777"/>
    <w:p w:rsidRPr="003C56D5" w:rsidR="008D7135" w:rsidP="008D25BE" w:rsidRDefault="008D7135" w14:paraId="36E167BA" w14:textId="77777777">
      <w:pPr>
        <w:rPr>
          <w:color w:val="000000"/>
        </w:rPr>
      </w:pPr>
      <w:r w:rsidRPr="00F36165">
        <w:rPr>
          <w:color w:val="000000"/>
        </w:rPr>
        <w:t>LITCI. História: os partidos políticos na luta palestina. Liga Internacional dos Trabalhadores, 2023. Disponível em: </w:t>
      </w:r>
      <w:hyperlink w:tgtFrame="_blank" w:history="1" r:id="rId119">
        <w:r w:rsidRPr="00F36165">
          <w:rPr>
            <w:rStyle w:val="Hyperlink"/>
          </w:rPr>
          <w:t>https://litci.org/pt/2023/11/21/historia-os-partidos-politicos-na-luta-palestina/</w:t>
        </w:r>
      </w:hyperlink>
      <w:r w:rsidRPr="00F36165">
        <w:rPr>
          <w:color w:val="000000"/>
        </w:rPr>
        <w:t xml:space="preserve">. </w:t>
      </w:r>
      <w:r w:rsidRPr="003C56D5">
        <w:rPr>
          <w:color w:val="000000"/>
        </w:rPr>
        <w:t>Acesso em: [data].[</w:t>
      </w:r>
      <w:hyperlink w:history="1" r:id="rId120">
        <w:r w:rsidRPr="003C56D5">
          <w:rPr>
            <w:rStyle w:val="Hyperlink"/>
          </w:rPr>
          <w:t>litci</w:t>
        </w:r>
      </w:hyperlink>
      <w:r w:rsidRPr="003C56D5">
        <w:rPr>
          <w:color w:val="000000"/>
        </w:rPr>
        <w:t>]​</w:t>
      </w:r>
    </w:p>
    <w:p w:rsidRPr="00461FF1" w:rsidR="00262634" w:rsidP="008D25BE" w:rsidRDefault="00262634" w14:paraId="0E5928FE" w14:textId="77777777"/>
    <w:p w:rsidRPr="001B2A83" w:rsidR="001B2A83" w:rsidP="001B2A83" w:rsidRDefault="001B2A83" w14:paraId="06B1A09E" w14:textId="77777777">
      <w:r w:rsidRPr="001B2A83">
        <w:t xml:space="preserve">LUSA. </w:t>
      </w:r>
      <w:r w:rsidRPr="001B2A83">
        <w:rPr>
          <w:b/>
          <w:bCs/>
        </w:rPr>
        <w:t>Em Mariupol morre-se de fome, alerta o director do Programa Alimentar Mundial.</w:t>
      </w:r>
      <w:r w:rsidRPr="001B2A83">
        <w:t xml:space="preserve"> </w:t>
      </w:r>
      <w:r w:rsidRPr="001B2A83">
        <w:rPr>
          <w:i/>
          <w:iCs/>
        </w:rPr>
        <w:t>Público</w:t>
      </w:r>
      <w:r w:rsidRPr="001B2A83">
        <w:t xml:space="preserve">, Lisboa, 15 abr. 2022. Disponível em: </w:t>
      </w:r>
      <w:hyperlink w:history="1" r:id="rId121">
        <w:r w:rsidRPr="001B2A83">
          <w:rPr>
            <w:rStyle w:val="Hyperlink"/>
          </w:rPr>
          <w:t>https://www.publico.pt/2022/04/15/mundo/noticia/mariupol-morrese-fome-alerta-director-programa-alimentar-mundial-2002673</w:t>
        </w:r>
      </w:hyperlink>
      <w:r w:rsidRPr="001B2A83">
        <w:t>. Acesso em: 20 mar. 2026.</w:t>
      </w:r>
    </w:p>
    <w:p w:rsidR="001B2A83" w:rsidP="008D25BE" w:rsidRDefault="001B2A83" w14:paraId="2705F78D" w14:textId="77777777"/>
    <w:p w:rsidRPr="00C31314" w:rsidR="00C31314" w:rsidP="008D25BE" w:rsidRDefault="00C31314" w14:paraId="613399E1" w14:textId="384415D2">
      <w:r w:rsidRPr="00C31314">
        <w:t xml:space="preserve">LOSAN, Brasil. Lei nº 11.346, de 15 de setembro de 2006. Diário Oficial da União, Brasília, DF, 16 set. 2006. Disponivel em: </w:t>
      </w:r>
      <w:hyperlink w:history="1" r:id="rId122">
        <w:r w:rsidRPr="00C31314">
          <w:rPr>
            <w:rStyle w:val="Hyperlink"/>
          </w:rPr>
          <w:t>https://www.planalto.gov.br/ccivil_03/_ato2004-2006/2006/lei/l11346.htm</w:t>
        </w:r>
      </w:hyperlink>
      <w:r w:rsidRPr="00C31314">
        <w:t>. Acesso em 20 de abril de 2026.</w:t>
      </w:r>
    </w:p>
    <w:p w:rsidRPr="00461FF1" w:rsidR="00C31314" w:rsidP="008D25BE" w:rsidRDefault="00C31314" w14:paraId="63E4F263" w14:textId="77777777"/>
    <w:p w:rsidRPr="0007759B" w:rsidR="00882C81" w:rsidP="008D25BE" w:rsidRDefault="00882C81" w14:paraId="57A68DFB" w14:textId="3F67BEA1">
      <w:r w:rsidRPr="00461FF1">
        <w:t>NATIONAL MUSEUM OF THE HOLODOMOR</w:t>
      </w:r>
      <w:r w:rsidRPr="00461FF1">
        <w:noBreakHyphen/>
      </w:r>
      <w:r w:rsidRPr="00461FF1">
        <w:t>GENOCIDE. </w:t>
      </w:r>
      <w:r w:rsidRPr="00882C81">
        <w:rPr>
          <w:lang w:val="en-US"/>
        </w:rPr>
        <w:t>Holodomor history. Kyiv: National Museum of the Holodomor</w:t>
      </w:r>
      <w:r w:rsidRPr="00882C81">
        <w:rPr>
          <w:lang w:val="en-US"/>
        </w:rPr>
        <w:noBreakHyphen/>
      </w:r>
      <w:r w:rsidRPr="00882C81">
        <w:rPr>
          <w:lang w:val="en-US"/>
        </w:rPr>
        <w:t xml:space="preserve">Genocide, 2025. </w:t>
      </w:r>
      <w:r w:rsidRPr="00882C81">
        <w:t>Disponível em: </w:t>
      </w:r>
      <w:hyperlink w:tgtFrame="_blank" w:history="1" r:id="rId123">
        <w:r w:rsidRPr="00882C81">
          <w:rPr>
            <w:rStyle w:val="Hyperlink"/>
          </w:rPr>
          <w:t>https://holodomormuseum.org.ua/en/the-history-of-the-holodomor/</w:t>
        </w:r>
      </w:hyperlink>
      <w:r w:rsidRPr="00882C81">
        <w:t xml:space="preserve">. </w:t>
      </w:r>
      <w:r w:rsidRPr="0007759B">
        <w:t>Acesso em: 16 mar. 2026.</w:t>
      </w:r>
    </w:p>
    <w:p w:rsidR="006E1262" w:rsidP="008D25BE" w:rsidRDefault="006E1262" w14:paraId="25AD823F" w14:textId="77777777"/>
    <w:p w:rsidR="00832C4E" w:rsidP="008D25BE" w:rsidRDefault="008D46EF" w14:paraId="389A4D98" w14:textId="77777777">
      <w:r>
        <w:t xml:space="preserve">MACHADO, Jovino. A cidadania e o desenvolvimento rural no contexto do direito </w:t>
      </w:r>
    </w:p>
    <w:p w:rsidR="00DB48B8" w:rsidP="008D25BE" w:rsidRDefault="008D46EF" w14:paraId="708C53D0" w14:textId="0BFB0923">
      <w:r>
        <w:t>agrário. Porto Alegre: Sergio Antonio Fabris, 2003.</w:t>
      </w:r>
    </w:p>
    <w:p w:rsidR="00B26AA1" w:rsidP="008D25BE" w:rsidRDefault="00B26AA1" w14:paraId="0417F6B3" w14:textId="77777777"/>
    <w:p w:rsidR="00E73E5D" w:rsidP="008D25BE" w:rsidRDefault="00E17293" w14:paraId="635BD03D" w14:textId="13CFFD8E">
      <w:r w:rsidRPr="00E73E5D">
        <w:t>MACIEL</w:t>
      </w:r>
      <w:r w:rsidRPr="00E73E5D" w:rsidR="00E73E5D">
        <w:t>, Maria Eunice. “Identidade Cultural e Alimentação.” Antropologia e Nutrição: Um Diálogo Possível, Editora FIOCRUZ</w:t>
      </w:r>
      <w:r w:rsidR="00371776">
        <w:t>, 2005.</w:t>
      </w:r>
      <w:r w:rsidR="00E06003">
        <w:t xml:space="preserve"> Disponivel em: </w:t>
      </w:r>
      <w:hyperlink w:history="1" r:id="rId124">
        <w:r w:rsidRPr="005076B2" w:rsidR="00E06003">
          <w:rPr>
            <w:rStyle w:val="Hyperlink"/>
          </w:rPr>
          <w:t>file:///C:/Users/lucas/Desktop/TCC%20mo/referencias%20mo/Identidade_cultural_e_alimentacao.pdf</w:t>
        </w:r>
      </w:hyperlink>
      <w:r w:rsidR="00E06003">
        <w:t xml:space="preserve"> . Acesso em: 30 de janeiro de 2026</w:t>
      </w:r>
    </w:p>
    <w:p w:rsidR="00E73E5D" w:rsidP="008D25BE" w:rsidRDefault="00E73E5D" w14:paraId="77D6ECA5" w14:textId="77777777"/>
    <w:p w:rsidRPr="00F36165" w:rsidR="006E1262" w:rsidP="008D25BE" w:rsidRDefault="006E1262" w14:paraId="0629B590" w14:textId="77777777">
      <w:pPr>
        <w:rPr>
          <w:color w:val="000000"/>
        </w:rPr>
      </w:pPr>
      <w:r w:rsidRPr="00F36165">
        <w:rPr>
          <w:color w:val="000000"/>
        </w:rPr>
        <w:t>MAGALHÃES, Rosana. Um tema delicado e perigoso: fome e interpretação do Brasil. Cadernos de Saúde Pública, Rio de Janeiro, v. 35, n. x, p. xx-xx, 2019. Disponível em: </w:t>
      </w:r>
      <w:hyperlink w:tgtFrame="_blank" w:history="1" r:id="rId125">
        <w:r w:rsidRPr="00F36165">
          <w:rPr>
            <w:rStyle w:val="Hyperlink"/>
          </w:rPr>
          <w:t>https://www.scielo.br/j/csp/</w:t>
        </w:r>
      </w:hyperlink>
      <w:r w:rsidRPr="00F36165">
        <w:rPr>
          <w:color w:val="000000"/>
        </w:rPr>
        <w:t>. Acesso em: 10 mar. 2026.</w:t>
      </w:r>
    </w:p>
    <w:p w:rsidR="00C158F5" w:rsidP="008D25BE" w:rsidRDefault="00C158F5" w14:paraId="086C14F0" w14:textId="77777777"/>
    <w:p w:rsidR="00C158F5" w:rsidP="008D25BE" w:rsidRDefault="00C158F5" w14:paraId="08AFC16F" w14:textId="7F3FA7D4">
      <w:r w:rsidRPr="00165106">
        <w:t>MALUF, Renato S.; REINIG, Leonardo; RIZZOTTO, Maria Lúcia (org.). Segurança alimentar e nutricional. São Paulo: Cortez, 2015.</w:t>
      </w:r>
    </w:p>
    <w:p w:rsidR="00832C4E" w:rsidP="008D25BE" w:rsidRDefault="00832C4E" w14:paraId="1075BCA8" w14:textId="77777777"/>
    <w:p w:rsidR="00DB48B8" w:rsidP="008D25BE" w:rsidRDefault="008D46EF" w14:paraId="708C53D2" w14:textId="24D85D24">
      <w:r>
        <w:t xml:space="preserve">MANIGLIA, </w:t>
      </w:r>
      <w:r w:rsidR="00E17293">
        <w:t>Elizabete</w:t>
      </w:r>
      <w:r>
        <w:t xml:space="preserve">. </w:t>
      </w:r>
      <w:r w:rsidRPr="00E17293" w:rsidR="00E17293">
        <w:t>As interfaces do direito agrário e dos direitos humanos e a segurança alimentar</w:t>
      </w:r>
      <w:r>
        <w:t xml:space="preserve">. São Paulo: </w:t>
      </w:r>
      <w:r w:rsidR="00E17293">
        <w:t>UNESP</w:t>
      </w:r>
      <w:r>
        <w:t>, 2009.</w:t>
      </w:r>
      <w:r w:rsidR="00E17293">
        <w:t xml:space="preserve"> Disponivel em: </w:t>
      </w:r>
      <w:hyperlink w:history="1" r:id="rId126">
        <w:r w:rsidRPr="005076B2" w:rsidR="00E06003">
          <w:rPr>
            <w:rStyle w:val="Hyperlink"/>
          </w:rPr>
          <w:t>https://static.scielo.org/scielobooks/s3vn9/pdf/maniglia-9788579830143.pdf</w:t>
        </w:r>
      </w:hyperlink>
      <w:r w:rsidR="00E06003">
        <w:t xml:space="preserve"> . Acesso em 20 de novembro de 2025;</w:t>
      </w:r>
    </w:p>
    <w:p w:rsidR="00DB48B8" w:rsidP="008D25BE" w:rsidRDefault="00DB48B8" w14:paraId="708C53D5" w14:textId="77777777"/>
    <w:p w:rsidR="00DB48B8" w:rsidP="008D25BE" w:rsidRDefault="008D46EF" w14:paraId="708C53D6" w14:textId="2E1D3E26">
      <w:r>
        <w:t>MARQUES, Benedito Ferreira. Direito agrário: histórico e atualidade. 11 ed. Atlas s.a. São Paulo: Atlas, 2015.</w:t>
      </w:r>
      <w:r w:rsidR="00863219">
        <w:t xml:space="preserve"> Disponivel em: </w:t>
      </w:r>
      <w:hyperlink w:history="1" r:id="rId127">
        <w:r w:rsidRPr="00CD4EFE" w:rsidR="00863219">
          <w:rPr>
            <w:rStyle w:val="Hyperlink"/>
          </w:rPr>
          <w:t>https://www.kufunda.net/publicdocs/Direito_Agrario_Brasileiro_-_Benedito_Ferreira_Marques.pdf</w:t>
        </w:r>
      </w:hyperlink>
      <w:r w:rsidR="00863219">
        <w:t>. Acesso em 12 de novembro de 2026.</w:t>
      </w:r>
    </w:p>
    <w:p w:rsidR="006E1262" w:rsidP="008D25BE" w:rsidRDefault="006E1262" w14:paraId="26D7854A" w14:textId="77777777">
      <w:pPr>
        <w:rPr>
          <w:color w:val="000000"/>
        </w:rPr>
      </w:pPr>
    </w:p>
    <w:p w:rsidR="00F050E8" w:rsidP="008D25BE" w:rsidRDefault="00F050E8" w14:paraId="02D418BA" w14:textId="3A76F4AC">
      <w:pPr>
        <w:rPr>
          <w:color w:val="000000"/>
        </w:rPr>
      </w:pPr>
      <w:r w:rsidRPr="00F050E8">
        <w:rPr>
          <w:color w:val="000000"/>
        </w:rPr>
        <w:t xml:space="preserve">MARTINS, Denis. Produção do mundo colonial: homo sacer, a produção da vida nua e necropolítica. Extraprensa, São Paulo, v. 16, n. esp., p. 87-103, jul./dez. 2023. Disponível em: </w:t>
      </w:r>
      <w:hyperlink w:history="1" r:id="rId128">
        <w:r w:rsidRPr="005076B2" w:rsidR="00E06003">
          <w:rPr>
            <w:rStyle w:val="Hyperlink"/>
          </w:rPr>
          <w:t>https://revistas.usp.br/extraprensa/article/view/220408</w:t>
        </w:r>
      </w:hyperlink>
      <w:r w:rsidR="00E06003">
        <w:rPr>
          <w:color w:val="000000"/>
        </w:rPr>
        <w:t xml:space="preserve"> </w:t>
      </w:r>
      <w:r w:rsidRPr="00F050E8">
        <w:rPr>
          <w:color w:val="000000"/>
        </w:rPr>
        <w:t>. Acesso em: 15 mai. 2026.</w:t>
      </w:r>
    </w:p>
    <w:p w:rsidR="00F050E8" w:rsidP="008D25BE" w:rsidRDefault="00F050E8" w14:paraId="0ABAF7EA" w14:textId="77777777">
      <w:pPr>
        <w:rPr>
          <w:color w:val="000000"/>
        </w:rPr>
      </w:pPr>
    </w:p>
    <w:p w:rsidRPr="00061F23" w:rsidR="00061F23" w:rsidP="00061F23" w:rsidRDefault="00061F23" w14:paraId="49B8E43B" w14:textId="2DD79C14">
      <w:pPr>
        <w:rPr>
          <w:color w:val="000000"/>
        </w:rPr>
      </w:pPr>
      <w:r w:rsidRPr="00061F23">
        <w:rPr>
          <w:color w:val="000000"/>
        </w:rPr>
        <w:t xml:space="preserve">MARX, Karl. O capital: crítica da economia política. Livro I: o processo de produção do capital. Tradução de Rubens Enderle. São Paulo: Boitempo, 2013. Disponível em: </w:t>
      </w:r>
      <w:hyperlink w:history="1" r:id="rId129">
        <w:r w:rsidRPr="00061F23">
          <w:rPr>
            <w:rStyle w:val="Hyperlink"/>
          </w:rPr>
          <w:t>https://www.gepec.ufscar.br/publicacoes/livros-e-colecoes/marx-e-engels/o-capital-livro-1.pdf</w:t>
        </w:r>
      </w:hyperlink>
      <w:r w:rsidRPr="00061F23">
        <w:rPr>
          <w:color w:val="000000"/>
        </w:rPr>
        <w:t xml:space="preserve">. Acesso em: </w:t>
      </w:r>
      <w:r>
        <w:rPr>
          <w:color w:val="000000"/>
        </w:rPr>
        <w:t>4</w:t>
      </w:r>
      <w:r w:rsidRPr="00061F23">
        <w:rPr>
          <w:color w:val="000000"/>
        </w:rPr>
        <w:t xml:space="preserve"> </w:t>
      </w:r>
      <w:r>
        <w:rPr>
          <w:color w:val="000000"/>
        </w:rPr>
        <w:t>março</w:t>
      </w:r>
      <w:r w:rsidRPr="00061F23">
        <w:rPr>
          <w:color w:val="000000"/>
        </w:rPr>
        <w:t xml:space="preserve"> 2026.</w:t>
      </w:r>
    </w:p>
    <w:p w:rsidRPr="00061F23" w:rsidR="00061F23" w:rsidP="00061F23" w:rsidRDefault="00061F23" w14:paraId="551874DD" w14:textId="77777777">
      <w:pPr>
        <w:numPr>
          <w:ilvl w:val="0"/>
          <w:numId w:val="11"/>
        </w:numPr>
        <w:rPr>
          <w:color w:val="000000"/>
        </w:rPr>
      </w:pPr>
    </w:p>
    <w:p w:rsidR="00441218" w:rsidP="008D25BE" w:rsidRDefault="00441218" w14:paraId="30B5741D" w14:textId="77777777"/>
    <w:p w:rsidRPr="00441218" w:rsidR="00441218" w:rsidP="008D25BE" w:rsidRDefault="00441218" w14:paraId="3A8724BA" w14:textId="14DA6E36">
      <w:r w:rsidRPr="00441218">
        <w:t>MATEUS, Lorena Maria da Costa. Fome no Brasil, através do controle social punitivo pela alimentação. 2024. 68 f. Monografia (Graduação em Serviço Social) - Instituto de Ciências Sociais Aplicadas, Universidade Federal de Ouro Preto, Mariana, 2024.</w:t>
      </w:r>
    </w:p>
    <w:p w:rsidR="00C158F5" w:rsidP="008D25BE" w:rsidRDefault="00C158F5" w14:paraId="013A581D" w14:textId="77777777"/>
    <w:p w:rsidRPr="00D91821" w:rsidR="00832C4E" w:rsidP="008D25BE" w:rsidRDefault="00832C4E" w14:paraId="07E19350" w14:textId="7EB73349">
      <w:r w:rsidRPr="00D91821">
        <w:t xml:space="preserve">MBEMBE, Achille. Necropolítica: biopoder, soberania, política e morte. São Paulo: n-1 Edições, </w:t>
      </w:r>
      <w:r w:rsidR="006A2E96">
        <w:t>2018</w:t>
      </w:r>
      <w:r w:rsidRPr="00D91821">
        <w:t>.</w:t>
      </w:r>
      <w:r w:rsidR="00DA6016">
        <w:t xml:space="preserve"> Disponivel em: </w:t>
      </w:r>
      <w:hyperlink w:history="1" r:id="rId130">
        <w:r w:rsidRPr="00CD4EFE" w:rsidR="00DA6016">
          <w:rPr>
            <w:rStyle w:val="Hyperlink"/>
          </w:rPr>
          <w:t>https://www.scielo.br/j/ha/a/CkxcntW87JwfkN8PbMJMNcH/?format=pdf&amp;lang=pt</w:t>
        </w:r>
      </w:hyperlink>
      <w:r w:rsidR="00DA6016">
        <w:t>. Acesso em: 10 de janeiro de 2026</w:t>
      </w:r>
    </w:p>
    <w:p w:rsidR="00832C4E" w:rsidP="008D25BE" w:rsidRDefault="00832C4E" w14:paraId="49F1AA98" w14:textId="77777777"/>
    <w:p w:rsidRPr="003C56D5" w:rsidR="00DB48B8" w:rsidP="008D25BE" w:rsidRDefault="008D46EF" w14:paraId="708C53D8" w14:textId="1D0E5578">
      <w:pPr>
        <w:rPr>
          <w:lang w:val="en-US"/>
        </w:rPr>
      </w:pPr>
      <w:r>
        <w:t xml:space="preserve">MESZÁROS, István. Para além do capital: rumo a uma teoria da transição. </w:t>
      </w:r>
      <w:r w:rsidRPr="003C56D5">
        <w:rPr>
          <w:lang w:val="en-US"/>
        </w:rPr>
        <w:t>São Paulo: Boitempo, 2002.</w:t>
      </w:r>
    </w:p>
    <w:p w:rsidRPr="003C56D5" w:rsidR="00DB48B8" w:rsidP="008D25BE" w:rsidRDefault="00DB48B8" w14:paraId="708C53D9" w14:textId="77777777">
      <w:pPr>
        <w:rPr>
          <w:lang w:val="en-US"/>
        </w:rPr>
      </w:pPr>
    </w:p>
    <w:p w:rsidRPr="00D36535" w:rsidR="00371776" w:rsidP="008D25BE" w:rsidRDefault="00371776" w14:paraId="1411D8F7" w14:textId="5ECC6E5A">
      <w:r w:rsidRPr="00D36535">
        <w:rPr>
          <w:lang w:val="en-US"/>
        </w:rPr>
        <w:t xml:space="preserve">MINTZ, Sidney W. Sweetness and power: the place of sugar in modern history. </w:t>
      </w:r>
      <w:r w:rsidRPr="00251127">
        <w:t>New York: Viking, 1985.</w:t>
      </w:r>
      <w:r w:rsidRPr="00251127" w:rsidR="00D36535">
        <w:t xml:space="preserve"> </w:t>
      </w:r>
      <w:r w:rsidRPr="00D36535" w:rsidR="00D36535">
        <w:t xml:space="preserve">Disponivel em: </w:t>
      </w:r>
      <w:hyperlink w:history="1" r:id="rId131">
        <w:r w:rsidRPr="00D36535" w:rsidR="00D36535">
          <w:rPr>
            <w:rStyle w:val="Hyperlink"/>
          </w:rPr>
          <w:t>https://is.muni.cz/el/1423/jaro2017/SAN106/_Sidney_W._Mintz__Sweetness_and_Power.pdf</w:t>
        </w:r>
      </w:hyperlink>
      <w:r w:rsidRPr="00D36535" w:rsidR="00D36535">
        <w:t xml:space="preserve"> </w:t>
      </w:r>
      <w:r w:rsidR="00D36535">
        <w:t>Acesso em 4 de fevereiro de 2026</w:t>
      </w:r>
    </w:p>
    <w:p w:rsidR="00DB48B8" w:rsidP="008D25BE" w:rsidRDefault="00DB48B8" w14:paraId="708C53DB" w14:textId="77777777"/>
    <w:p w:rsidRPr="00F36165" w:rsidR="00971F33" w:rsidP="008D25BE" w:rsidRDefault="00971F33" w14:paraId="4A3B3885" w14:textId="0D46AC35">
      <w:pPr>
        <w:rPr>
          <w:color w:val="000000"/>
        </w:rPr>
      </w:pPr>
      <w:r>
        <w:rPr>
          <w:color w:val="000000"/>
        </w:rPr>
        <w:t>MOHAMMED, Yasmin</w:t>
      </w:r>
      <w:r w:rsidRPr="00F36165">
        <w:rPr>
          <w:color w:val="000000"/>
        </w:rPr>
        <w:t xml:space="preserve">. O movimento nacional palestino e a luta por um Estado soberano., Curitiba: Unicuritiba, </w:t>
      </w:r>
      <w:r>
        <w:rPr>
          <w:color w:val="000000"/>
        </w:rPr>
        <w:t>2014</w:t>
      </w:r>
      <w:r w:rsidRPr="00F36165">
        <w:rPr>
          <w:color w:val="000000"/>
        </w:rPr>
        <w:t>.</w:t>
      </w:r>
      <w:r>
        <w:rPr>
          <w:color w:val="000000"/>
        </w:rPr>
        <w:t xml:space="preserve">Disponivel em: </w:t>
      </w:r>
      <w:hyperlink w:history="1" r:id="rId132">
        <w:r w:rsidRPr="00F36165">
          <w:rPr>
            <w:rStyle w:val="Hyperlink"/>
          </w:rPr>
          <w:t>revista.unicuritiba.edu</w:t>
        </w:r>
      </w:hyperlink>
    </w:p>
    <w:p w:rsidR="00971F33" w:rsidP="008D25BE" w:rsidRDefault="00971F33" w14:paraId="205078E9" w14:textId="77777777"/>
    <w:p w:rsidRPr="003C56D5" w:rsidR="00DB48B8" w:rsidP="008D25BE" w:rsidRDefault="008D46EF" w14:paraId="708C53DC" w14:textId="0914522F">
      <w:pPr>
        <w:pStyle w:val="Corpodetexto"/>
        <w:spacing w:line="240" w:lineRule="auto"/>
        <w:rPr>
          <w:lang w:val="en-US"/>
        </w:rPr>
      </w:pPr>
      <w:r>
        <w:t xml:space="preserve">MORAES, José Rubens de. O direito no mundo antigo e medieval: uma abordagem histórica e filosófica. </w:t>
      </w:r>
      <w:r w:rsidR="00E324DB">
        <w:t>2008</w:t>
      </w:r>
      <w:r>
        <w:t xml:space="preserve">. Tese (Doutorado em Filosofia e Teoria Geral do Direito) – Faculdade de Direito, Universidade de São Paulo, São Paulo. Disponível em: </w:t>
      </w:r>
      <w:hyperlink w:tgtFrame="_blank" r:id="rId133">
        <w:r>
          <w:rPr>
            <w:rStyle w:val="Hyperlink"/>
          </w:rPr>
          <w:t>http://teses.usp.br/teses/disponiveis/2/2137/tde-14122010-152102/publico/Tese_de_doutorado_FDUSP_Jose_Rubens_de_Moraes_3633415_versao_completa.pdf</w:t>
        </w:r>
      </w:hyperlink>
      <w:r>
        <w:t xml:space="preserve">. </w:t>
      </w:r>
      <w:r w:rsidRPr="003C56D5">
        <w:rPr>
          <w:lang w:val="en-US"/>
        </w:rPr>
        <w:t>Acesso em: 19 nov. 2025.</w:t>
      </w:r>
    </w:p>
    <w:p w:rsidRPr="003C56D5" w:rsidR="008D7135" w:rsidP="008D25BE" w:rsidRDefault="008D7135" w14:paraId="1F38EA82" w14:textId="77777777">
      <w:pPr>
        <w:rPr>
          <w:lang w:val="en-US"/>
        </w:rPr>
      </w:pPr>
    </w:p>
    <w:p w:rsidRPr="00461FF1" w:rsidR="008D7135" w:rsidP="008D25BE" w:rsidRDefault="008D7135" w14:paraId="547D2A9C" w14:textId="77777777">
      <w:pPr>
        <w:rPr>
          <w:color w:val="000000"/>
          <w:lang w:val="en-US"/>
        </w:rPr>
      </w:pPr>
      <w:r w:rsidRPr="00F36165">
        <w:rPr>
          <w:color w:val="000000"/>
          <w:lang w:val="en-US"/>
        </w:rPr>
        <w:t>MORRIS, B. The Birth of the Palestinian Refugee Problem, 1947</w:t>
      </w:r>
      <w:r w:rsidRPr="00F36165">
        <w:rPr>
          <w:color w:val="000000"/>
          <w:lang w:val="en-US"/>
        </w:rPr>
        <w:noBreakHyphen/>
      </w:r>
      <w:r w:rsidRPr="00F36165">
        <w:rPr>
          <w:color w:val="000000"/>
          <w:lang w:val="en-US"/>
        </w:rPr>
        <w:t xml:space="preserve">1949. </w:t>
      </w:r>
      <w:r w:rsidRPr="00461FF1">
        <w:rPr>
          <w:color w:val="000000"/>
          <w:lang w:val="en-US"/>
        </w:rPr>
        <w:t>Cambridge: Cambridge University Press, 1987.[</w:t>
      </w:r>
      <w:hyperlink w:history="1" r:id="rId134">
        <w:r w:rsidRPr="00461FF1">
          <w:rPr>
            <w:rStyle w:val="Hyperlink"/>
            <w:lang w:val="en-US"/>
          </w:rPr>
          <w:t>relacoesexteriores.com</w:t>
        </w:r>
      </w:hyperlink>
      <w:r w:rsidRPr="00461FF1">
        <w:rPr>
          <w:color w:val="000000"/>
          <w:lang w:val="en-US"/>
        </w:rPr>
        <w:t>]​[</w:t>
      </w:r>
      <w:hyperlink w:history="1" r:id="rId135">
        <w:r w:rsidRPr="00461FF1">
          <w:rPr>
            <w:rStyle w:val="Hyperlink"/>
            <w:lang w:val="en-US"/>
          </w:rPr>
          <w:t>ppl-ai-file-upload.s3.amazonaws</w:t>
        </w:r>
      </w:hyperlink>
      <w:r w:rsidRPr="00461FF1">
        <w:rPr>
          <w:color w:val="000000"/>
          <w:lang w:val="en-US"/>
        </w:rPr>
        <w:t>]​</w:t>
      </w:r>
    </w:p>
    <w:p w:rsidR="00D614A5" w:rsidP="008D25BE" w:rsidRDefault="00D614A5" w14:paraId="495B75BC" w14:textId="77777777"/>
    <w:p w:rsidRPr="00D614A5" w:rsidR="00D614A5" w:rsidP="008D25BE" w:rsidRDefault="00D614A5" w14:paraId="7B60209D" w14:textId="1AC416CC">
      <w:r w:rsidRPr="00D614A5">
        <w:t>NETO, Gil Ramos de Carvalho. Multifuncionalidade da agricultura familiar e segurança alimentar: caminhos para a concretização dos direitos humanos agroalimentares. Revista de Direito Agrário e Agroambiental</w:t>
      </w:r>
      <w:r>
        <w:t>.</w:t>
      </w:r>
      <w:r w:rsidRPr="00D614A5">
        <w:t xml:space="preserve">. 2016. Disponível em: </w:t>
      </w:r>
      <w:hyperlink w:history="1" r:id="rId136">
        <w:r w:rsidRPr="00525297">
          <w:rPr>
            <w:rStyle w:val="Hyperlink"/>
          </w:rPr>
          <w:t>https://indexlaw.org/index.php/rdaa/article/view/1262/1697</w:t>
        </w:r>
      </w:hyperlink>
      <w:r>
        <w:t xml:space="preserve"> </w:t>
      </w:r>
      <w:r w:rsidRPr="00D614A5">
        <w:t xml:space="preserve">. Acesso em: </w:t>
      </w:r>
      <w:r>
        <w:t>10</w:t>
      </w:r>
      <w:r w:rsidRPr="00D614A5">
        <w:t xml:space="preserve"> maio </w:t>
      </w:r>
      <w:r>
        <w:t>janeiro de 2026;</w:t>
      </w:r>
    </w:p>
    <w:p w:rsidRPr="003C56D5" w:rsidR="008D7135" w:rsidP="008D25BE" w:rsidRDefault="008D7135" w14:paraId="364A926E" w14:textId="77777777">
      <w:pPr>
        <w:rPr>
          <w:color w:val="000000"/>
        </w:rPr>
      </w:pPr>
    </w:p>
    <w:p w:rsidR="008D7135" w:rsidP="008D25BE" w:rsidRDefault="008D7135" w14:paraId="00315E88" w14:textId="0EF6FE00">
      <w:pPr>
        <w:rPr>
          <w:color w:val="000000"/>
        </w:rPr>
      </w:pPr>
      <w:r w:rsidRPr="00E76721">
        <w:rPr>
          <w:color w:val="000000"/>
        </w:rPr>
        <w:t xml:space="preserve">OMS. Famine confirmed for first time in Gaza. </w:t>
      </w:r>
      <w:r w:rsidRPr="00F36165">
        <w:rPr>
          <w:color w:val="000000"/>
          <w:lang w:val="en-US"/>
        </w:rPr>
        <w:t xml:space="preserve">World Health Organization, 21 ago. 2025. </w:t>
      </w:r>
      <w:r w:rsidRPr="008D7135">
        <w:rPr>
          <w:color w:val="000000"/>
          <w:lang w:val="en-US"/>
        </w:rPr>
        <w:t>Disponível em: </w:t>
      </w:r>
      <w:hyperlink w:tgtFrame="_blank" w:history="1" r:id="rId137">
        <w:r w:rsidRPr="008D7135">
          <w:rPr>
            <w:rStyle w:val="Hyperlink"/>
            <w:lang w:val="en-US"/>
          </w:rPr>
          <w:t>https://www.who.int/news/item/22-08-2025-famine-confirmed-for-first-time-in-gaza</w:t>
        </w:r>
      </w:hyperlink>
      <w:r w:rsidRPr="008D7135">
        <w:rPr>
          <w:color w:val="000000"/>
          <w:lang w:val="en-US"/>
        </w:rPr>
        <w:t xml:space="preserve">. </w:t>
      </w:r>
      <w:r w:rsidRPr="00E324DB">
        <w:rPr>
          <w:color w:val="000000"/>
          <w:lang w:val="en-US"/>
        </w:rPr>
        <w:t>Acesso em: [data].[</w:t>
      </w:r>
      <w:hyperlink w:history="1" r:id="rId138">
        <w:r w:rsidRPr="00F36165">
          <w:rPr>
            <w:rStyle w:val="Hyperlink"/>
          </w:rPr>
          <w:t>who</w:t>
        </w:r>
      </w:hyperlink>
      <w:r w:rsidRPr="00F36165">
        <w:rPr>
          <w:color w:val="000000"/>
        </w:rPr>
        <w:t>]</w:t>
      </w:r>
    </w:p>
    <w:p w:rsidRPr="00F36165" w:rsidR="007C2922" w:rsidP="008D25BE" w:rsidRDefault="007C2922" w14:paraId="6B519F8B" w14:textId="77777777">
      <w:pPr>
        <w:rPr>
          <w:color w:val="000000"/>
        </w:rPr>
      </w:pPr>
    </w:p>
    <w:p w:rsidRPr="008D7135" w:rsidR="00832C4E" w:rsidP="008D25BE" w:rsidRDefault="008D7135" w14:paraId="42E2ADC6" w14:textId="123A8496">
      <w:pPr>
        <w:rPr>
          <w:color w:val="000000"/>
        </w:rPr>
      </w:pPr>
      <w:r w:rsidRPr="00F36165">
        <w:rPr>
          <w:color w:val="000000"/>
        </w:rPr>
        <w:t>ONU.</w:t>
      </w:r>
      <w:r>
        <w:rPr>
          <w:color w:val="000000"/>
        </w:rPr>
        <w:t xml:space="preserve"> </w:t>
      </w:r>
      <w:r w:rsidRPr="00F36165">
        <w:rPr>
          <w:color w:val="000000"/>
        </w:rPr>
        <w:t xml:space="preserve">alerta para agravamento da fome em Gaza. </w:t>
      </w:r>
      <w:r w:rsidRPr="00F36165">
        <w:rPr>
          <w:color w:val="000000"/>
          <w:lang w:val="en-US"/>
        </w:rPr>
        <w:t xml:space="preserve">ONU News, 30 out. 2024. </w:t>
      </w:r>
      <w:r w:rsidRPr="003C56D5">
        <w:rPr>
          <w:color w:val="000000"/>
          <w:lang w:val="en-US"/>
        </w:rPr>
        <w:t>Disponível em: </w:t>
      </w:r>
      <w:hyperlink w:tgtFrame="_blank" w:history="1" r:id="rId139">
        <w:r w:rsidRPr="003C56D5">
          <w:rPr>
            <w:rStyle w:val="Hyperlink"/>
            <w:lang w:val="en-US"/>
          </w:rPr>
          <w:t>https://agenciabrasil.ebc.com.br/internacional/noticia/2024-10/onu-alerta-para-agravamento-da-fome-em-gaza-no-sudao-e-mali</w:t>
        </w:r>
      </w:hyperlink>
      <w:r w:rsidRPr="003C56D5">
        <w:rPr>
          <w:color w:val="000000"/>
          <w:lang w:val="en-US"/>
        </w:rPr>
        <w:t xml:space="preserve">. </w:t>
      </w:r>
      <w:r w:rsidRPr="00F36165">
        <w:rPr>
          <w:color w:val="000000"/>
        </w:rPr>
        <w:t>[</w:t>
      </w:r>
      <w:hyperlink w:history="1" r:id="rId140">
        <w:r w:rsidRPr="00F36165">
          <w:rPr>
            <w:rStyle w:val="Hyperlink"/>
          </w:rPr>
          <w:t>agenciabrasil.ebc.com</w:t>
        </w:r>
      </w:hyperlink>
      <w:r w:rsidRPr="00F36165">
        <w:rPr>
          <w:color w:val="000000"/>
        </w:rPr>
        <w:t>]​</w:t>
      </w:r>
    </w:p>
    <w:p w:rsidRPr="00832C4E" w:rsidR="008D7135" w:rsidP="008D25BE" w:rsidRDefault="008D7135" w14:paraId="37F13310" w14:textId="77777777"/>
    <w:p w:rsidRPr="00D91821" w:rsidR="00832C4E" w:rsidP="008D25BE" w:rsidRDefault="00832C4E" w14:paraId="5A9338D1" w14:textId="77777777">
      <w:r w:rsidRPr="00D91821">
        <w:t>ONU. Carta das Nações Unidas. São Francisco: Organização das Nações Unidas, 1945.</w:t>
      </w:r>
    </w:p>
    <w:p w:rsidR="00B86952" w:rsidP="008D25BE" w:rsidRDefault="00B86952" w14:paraId="5461A9F2" w14:textId="77777777"/>
    <w:p w:rsidR="00832C4E" w:rsidP="008D25BE" w:rsidRDefault="00832C4E" w14:paraId="5CF7A089" w14:textId="55D5CBCE">
      <w:r w:rsidRPr="00D91821">
        <w:t>ONU. Convenção para a Prevenção e a Repressão do Crime de Genocídio. Nova York: Organização das Nações Unidas, 1948.</w:t>
      </w:r>
      <w:r w:rsidR="00B86952">
        <w:t xml:space="preserve"> Disponivel em: </w:t>
      </w:r>
      <w:hyperlink w:history="1" r:id="rId141">
        <w:r w:rsidRPr="005076B2" w:rsidR="00B86952">
          <w:rPr>
            <w:rStyle w:val="Hyperlink"/>
          </w:rPr>
          <w:t>https://www.planalto.gov.br/ccivil_03/atos/decretos/1952/d30822.html</w:t>
        </w:r>
      </w:hyperlink>
      <w:r w:rsidR="00B86952">
        <w:t xml:space="preserve"> Acesso em 10 de fevereiro de 2026</w:t>
      </w:r>
    </w:p>
    <w:p w:rsidR="006E1262" w:rsidP="008D25BE" w:rsidRDefault="006E1262" w14:paraId="278F3B8C" w14:textId="77777777"/>
    <w:p w:rsidRPr="006E1262" w:rsidR="006E1262" w:rsidP="008D25BE" w:rsidRDefault="006E1262" w14:paraId="4CE2D33C" w14:textId="5D4642E6">
      <w:pPr>
        <w:rPr>
          <w:color w:val="000000"/>
        </w:rPr>
      </w:pPr>
      <w:r w:rsidRPr="00F36165">
        <w:rPr>
          <w:color w:val="000000"/>
        </w:rPr>
        <w:t>ONU. Comitê de Direitos Econômicos, Sociais e Culturais. Comentário Geral nº 12: o direito à alimentação adequada (artigo 11). Genebra, 1999. Disponível em: </w:t>
      </w:r>
      <w:hyperlink w:tgtFrame="_blank" w:history="1" r:id="rId142">
        <w:r w:rsidRPr="00F36165">
          <w:rPr>
            <w:rStyle w:val="Hyperlink"/>
          </w:rPr>
          <w:t>https://www.refworld.org/docid/4538838c11.html</w:t>
        </w:r>
      </w:hyperlink>
      <w:r w:rsidRPr="00F36165">
        <w:rPr>
          <w:color w:val="000000"/>
        </w:rPr>
        <w:t>. Acesso em: 08 mar. 2026.</w:t>
      </w:r>
    </w:p>
    <w:p w:rsidR="00C158F5" w:rsidP="008D25BE" w:rsidRDefault="00C158F5" w14:paraId="1971376E" w14:textId="77777777"/>
    <w:p w:rsidRPr="00F36165" w:rsidR="00C23AC3" w:rsidP="008D25BE" w:rsidRDefault="00C23AC3" w14:paraId="208840C1" w14:textId="33C6EC5A">
      <w:pPr>
        <w:rPr>
          <w:color w:val="000000"/>
        </w:rPr>
      </w:pPr>
      <w:r w:rsidRPr="00F36165">
        <w:rPr>
          <w:color w:val="000000"/>
        </w:rPr>
        <w:t>ONU. Declaração Universal dos Direitos Humanos. Assembleia Geral das Nações Unidas</w:t>
      </w:r>
      <w:r w:rsidR="00B86952">
        <w:rPr>
          <w:color w:val="000000"/>
        </w:rPr>
        <w:t xml:space="preserve"> (</w:t>
      </w:r>
      <w:r w:rsidRPr="00B86952" w:rsidR="00B86952">
        <w:rPr>
          <w:color w:val="000000"/>
        </w:rPr>
        <w:t>resolução 217 A III)</w:t>
      </w:r>
      <w:r w:rsidRPr="00F36165">
        <w:rPr>
          <w:color w:val="000000"/>
        </w:rPr>
        <w:t>, 10 dez. 1948.</w:t>
      </w:r>
      <w:r w:rsidR="007C2922">
        <w:rPr>
          <w:color w:val="000000"/>
        </w:rPr>
        <w:t xml:space="preserve"> Disponivel em: </w:t>
      </w:r>
      <w:hyperlink w:history="1" r:id="rId143">
        <w:r w:rsidRPr="00525297" w:rsidR="007C2922">
          <w:rPr>
            <w:rStyle w:val="Hyperlink"/>
          </w:rPr>
          <w:t>https://www.unicef.org/brazil/declaracao-universal-dos-direitos-humanos</w:t>
        </w:r>
      </w:hyperlink>
      <w:r w:rsidR="007C2922">
        <w:rPr>
          <w:color w:val="000000"/>
        </w:rPr>
        <w:t>. Acesso em: 20 de out de 2025</w:t>
      </w:r>
    </w:p>
    <w:p w:rsidR="00C23AC3" w:rsidP="008D25BE" w:rsidRDefault="00C23AC3" w14:paraId="678626B8" w14:textId="77777777"/>
    <w:p w:rsidRPr="00C143C9" w:rsidR="00C158F5" w:rsidP="008D25BE" w:rsidRDefault="00C158F5" w14:paraId="629B3793" w14:textId="7B76A5A2">
      <w:r w:rsidRPr="00165106">
        <w:t xml:space="preserve">ONU. ORGANIZAÇÃO DAS NAÇÕES UNIDAS. Relatório sobre os crimes do Khmer Vermelho. </w:t>
      </w:r>
      <w:r w:rsidRPr="00C143C9">
        <w:t>Nova York, 2005.</w:t>
      </w:r>
    </w:p>
    <w:p w:rsidR="00832C4E" w:rsidP="008D25BE" w:rsidRDefault="00832C4E" w14:paraId="4F4B0273" w14:textId="77777777"/>
    <w:p w:rsidRPr="00D91821" w:rsidR="00832C4E" w:rsidP="008D25BE" w:rsidRDefault="00832C4E" w14:paraId="1D4D8BC8" w14:textId="1315A0B2">
      <w:r w:rsidRPr="00D91821">
        <w:t>ONU. Pacto Internacional dos Direitos Econômicos, Sociais e Culturais. Genebra: Organização das Nações Unidas, 1966.</w:t>
      </w:r>
      <w:r w:rsidR="007C2922">
        <w:t xml:space="preserve"> Disponivel em: </w:t>
      </w:r>
      <w:hyperlink w:history="1" r:id="rId144">
        <w:r w:rsidRPr="00525297" w:rsidR="007C2922">
          <w:rPr>
            <w:rStyle w:val="Hyperlink"/>
          </w:rPr>
          <w:t>https://www.oas.org/dil/port/1966%20Pacto%20Internacional%20sobre%20os%20Direitos%20Econ%C3%B3micos,%20Sociais%20e%20Culturais.pdf</w:t>
        </w:r>
      </w:hyperlink>
      <w:r w:rsidR="007C2922">
        <w:t>. Acesso em 20 de out de 2026</w:t>
      </w:r>
    </w:p>
    <w:p w:rsidR="00832C4E" w:rsidP="008D25BE" w:rsidRDefault="00832C4E" w14:paraId="0D74A7BA" w14:textId="77777777"/>
    <w:p w:rsidRPr="00D91821" w:rsidR="00832C4E" w:rsidP="008D25BE" w:rsidRDefault="00832C4E" w14:paraId="42F83C4A" w14:textId="12A7E303">
      <w:r w:rsidRPr="00D91821">
        <w:t>ONU. Relatório especial sobre o direito à alimentação em Gaza. Nova York: Organização das Nações Unidas, 2025.</w:t>
      </w:r>
      <w:r w:rsidR="00F441B6">
        <w:t xml:space="preserve"> Disponivel em: </w:t>
      </w:r>
      <w:hyperlink w:history="1" r:id="rId145">
        <w:r w:rsidRPr="00582934" w:rsidR="00F441B6">
          <w:rPr>
            <w:rStyle w:val="Hyperlink"/>
          </w:rPr>
          <w:t>https://news.un.org/en/story/2025/08/1165702</w:t>
        </w:r>
      </w:hyperlink>
      <w:r w:rsidR="00F441B6">
        <w:t xml:space="preserve"> . Acesso em 10 de fevereiro de 2026</w:t>
      </w:r>
    </w:p>
    <w:p w:rsidR="00832C4E" w:rsidP="008D25BE" w:rsidRDefault="00832C4E" w14:paraId="0B15B37B" w14:textId="77777777"/>
    <w:p w:rsidRPr="00F36165" w:rsidR="008D7135" w:rsidP="008D25BE" w:rsidRDefault="008D7135" w14:paraId="2217CAA5" w14:textId="756BB8AC">
      <w:pPr>
        <w:rPr>
          <w:color w:val="000000"/>
        </w:rPr>
      </w:pPr>
      <w:r w:rsidRPr="00F36165">
        <w:rPr>
          <w:color w:val="000000"/>
        </w:rPr>
        <w:t>ONU. Resolução 181 (II), de 29 de novembro de 1947. Assembleia Geral das Nações Unidas, 1947. Disponível em:</w:t>
      </w:r>
      <w:r w:rsidRPr="00F91CE9" w:rsidR="00F91CE9">
        <w:t xml:space="preserve"> </w:t>
      </w:r>
      <w:hyperlink w:history="1" r:id="rId146">
        <w:r w:rsidRPr="005076B2" w:rsidR="00F91CE9">
          <w:rPr>
            <w:rStyle w:val="Hyperlink"/>
          </w:rPr>
          <w:t>https://www.britannica.com/topic/United-Nations-Resolution-181</w:t>
        </w:r>
      </w:hyperlink>
      <w:r w:rsidR="00F91CE9">
        <w:rPr>
          <w:color w:val="000000"/>
        </w:rPr>
        <w:t xml:space="preserve"> Acesso em 4 de março de 2026</w:t>
      </w:r>
    </w:p>
    <w:p w:rsidRPr="00832C4E" w:rsidR="008D7135" w:rsidP="008D25BE" w:rsidRDefault="008D7135" w14:paraId="10C2F403" w14:textId="77777777"/>
    <w:p w:rsidRPr="001E5CC2" w:rsidR="00882C81" w:rsidP="008D25BE" w:rsidRDefault="00882C81" w14:paraId="5E3AC7C7" w14:textId="1679C632">
      <w:r w:rsidRPr="00882C81">
        <w:rPr>
          <w:lang w:val="en-US"/>
        </w:rPr>
        <w:t xml:space="preserve">OSBORNE, Garrett. Britain’s economic blockade of Germany, 1914–1919. </w:t>
      </w:r>
      <w:r w:rsidRPr="001E5CC2">
        <w:t>Londres: Routledge, 2013.</w:t>
      </w:r>
      <w:r w:rsidR="00F65144">
        <w:t xml:space="preserve"> Disponivel em: </w:t>
      </w:r>
      <w:hyperlink w:history="1" r:id="rId147">
        <w:r w:rsidRPr="005076B2" w:rsidR="00F65144">
          <w:rPr>
            <w:rStyle w:val="Hyperlink"/>
          </w:rPr>
          <w:t>https://api.pageplace.de/preview/DT0400.9781135771287_A24507051/preview-9781135771287_A24507051.pdf</w:t>
        </w:r>
      </w:hyperlink>
      <w:r w:rsidR="00F65144">
        <w:t xml:space="preserve"> Acesso em 10 de março de 2026</w:t>
      </w:r>
    </w:p>
    <w:p w:rsidRPr="001E5CC2" w:rsidR="00882C81" w:rsidP="008D25BE" w:rsidRDefault="00882C81" w14:paraId="07157BCB" w14:textId="77777777"/>
    <w:p w:rsidR="006A2E96" w:rsidP="008D25BE" w:rsidRDefault="006A2E96" w14:paraId="07ABE935" w14:textId="77777777">
      <w:pPr>
        <w:pStyle w:val="Corpodetexto"/>
        <w:spacing w:line="240" w:lineRule="auto"/>
      </w:pPr>
      <w:r w:rsidRPr="006A2E96">
        <w:t>OSTRENSKY. Eunice</w:t>
      </w:r>
      <w:r w:rsidRPr="006A2E96">
        <w:rPr>
          <w:b/>
          <w:bCs/>
        </w:rPr>
        <w:t> </w:t>
      </w:r>
      <w:r>
        <w:t xml:space="preserve">MAQUIAVEL: A AMBIÇÃO E O DILEMA DAS LEIS AGRÁRIAS. </w:t>
      </w:r>
      <w:r w:rsidRPr="00B26AA1">
        <w:t xml:space="preserve">SCIMAGO INSTITUTIONS RANKINGS. </w:t>
      </w:r>
      <w:r>
        <w:t xml:space="preserve">Disponível em: </w:t>
      </w:r>
      <w:hyperlink w:tgtFrame="_blank" r:id="rId148">
        <w:r>
          <w:rPr>
            <w:rStyle w:val="Hyperlink"/>
          </w:rPr>
          <w:t>https://www.scielo.br/j/ln/a/RsxcYvdnQXgxkfjCjTGRxYp/?lang=pt</w:t>
        </w:r>
      </w:hyperlink>
      <w:r>
        <w:t>. Acesso em: 13 nov. 2025.</w:t>
      </w:r>
    </w:p>
    <w:p w:rsidRPr="006A2E96" w:rsidR="006A2E96" w:rsidP="008D25BE" w:rsidRDefault="006A2E96" w14:paraId="33D1836E" w14:textId="77777777"/>
    <w:p w:rsidRPr="00036B93" w:rsidR="001C3BAB" w:rsidP="008D25BE" w:rsidRDefault="001C3BAB" w14:paraId="0F680CD0" w14:textId="77777777">
      <w:pPr>
        <w:rPr>
          <w:lang w:val="en-US"/>
        </w:rPr>
      </w:pPr>
      <w:r w:rsidRPr="00036B93">
        <w:rPr>
          <w:lang w:val="en-US"/>
        </w:rPr>
        <w:t>OPENSTAX. Introduction to anthropology. Houston: Rice University, 2022. Cap. 14.3: Food and cultural identity. Disponível em: </w:t>
      </w:r>
      <w:hyperlink w:tgtFrame="_blank" w:history="1" r:id="rId149">
        <w:r w:rsidRPr="00036B93">
          <w:rPr>
            <w:rStyle w:val="Hyperlink"/>
            <w:lang w:val="en-US"/>
          </w:rPr>
          <w:t>https://openstax.org/books/introduction-anthropology/pages/14-3-food-and-cultural-identity</w:t>
        </w:r>
      </w:hyperlink>
      <w:r w:rsidRPr="00036B93">
        <w:rPr>
          <w:lang w:val="en-US"/>
        </w:rPr>
        <w:t>.</w:t>
      </w:r>
    </w:p>
    <w:p w:rsidRPr="001E5CC2" w:rsidR="001C3BAB" w:rsidP="008D25BE" w:rsidRDefault="001C3BAB" w14:paraId="2C5336BF" w14:textId="77777777">
      <w:pPr>
        <w:rPr>
          <w:lang w:val="en-US"/>
        </w:rPr>
      </w:pPr>
    </w:p>
    <w:p w:rsidR="00DB48B8" w:rsidP="008D25BE" w:rsidRDefault="008D46EF" w14:paraId="708C53DE" w14:textId="4E3A87C8">
      <w:r>
        <w:t xml:space="preserve">OPITZ, Silvia Cristina Bechelli. Curso completo de direito agrário. São Paulo: Saraiva, </w:t>
      </w:r>
      <w:r w:rsidR="006B6F52">
        <w:t>2017</w:t>
      </w:r>
      <w:r>
        <w:t>.</w:t>
      </w:r>
    </w:p>
    <w:p w:rsidR="001C3BAB" w:rsidP="008D25BE" w:rsidRDefault="001C3BAB" w14:paraId="01962F6D" w14:textId="77777777"/>
    <w:p w:rsidRPr="00E76721" w:rsidR="00DB48B8" w:rsidP="008D25BE" w:rsidRDefault="00E86C98" w14:paraId="708C53DF" w14:textId="7F1EB337">
      <w:pPr>
        <w:rPr>
          <w:lang w:val="en-US"/>
        </w:rPr>
      </w:pPr>
      <w:r w:rsidRPr="00E86C98">
        <w:t xml:space="preserve">ORNELLAS, L.H. Técnica dietética – Seleção e preparo de alimentos. </w:t>
      </w:r>
      <w:r w:rsidRPr="00E76721">
        <w:t xml:space="preserve">8ªed. </w:t>
      </w:r>
      <w:r w:rsidRPr="006B6F52">
        <w:t>São Paulo: Atheneu, 2008.</w:t>
      </w:r>
      <w:r w:rsidRPr="006B6F52" w:rsidR="006B6F52">
        <w:t xml:space="preserve"> Disponivel em: </w:t>
      </w:r>
      <w:hyperlink w:history="1" r:id="rId150">
        <w:r w:rsidRPr="00525297" w:rsidR="006B6F52">
          <w:rPr>
            <w:rStyle w:val="Hyperlink"/>
          </w:rPr>
          <w:t>https://www.academia.edu/94797066/CURSO_COMPLETO_DE_DIREITO_AGRA_RIO</w:t>
        </w:r>
      </w:hyperlink>
      <w:r w:rsidR="006B6F52">
        <w:t xml:space="preserve">. </w:t>
      </w:r>
      <w:r w:rsidRPr="00E76721" w:rsidR="006B6F52">
        <w:rPr>
          <w:lang w:val="en-US"/>
        </w:rPr>
        <w:t>Acesso em: 10 de dezembro de 2025</w:t>
      </w:r>
    </w:p>
    <w:p w:rsidRPr="00E76721" w:rsidR="00E86C98" w:rsidP="008D25BE" w:rsidRDefault="00E86C98" w14:paraId="1EEC405B" w14:textId="77777777">
      <w:pPr>
        <w:rPr>
          <w:lang w:val="en-US"/>
        </w:rPr>
      </w:pPr>
    </w:p>
    <w:p w:rsidRPr="00F36165" w:rsidR="008D7135" w:rsidP="008D25BE" w:rsidRDefault="008D7135" w14:paraId="6E5817AC" w14:textId="4BAB1026">
      <w:pPr>
        <w:rPr>
          <w:color w:val="000000"/>
        </w:rPr>
      </w:pPr>
      <w:r w:rsidRPr="00F36165">
        <w:rPr>
          <w:color w:val="000000"/>
          <w:lang w:val="en-US"/>
        </w:rPr>
        <w:t xml:space="preserve">OXFAM. People in northern Gaza forced to survive on 245 calories a day, less than a can of beans. </w:t>
      </w:r>
      <w:r w:rsidRPr="00F36165">
        <w:rPr>
          <w:color w:val="000000"/>
        </w:rPr>
        <w:t>Oxfam, 8 maio 2024. Disponível em: </w:t>
      </w:r>
      <w:hyperlink w:tgtFrame="_blank" w:history="1" r:id="rId151">
        <w:r w:rsidRPr="00F36165">
          <w:rPr>
            <w:rStyle w:val="Hyperlink"/>
          </w:rPr>
          <w:t>https://www.oxfam.org/en/press-releases/people-northern-gaza-forced-survive-245-calories-day-less-can-beans-oxfam</w:t>
        </w:r>
      </w:hyperlink>
      <w:r w:rsidRPr="00F36165">
        <w:rPr>
          <w:color w:val="000000"/>
        </w:rPr>
        <w:t xml:space="preserve">. Acesso em: </w:t>
      </w:r>
      <w:r w:rsidR="00B86751">
        <w:rPr>
          <w:color w:val="000000"/>
        </w:rPr>
        <w:t>9 de março de 2026</w:t>
      </w:r>
    </w:p>
    <w:p w:rsidR="008D7135" w:rsidP="008D25BE" w:rsidRDefault="008D7135" w14:paraId="5CB6DD63" w14:textId="77777777"/>
    <w:p w:rsidRPr="00251127" w:rsidR="00832C4E" w:rsidP="008D25BE" w:rsidRDefault="00832C4E" w14:paraId="39621ACB" w14:textId="77777777">
      <w:pPr>
        <w:rPr>
          <w:lang w:val="en-US"/>
        </w:rPr>
      </w:pPr>
      <w:r w:rsidRPr="00D91821">
        <w:t>PACTO CONTRA A FOME. Apartheid alimentar: a fome tem cor, CEP e classe. São Paulo: Pacto Contra a Fome, 2025. Disponível em: </w:t>
      </w:r>
      <w:hyperlink w:tgtFrame="_blank" w:history="1" r:id="rId152">
        <w:r w:rsidRPr="00D91821">
          <w:rPr>
            <w:rStyle w:val="Hyperlink"/>
          </w:rPr>
          <w:t>https://pactocontrafome.org/apartheid-alimentar-a-fome-tem-cor-cep-e-classe/</w:t>
        </w:r>
      </w:hyperlink>
      <w:r w:rsidRPr="00D91821">
        <w:t xml:space="preserve">. </w:t>
      </w:r>
      <w:r w:rsidRPr="00251127">
        <w:rPr>
          <w:lang w:val="en-US"/>
        </w:rPr>
        <w:t>Acesso em: 17 mar. 2026.</w:t>
      </w:r>
    </w:p>
    <w:p w:rsidRPr="00251127" w:rsidR="00A355E4" w:rsidP="008D25BE" w:rsidRDefault="00A355E4" w14:paraId="6C596CED" w14:textId="77777777">
      <w:pPr>
        <w:pStyle w:val="Corpodetexto"/>
        <w:spacing w:line="240" w:lineRule="auto"/>
        <w:rPr>
          <w:lang w:val="en-US"/>
        </w:rPr>
      </w:pPr>
    </w:p>
    <w:p w:rsidRPr="006D39C6" w:rsidR="008D7135" w:rsidP="008D25BE" w:rsidRDefault="008D7135" w14:paraId="3C15DBA8" w14:textId="7F05EE00">
      <w:pPr>
        <w:rPr>
          <w:color w:val="000000"/>
        </w:rPr>
      </w:pPr>
      <w:r w:rsidRPr="006D39C6">
        <w:rPr>
          <w:color w:val="000000"/>
          <w:lang w:val="en-US"/>
        </w:rPr>
        <w:t xml:space="preserve">PAPPÉ, I. </w:t>
      </w:r>
      <w:r w:rsidRPr="006D39C6" w:rsidR="006D39C6">
        <w:rPr>
          <w:color w:val="000000"/>
          <w:lang w:val="en-US"/>
        </w:rPr>
        <w:t>The Ethnic Cleansing Of Palestine</w:t>
      </w:r>
      <w:r w:rsidRPr="006D39C6">
        <w:rPr>
          <w:color w:val="000000"/>
          <w:lang w:val="en-US"/>
        </w:rPr>
        <w:t xml:space="preserve">. </w:t>
      </w:r>
      <w:r w:rsidRPr="006D39C6" w:rsidR="006D39C6">
        <w:rPr>
          <w:color w:val="000000"/>
          <w:lang w:val="en-US"/>
        </w:rPr>
        <w:t>Oneworld Publications Limited</w:t>
      </w:r>
      <w:r w:rsidRPr="006D39C6">
        <w:rPr>
          <w:color w:val="000000"/>
          <w:lang w:val="en-US"/>
        </w:rPr>
        <w:t xml:space="preserve">, </w:t>
      </w:r>
      <w:r w:rsidR="006D39C6">
        <w:rPr>
          <w:color w:val="000000"/>
          <w:lang w:val="en-US"/>
        </w:rPr>
        <w:t>2006</w:t>
      </w:r>
      <w:r w:rsidRPr="006D39C6">
        <w:rPr>
          <w:color w:val="000000"/>
          <w:lang w:val="en-US"/>
        </w:rPr>
        <w:t>.</w:t>
      </w:r>
      <w:r w:rsidR="006D39C6">
        <w:rPr>
          <w:color w:val="000000"/>
          <w:lang w:val="en-US"/>
        </w:rPr>
        <w:t xml:space="preserve"> </w:t>
      </w:r>
      <w:r w:rsidRPr="00251127" w:rsidR="006D39C6">
        <w:rPr>
          <w:color w:val="000000"/>
          <w:lang w:val="en-US"/>
        </w:rPr>
        <w:t xml:space="preserve">Disponivel em </w:t>
      </w:r>
      <w:hyperlink w:history="1" r:id="rId153">
        <w:r w:rsidRPr="00251127" w:rsidR="006D39C6">
          <w:rPr>
            <w:rStyle w:val="Hyperlink"/>
            <w:lang w:val="en-US"/>
          </w:rPr>
          <w:t>https://yplus.ps/wp-content/uploads/2021/01/Pappe-Ilan-The-Ethnic-Cleansing-of-Palestine.pdf</w:t>
        </w:r>
      </w:hyperlink>
      <w:r w:rsidRPr="00251127" w:rsidR="006D39C6">
        <w:rPr>
          <w:color w:val="000000"/>
          <w:lang w:val="en-US"/>
        </w:rPr>
        <w:t xml:space="preserve"> . </w:t>
      </w:r>
      <w:r w:rsidR="006D39C6">
        <w:rPr>
          <w:color w:val="000000"/>
        </w:rPr>
        <w:t>Acesso em 1 de março de 2026</w:t>
      </w:r>
    </w:p>
    <w:p w:rsidRPr="006D39C6" w:rsidR="008D7135" w:rsidP="008D25BE" w:rsidRDefault="008D7135" w14:paraId="2AB9FC6E" w14:textId="77777777">
      <w:pPr>
        <w:pStyle w:val="Corpodetexto"/>
        <w:spacing w:line="240" w:lineRule="auto"/>
      </w:pPr>
    </w:p>
    <w:p w:rsidRPr="00882F96" w:rsidR="00882F96" w:rsidP="008D25BE" w:rsidRDefault="00882F96" w14:paraId="76214858" w14:textId="6BCEC165">
      <w:pPr>
        <w:pStyle w:val="Corpodetexto"/>
        <w:spacing w:line="240" w:lineRule="auto"/>
      </w:pPr>
      <w:r w:rsidRPr="00882F96">
        <w:t>PAULA, Fran. Apartheid alimentar e o privilégio de comer no Brasil. FASE, 2023. Disponível em: </w:t>
      </w:r>
      <w:hyperlink w:tgtFrame="_blank" w:history="1" r:id="rId154">
        <w:r w:rsidRPr="00882F96">
          <w:rPr>
            <w:rStyle w:val="Hyperlink"/>
          </w:rPr>
          <w:t>https://fase.org.br/pt/artigos/apartheid-alimentar-e-o-privilegio-de-comer-no-brasil/</w:t>
        </w:r>
      </w:hyperlink>
      <w:r w:rsidRPr="00882F96">
        <w:t>. Acesso em: 14 maio 2026</w:t>
      </w:r>
    </w:p>
    <w:p w:rsidR="00E86C98" w:rsidP="008D25BE" w:rsidRDefault="00E86C98" w14:paraId="5C51117E" w14:textId="77777777">
      <w:pPr>
        <w:pStyle w:val="Corpodetexto"/>
        <w:spacing w:line="240" w:lineRule="auto"/>
      </w:pPr>
    </w:p>
    <w:p w:rsidR="00BF6108" w:rsidP="008D25BE" w:rsidRDefault="00BF6108" w14:paraId="3E8F67AE" w14:textId="73033BBD">
      <w:pPr>
        <w:pStyle w:val="Corpodetexto"/>
        <w:spacing w:line="240" w:lineRule="auto"/>
      </w:pPr>
      <w:r w:rsidRPr="00BF6108">
        <w:t xml:space="preserve">PEREIRA, Flávio de Leão Bastos. Genocídio: dimensões e limites. Le Monde Diplomatique Brasil, 30 jun. 2025. Disponível em: </w:t>
      </w:r>
      <w:hyperlink w:tgtFrame="_blank" w:history="1" r:id="rId155">
        <w:r w:rsidRPr="00BF6108">
          <w:rPr>
            <w:rStyle w:val="Hyperlink"/>
          </w:rPr>
          <w:t>https://diplomatique.org.br/genocidio-dimensoes-e-limites/</w:t>
        </w:r>
      </w:hyperlink>
      <w:r w:rsidRPr="00BF6108">
        <w:t>. Acesso em: 14 mai. 2026</w:t>
      </w:r>
    </w:p>
    <w:p w:rsidR="00DB48B8" w:rsidP="008D25BE" w:rsidRDefault="00DB48B8" w14:paraId="708C53E1" w14:textId="77777777">
      <w:pPr>
        <w:pStyle w:val="Corpodetexto"/>
        <w:spacing w:line="240" w:lineRule="auto"/>
      </w:pPr>
    </w:p>
    <w:p w:rsidR="00DB48B8" w:rsidP="008D25BE" w:rsidRDefault="008D46EF" w14:paraId="708C53E2" w14:textId="77777777">
      <w:pPr>
        <w:pStyle w:val="Corpodetexto"/>
        <w:spacing w:line="240" w:lineRule="auto"/>
      </w:pPr>
      <w:r>
        <w:t xml:space="preserve">PLAZA, Gabriel. La justicia a martillazos: historia y lectura del Código de Hammurabi. Memoria Académica, Universidad Nacional de La Plata, 2010. Disponível em: </w:t>
      </w:r>
      <w:hyperlink w:tgtFrame="_blank" r:id="rId156">
        <w:r>
          <w:rPr>
            <w:rStyle w:val="Hyperlink"/>
          </w:rPr>
          <w:t>https://www.memoria.fahce.unlp.edu.ar/art_revistas/pr.12661/pr.12661.pdf</w:t>
        </w:r>
      </w:hyperlink>
      <w:r>
        <w:t>. Acesso em: 1 dez. 2025.</w:t>
      </w:r>
    </w:p>
    <w:p w:rsidR="00DB48B8" w:rsidP="008D25BE" w:rsidRDefault="00DB48B8" w14:paraId="708C53E3" w14:textId="77777777"/>
    <w:p w:rsidR="00DB48B8" w:rsidP="008D25BE" w:rsidRDefault="008D46EF" w14:paraId="708C53E4" w14:textId="38204A2E">
      <w:r>
        <w:t>POZZETTI, Vanessa Caroline Barbosa; FERREIRA, Maria Augusta. Direito agrário brasileiro: avanços e retrocessos pós Constituição Federal de 1988. Revista de Direito Brasileira, 2022</w:t>
      </w:r>
      <w:r w:rsidR="00863219">
        <w:t xml:space="preserve">. Disponivel em: </w:t>
      </w:r>
      <w:hyperlink w:history="1" r:id="rId157">
        <w:r w:rsidRPr="005076B2" w:rsidR="000439A8">
          <w:rPr>
            <w:rStyle w:val="Hyperlink"/>
          </w:rPr>
          <w:t>https://www.indexlaw.org/index.php/rdb/article/view/8400/6781</w:t>
        </w:r>
      </w:hyperlink>
      <w:r w:rsidR="000439A8">
        <w:t>. Acesso em: 20 de janeiro de 2026</w:t>
      </w:r>
    </w:p>
    <w:p w:rsidR="00441218" w:rsidP="008D25BE" w:rsidRDefault="00441218" w14:paraId="2349DA84" w14:textId="77777777"/>
    <w:p w:rsidRPr="007814E0" w:rsidR="007814E0" w:rsidP="008D25BE" w:rsidRDefault="007814E0" w14:paraId="37A83944" w14:textId="22A1E3F4">
      <w:pPr>
        <w:pStyle w:val="Corpodetexto"/>
        <w:spacing w:line="240" w:lineRule="auto"/>
      </w:pPr>
      <w:r w:rsidRPr="007814E0">
        <w:t xml:space="preserve">PRANDI, Bruna; DUARTE, Luciana Gaspar Melquíades. Combate à necropolítica da fome: o entendimento multidimensional para a efetividade do direito à alimentação. Juiz de Fora: UFJF, </w:t>
      </w:r>
      <w:r>
        <w:t>2022</w:t>
      </w:r>
      <w:r w:rsidRPr="007814E0">
        <w:t xml:space="preserve">. Disponível em: </w:t>
      </w:r>
      <w:hyperlink w:history="1" r:id="rId158">
        <w:r w:rsidRPr="005076B2" w:rsidR="000439A8">
          <w:rPr>
            <w:rStyle w:val="Hyperlink"/>
          </w:rPr>
          <w:t>https://www2.ufjf.br/direito/wp-content/uploads/sites/397/2024/01/Anais-Sempex-VI-Erica.pdf</w:t>
        </w:r>
      </w:hyperlink>
      <w:r w:rsidR="000439A8">
        <w:t xml:space="preserve"> </w:t>
      </w:r>
      <w:r w:rsidRPr="007814E0">
        <w:t>Acesso em: 15 mai. 2026.</w:t>
      </w:r>
    </w:p>
    <w:p w:rsidR="00DB48B8" w:rsidP="008D25BE" w:rsidRDefault="00DB48B8" w14:paraId="708C53E9" w14:textId="77777777">
      <w:pPr>
        <w:pStyle w:val="Corpodetexto"/>
        <w:spacing w:line="240" w:lineRule="auto"/>
      </w:pPr>
    </w:p>
    <w:p w:rsidRPr="000223A9" w:rsidR="000223A9" w:rsidP="008D25BE" w:rsidRDefault="000223A9" w14:paraId="5C48E64D" w14:textId="63DC7FE8">
      <w:pPr>
        <w:pStyle w:val="Corpodetexto"/>
        <w:spacing w:line="240" w:lineRule="auto"/>
      </w:pPr>
      <w:r w:rsidRPr="000223A9">
        <w:t xml:space="preserve">PROTOCOLOS I e II de 1977 adicionais às Convenções de Genebra de 1949. Conferência Diplomática sobre a Reafirmação e o Desenvolvimento do Direito Internacional Humanitário aplicável nos Conflitos Armados, Genebra, 10 de junho de 1977. Disponibilização em português: Decreto n. 8.490, de 9 de julho de 1989, que promulga os Protocolos. Brasília, DF: Presidência da República, Casa Civil, Subchefia para Assuntos Jurídicos. Disponível em: </w:t>
      </w:r>
      <w:hyperlink w:history="1" r:id="rId159">
        <w:r w:rsidRPr="005076B2" w:rsidR="000439A8">
          <w:rPr>
            <w:rStyle w:val="Hyperlink"/>
          </w:rPr>
          <w:t>https://www.planalto.gov.br/ccivil_03/decreto/1990-1994/d0849.htm</w:t>
        </w:r>
      </w:hyperlink>
      <w:r w:rsidR="000439A8">
        <w:t xml:space="preserve"> </w:t>
      </w:r>
      <w:r w:rsidRPr="000223A9">
        <w:t xml:space="preserve"> Acesso em: 15 </w:t>
      </w:r>
      <w:r>
        <w:t>abril</w:t>
      </w:r>
      <w:r w:rsidRPr="000223A9">
        <w:t xml:space="preserve"> 2026.</w:t>
      </w:r>
    </w:p>
    <w:p w:rsidR="000223A9" w:rsidP="008D25BE" w:rsidRDefault="000223A9" w14:paraId="3AF3087C" w14:textId="77777777">
      <w:pPr>
        <w:pStyle w:val="Corpodetexto"/>
        <w:spacing w:line="240" w:lineRule="auto"/>
      </w:pPr>
    </w:p>
    <w:p w:rsidRPr="000439A8" w:rsidR="000439A8" w:rsidP="000439A8" w:rsidRDefault="000439A8" w14:paraId="518C2E3A" w14:textId="7A5A585E">
      <w:pPr>
        <w:pStyle w:val="Corpodetexto"/>
      </w:pPr>
      <w:r w:rsidRPr="000439A8">
        <w:t xml:space="preserve">RAMOS, Larissa Ivo. A comida como um direito à cultura e identidade. Revista [da UCSAL], Salvador, 2015. Disponível em: </w:t>
      </w:r>
      <w:hyperlink w:history="1" r:id="rId160">
        <w:r w:rsidRPr="000439A8">
          <w:rPr>
            <w:rStyle w:val="Hyperlink"/>
          </w:rPr>
          <w:t>https://ri.ucsal.br/server/api/core/bitstreams/dac7787c-ddfe-43ad-b2da-6d8b6b50a019/content</w:t>
        </w:r>
      </w:hyperlink>
      <w:r w:rsidRPr="000439A8">
        <w:t xml:space="preserve">. Acesso em: </w:t>
      </w:r>
      <w:r>
        <w:t>13</w:t>
      </w:r>
      <w:r w:rsidRPr="000439A8">
        <w:t xml:space="preserve"> </w:t>
      </w:r>
      <w:r>
        <w:t>janeiro</w:t>
      </w:r>
      <w:r w:rsidRPr="000439A8">
        <w:t xml:space="preserve"> 2026.</w:t>
      </w:r>
    </w:p>
    <w:p w:rsidR="000439A8" w:rsidP="008D25BE" w:rsidRDefault="000439A8" w14:paraId="693A6FC9" w14:textId="77777777">
      <w:pPr>
        <w:pStyle w:val="Corpodetexto"/>
        <w:spacing w:line="240" w:lineRule="auto"/>
      </w:pPr>
    </w:p>
    <w:p w:rsidRPr="001E5CC2" w:rsidR="00DB48B8" w:rsidP="008D25BE" w:rsidRDefault="008D46EF" w14:paraId="708C53EA" w14:textId="7EE9A58F">
      <w:pPr>
        <w:rPr>
          <w:lang w:val="en-US"/>
        </w:rPr>
      </w:pPr>
      <w:r>
        <w:t>RAWLS, John. Uma teoria da justiça. 3. ed. São Paulo: Martins Fontes, 2000.</w:t>
      </w:r>
      <w:r w:rsidR="00244900">
        <w:t xml:space="preserve"> Diponivel em : </w:t>
      </w:r>
      <w:hyperlink w:history="1" r:id="rId161">
        <w:r w:rsidRPr="001B4CF0" w:rsidR="00244900">
          <w:rPr>
            <w:rStyle w:val="Hyperlink"/>
          </w:rPr>
          <w:t>http://www2.senado.leg.br/bdsf/bitstream/handle/id/377/r138-16.pdf?sequence=4&amp;isAllowed=y</w:t>
        </w:r>
      </w:hyperlink>
      <w:r w:rsidR="00244900">
        <w:t xml:space="preserve">. </w:t>
      </w:r>
      <w:r w:rsidRPr="001E5CC2" w:rsidR="00244900">
        <w:rPr>
          <w:lang w:val="en-US"/>
        </w:rPr>
        <w:t>Acesso: 30 de outubro de 2025</w:t>
      </w:r>
    </w:p>
    <w:p w:rsidRPr="001E5CC2" w:rsidR="00E86C98" w:rsidP="008D25BE" w:rsidRDefault="00E86C98" w14:paraId="5FA976DA" w14:textId="77777777">
      <w:pPr>
        <w:pStyle w:val="Corpodetexto"/>
        <w:spacing w:line="240" w:lineRule="auto"/>
        <w:rPr>
          <w:lang w:val="en-US"/>
        </w:rPr>
      </w:pPr>
    </w:p>
    <w:p w:rsidRPr="000439A8" w:rsidR="00F519DF" w:rsidP="008D25BE" w:rsidRDefault="00F519DF" w14:paraId="5FFBF4B3" w14:textId="52A63721">
      <w:pPr>
        <w:pStyle w:val="Corpodetexto"/>
        <w:spacing w:line="240" w:lineRule="auto"/>
      </w:pPr>
      <w:r w:rsidRPr="00F519DF">
        <w:rPr>
          <w:lang w:val="en-US"/>
        </w:rPr>
        <w:t xml:space="preserve">RECKWITZ, Andreas. Toward a Theory of Social Practices: A Development in Culturalist Theorizing. </w:t>
      </w:r>
      <w:r w:rsidRPr="00251127">
        <w:t xml:space="preserve">European Journal of Social Theory, 2002. </w:t>
      </w:r>
      <w:r w:rsidRPr="000439A8">
        <w:t xml:space="preserve">Disponivel em: </w:t>
      </w:r>
      <w:hyperlink w:history="1" r:id="rId162">
        <w:r w:rsidRPr="000439A8" w:rsidR="000439A8">
          <w:rPr>
            <w:rStyle w:val="Hyperlink"/>
          </w:rPr>
          <w:t>https://metodos.wordpress.com/wp-content/uploads/2008/02/reckwitz_toward_a_theory_of_social_practices.pdf</w:t>
        </w:r>
      </w:hyperlink>
      <w:r w:rsidRPr="000439A8" w:rsidR="000439A8">
        <w:t xml:space="preserve"> </w:t>
      </w:r>
      <w:r w:rsidR="000439A8">
        <w:t>Acesso em 15 de fevereiro de 2026</w:t>
      </w:r>
    </w:p>
    <w:p w:rsidRPr="000439A8" w:rsidR="00F519DF" w:rsidP="008D25BE" w:rsidRDefault="00F519DF" w14:paraId="46072430" w14:textId="77777777"/>
    <w:p w:rsidRPr="00F519DF" w:rsidR="00441218" w:rsidP="008D25BE" w:rsidRDefault="00441218" w14:paraId="3A0DE13C" w14:textId="40F9B0F9">
      <w:r w:rsidRPr="001E5CC2">
        <w:t>REDE PENSSAN. </w:t>
      </w:r>
      <w:r w:rsidRPr="00F519DF">
        <w:t>Pesquisa Nacional por Amostra de Domicílios Contínua: Insegurança Alimentar no Brasil. São Paulo: Rede PENSSAN, dez. 2020.</w:t>
      </w:r>
    </w:p>
    <w:p w:rsidR="008D7135" w:rsidP="008D25BE" w:rsidRDefault="008D7135" w14:paraId="2C15CDF3" w14:textId="77777777">
      <w:pPr>
        <w:pStyle w:val="Corpodetexto"/>
        <w:spacing w:line="240" w:lineRule="auto"/>
      </w:pPr>
    </w:p>
    <w:p w:rsidRPr="002C4CAC" w:rsidR="002C4CAC" w:rsidP="008D25BE" w:rsidRDefault="002C4CAC" w14:paraId="24392632" w14:textId="49EAC081">
      <w:pPr>
        <w:pStyle w:val="Corpodetexto"/>
        <w:spacing w:line="240" w:lineRule="auto"/>
      </w:pPr>
      <w:r w:rsidRPr="002C4CAC">
        <w:t>REIS, Marcela; RAMALHO, Tabitha. Israel destrói e se apropria da cultura alimentar palestina. Brasil de Fato, 27 mar. 2026. Disponível em: </w:t>
      </w:r>
      <w:hyperlink w:tgtFrame="_blank" w:history="1" r:id="rId163">
        <w:r w:rsidRPr="002C4CAC">
          <w:rPr>
            <w:rStyle w:val="Hyperlink"/>
          </w:rPr>
          <w:t>https://www.brasildefato.com.br/podcast/brasil-de-fato-entrevista/2026/03/27/israel-destroi-e-se-apropria-da-cultura-alimentar-palestina/</w:t>
        </w:r>
      </w:hyperlink>
      <w:r w:rsidRPr="002C4CAC">
        <w:t>. Acesso em: 20 abril 2026.</w:t>
      </w:r>
    </w:p>
    <w:p w:rsidR="002C4CAC" w:rsidP="008D25BE" w:rsidRDefault="002C4CAC" w14:paraId="33067AD1" w14:textId="77777777">
      <w:pPr>
        <w:pStyle w:val="Corpodetexto"/>
        <w:spacing w:line="240" w:lineRule="auto"/>
      </w:pPr>
    </w:p>
    <w:p w:rsidR="003E0D13" w:rsidP="008D25BE" w:rsidRDefault="003E0D13" w14:paraId="553A9BA5" w14:textId="23CE3D0C">
      <w:pPr>
        <w:pStyle w:val="Corpodetexto"/>
        <w:spacing w:line="240" w:lineRule="auto"/>
      </w:pPr>
      <w:r w:rsidRPr="003E0D13">
        <w:t xml:space="preserve">RIBEIRO, Danielle. Estado e capital em István Mészáros. São Paulo: Cultura Acadêmica, 2014. Disponível em: </w:t>
      </w:r>
      <w:hyperlink w:history="1" r:id="rId164">
        <w:r w:rsidRPr="00525297">
          <w:rPr>
            <w:rStyle w:val="Hyperlink"/>
          </w:rPr>
          <w:t>https://repositorio.unesp.br/server/api/core/bitstreams/ab532a99-f666-4c8e-9bf2-9ab31228aa66/content</w:t>
        </w:r>
      </w:hyperlink>
      <w:r>
        <w:t xml:space="preserve"> </w:t>
      </w:r>
      <w:r w:rsidRPr="003E0D13">
        <w:t xml:space="preserve"> Acesso em: </w:t>
      </w:r>
      <w:r>
        <w:t>20</w:t>
      </w:r>
      <w:r w:rsidRPr="003E0D13">
        <w:t xml:space="preserve"> </w:t>
      </w:r>
      <w:r>
        <w:t>dezembro</w:t>
      </w:r>
      <w:r w:rsidRPr="003E0D13">
        <w:t xml:space="preserve">. </w:t>
      </w:r>
      <w:r>
        <w:t>2025</w:t>
      </w:r>
    </w:p>
    <w:p w:rsidR="003E0D13" w:rsidP="008D25BE" w:rsidRDefault="003E0D13" w14:paraId="5093EAB0" w14:textId="77777777">
      <w:pPr>
        <w:pStyle w:val="Corpodetexto"/>
        <w:spacing w:line="240" w:lineRule="auto"/>
      </w:pPr>
    </w:p>
    <w:p w:rsidRPr="00D5149D" w:rsidR="00D5149D" w:rsidP="008D25BE" w:rsidRDefault="00D5149D" w14:paraId="38C97E59" w14:textId="181447B7">
      <w:pPr>
        <w:pStyle w:val="Corpodetexto"/>
        <w:spacing w:line="240" w:lineRule="auto"/>
      </w:pPr>
      <w:r w:rsidRPr="00D5149D">
        <w:t>RODRIGUES, Lilian. Genocídio: história, conceito e tratamento jurídico. 2025.</w:t>
      </w:r>
      <w:r>
        <w:t xml:space="preserve"> Disponivel em:</w:t>
      </w:r>
      <w:r w:rsidR="00036B93">
        <w:t xml:space="preserve"> </w:t>
      </w:r>
      <w:hyperlink w:history="1" r:id="rId165">
        <w:r w:rsidRPr="00036B93">
          <w:rPr>
            <w:rStyle w:val="Hyperlink"/>
          </w:rPr>
          <w:t>https://atenaeditora.com.br/catalogo/post/genocidio-historia-conceito-e-trata</w:t>
        </w:r>
        <w:r w:rsidRPr="00036B93" w:rsidR="00036B93">
          <w:rPr>
            <w:rStyle w:val="Hyperlink"/>
          </w:rPr>
          <w:t xml:space="preserve"> </w:t>
        </w:r>
        <w:r w:rsidRPr="00036B93">
          <w:rPr>
            <w:rStyle w:val="Hyperlink"/>
          </w:rPr>
          <w:t>mento-juridic</w:t>
        </w:r>
        <w:r w:rsidRPr="00036B93" w:rsidR="00036B93">
          <w:rPr>
            <w:rStyle w:val="Hyperlink"/>
          </w:rPr>
          <w:t>o</w:t>
        </w:r>
      </w:hyperlink>
      <w:r w:rsidR="00036B93">
        <w:t xml:space="preserve"> . Acesso em 20 de abril de 2026</w:t>
      </w:r>
    </w:p>
    <w:p w:rsidR="00D5149D" w:rsidP="008D25BE" w:rsidRDefault="00D5149D" w14:paraId="3852E437" w14:textId="77777777">
      <w:pPr>
        <w:pStyle w:val="Corpodetexto"/>
        <w:spacing w:line="240" w:lineRule="auto"/>
      </w:pPr>
    </w:p>
    <w:p w:rsidRPr="00F441B6" w:rsidR="00F519DF" w:rsidP="008D25BE" w:rsidRDefault="00F519DF" w14:paraId="05437806" w14:textId="6D7E3C64">
      <w:r w:rsidRPr="00F441B6">
        <w:t>ROMEIRO, Elisabete T.; OLIVEIRA, Ivan D.; CARVALHO, Eliane F. “Insetos como alternativa alimentar”. Revista do Comportamento, Cultura e Sociedade, São Paulo, v. 4, n. 1, 2015.</w:t>
      </w:r>
      <w:r w:rsidR="00F441B6">
        <w:t xml:space="preserve"> Disponivel em: </w:t>
      </w:r>
      <w:hyperlink w:history="1" r:id="rId166">
        <w:r w:rsidRPr="00582934" w:rsidR="00F441B6">
          <w:rPr>
            <w:rStyle w:val="Hyperlink"/>
          </w:rPr>
          <w:t>https://www3.sp.senac.br/hotsites/blogs/revistacontextos/wp-content/uploads/2020/11/contexto_nov_2020.pdf</w:t>
        </w:r>
      </w:hyperlink>
      <w:r w:rsidR="00F441B6">
        <w:t xml:space="preserve"> . Acesso em 10 de abril de 2026</w:t>
      </w:r>
    </w:p>
    <w:p w:rsidR="002052A4" w:rsidP="008D25BE" w:rsidRDefault="002052A4" w14:paraId="6FC6C8C7" w14:textId="77777777"/>
    <w:p w:rsidRPr="00251127" w:rsidR="002052A4" w:rsidP="002052A4" w:rsidRDefault="002052A4" w14:paraId="533F4D17" w14:textId="7FEC032B">
      <w:pPr>
        <w:rPr>
          <w:lang w:val="en-US"/>
        </w:rPr>
      </w:pPr>
      <w:r w:rsidRPr="002052A4">
        <w:t xml:space="preserve">ROTH, Kenneth. Síria: eventos de 2017. </w:t>
      </w:r>
      <w:r w:rsidRPr="002052A4">
        <w:rPr>
          <w:lang w:val="en-US"/>
        </w:rPr>
        <w:t xml:space="preserve">Human Rights Watch, 2017. Disponível em: </w:t>
      </w:r>
      <w:hyperlink w:history="1" r:id="rId167">
        <w:r w:rsidRPr="002052A4">
          <w:rPr>
            <w:rStyle w:val="Hyperlink"/>
            <w:lang w:val="en-US"/>
          </w:rPr>
          <w:t>https://www.hrw.org/pt/world-report/country-chapters/syria</w:t>
        </w:r>
      </w:hyperlink>
      <w:r w:rsidRPr="002052A4">
        <w:rPr>
          <w:lang w:val="en-US"/>
        </w:rPr>
        <w:t xml:space="preserve">. </w:t>
      </w:r>
      <w:r w:rsidRPr="00251127">
        <w:rPr>
          <w:lang w:val="en-US"/>
        </w:rPr>
        <w:t>Acesso em: 10 março 2026.</w:t>
      </w:r>
    </w:p>
    <w:p w:rsidRPr="00251127" w:rsidR="00F519DF" w:rsidP="008D25BE" w:rsidRDefault="00F519DF" w14:paraId="07BD53C6" w14:textId="77777777">
      <w:pPr>
        <w:rPr>
          <w:lang w:val="en-US"/>
        </w:rPr>
      </w:pPr>
    </w:p>
    <w:p w:rsidRPr="003C56D5" w:rsidR="00882C81" w:rsidP="008D25BE" w:rsidRDefault="00882C81" w14:paraId="5E94C9D9" w14:textId="4BBC094B">
      <w:r w:rsidRPr="00903947">
        <w:rPr>
          <w:lang w:val="en-US"/>
        </w:rPr>
        <w:t>RUNGE, Carlisle Ford; GRAHAM, Linnea. </w:t>
      </w:r>
      <w:r w:rsidRPr="00882C81">
        <w:rPr>
          <w:lang w:val="en-US"/>
        </w:rPr>
        <w:t>Hunger as a weapon of war: Hitler’s Hunger Plan, Native American resettlement and starvation in Yemen. </w:t>
      </w:r>
      <w:r w:rsidRPr="00882C81">
        <w:rPr>
          <w:i/>
          <w:iCs/>
          <w:lang w:val="en-US"/>
        </w:rPr>
        <w:t>Food Policy</w:t>
      </w:r>
      <w:r w:rsidRPr="00882C81">
        <w:rPr>
          <w:lang w:val="en-US"/>
        </w:rPr>
        <w:t>, v. 92, 2020, art. 101835. Disponível em: </w:t>
      </w:r>
      <w:hyperlink w:tgtFrame="_blank" w:history="1" r:id="rId168">
        <w:r w:rsidRPr="00882C81">
          <w:rPr>
            <w:rStyle w:val="Hyperlink"/>
            <w:lang w:val="en-US"/>
          </w:rPr>
          <w:t>https://doi.org/10.1016/j.foodpol.2020.101835</w:t>
        </w:r>
      </w:hyperlink>
      <w:r w:rsidRPr="00882C81">
        <w:rPr>
          <w:lang w:val="en-US"/>
        </w:rPr>
        <w:t xml:space="preserve">. </w:t>
      </w:r>
      <w:r w:rsidRPr="003C56D5">
        <w:t>Acesso em: 16 mar. 2026.</w:t>
      </w:r>
    </w:p>
    <w:p w:rsidRPr="003C56D5" w:rsidR="00882C81" w:rsidP="008D25BE" w:rsidRDefault="00882C81" w14:paraId="32DCE047" w14:textId="77777777">
      <w:pPr>
        <w:pStyle w:val="Corpodetexto"/>
        <w:spacing w:line="240" w:lineRule="auto"/>
      </w:pPr>
    </w:p>
    <w:p w:rsidRPr="003C56D5" w:rsidR="006E1262" w:rsidP="008D25BE" w:rsidRDefault="006E1262" w14:paraId="1B75DB54" w14:textId="77777777">
      <w:pPr>
        <w:pStyle w:val="Corpodetexto"/>
        <w:spacing w:line="240" w:lineRule="auto"/>
        <w:rPr>
          <w:lang w:val="en-US"/>
        </w:rPr>
      </w:pPr>
      <w:r w:rsidRPr="006E1262">
        <w:t xml:space="preserve">SÁ BRITO, Fernanda Ribeiro dos Santos de; BAPTISTA, Tatiana Wargas de Faria. Sentidos e usos da fome no debate político brasileiro: recorrência e atualidade. Cadernos de Saúde Pública, Rio de Janeiro, v. 38, n. 4, e00201621, 2022. Disponível em: </w:t>
      </w:r>
      <w:hyperlink w:tgtFrame="_blank" w:history="1" r:id="rId169">
        <w:r w:rsidRPr="006E1262">
          <w:rPr>
            <w:rStyle w:val="Hyperlink"/>
          </w:rPr>
          <w:t>https://cadernos.ensp.fiocruz.br/ojs/index.php/csp/article/view/7841</w:t>
        </w:r>
      </w:hyperlink>
      <w:r w:rsidRPr="006E1262">
        <w:t xml:space="preserve">. </w:t>
      </w:r>
      <w:r w:rsidRPr="003C56D5">
        <w:rPr>
          <w:lang w:val="en-US"/>
        </w:rPr>
        <w:t>Acesso em: 24 mar. 2026.</w:t>
      </w:r>
    </w:p>
    <w:p w:rsidRPr="0096705A" w:rsidR="006E1262" w:rsidP="008D25BE" w:rsidRDefault="006E1262" w14:paraId="33575B3D" w14:textId="77777777">
      <w:pPr>
        <w:pStyle w:val="Corpodetexto"/>
        <w:spacing w:line="240" w:lineRule="auto"/>
        <w:rPr>
          <w:lang w:val="en-US"/>
        </w:rPr>
      </w:pPr>
    </w:p>
    <w:p w:rsidRPr="00363ADB" w:rsidR="00832C4E" w:rsidP="008D25BE" w:rsidRDefault="00832C4E" w14:paraId="10B1A980" w14:textId="105D6BAA">
      <w:r w:rsidRPr="00D91821">
        <w:rPr>
          <w:lang w:val="en-US"/>
        </w:rPr>
        <w:t xml:space="preserve">SAID, Edward W. The question of Palestine. </w:t>
      </w:r>
      <w:r w:rsidRPr="00363ADB">
        <w:rPr>
          <w:lang w:val="en-US"/>
        </w:rPr>
        <w:t>New York: Vintage Books, 2012.</w:t>
      </w:r>
      <w:r w:rsidRPr="00363ADB" w:rsidR="00363ADB">
        <w:rPr>
          <w:lang w:val="en-US"/>
        </w:rPr>
        <w:t xml:space="preserve"> </w:t>
      </w:r>
      <w:r w:rsidRPr="001E5CC2" w:rsidR="00363ADB">
        <w:rPr>
          <w:lang w:val="en-US"/>
        </w:rPr>
        <w:t xml:space="preserve">Disponivel em: </w:t>
      </w:r>
      <w:hyperlink w:history="1" r:id="rId170">
        <w:r w:rsidRPr="001E5CC2" w:rsidR="00363ADB">
          <w:rPr>
            <w:rStyle w:val="Hyperlink"/>
            <w:lang w:val="en-US"/>
          </w:rPr>
          <w:t>https://yplus.ps/wp-content/uploads/2021/01/Said-Edward-The-Question-of-Palestine.pdf</w:t>
        </w:r>
      </w:hyperlink>
      <w:r w:rsidRPr="001E5CC2" w:rsidR="00363ADB">
        <w:rPr>
          <w:lang w:val="en-US"/>
        </w:rPr>
        <w:t xml:space="preserve">. </w:t>
      </w:r>
      <w:r w:rsidR="00363ADB">
        <w:t>Acesso em 20 de dezembro de 2025</w:t>
      </w:r>
    </w:p>
    <w:p w:rsidRPr="00363ADB" w:rsidR="00C23AC3" w:rsidP="008D25BE" w:rsidRDefault="00C23AC3" w14:paraId="25018313" w14:textId="77777777"/>
    <w:p w:rsidRPr="00042F86" w:rsidR="00042F86" w:rsidP="008D25BE" w:rsidRDefault="00042F86" w14:paraId="603F2DE9" w14:textId="4B0964F1">
      <w:r w:rsidRPr="00042F86">
        <w:t>SAHD, Fábio Bacila. Conflito, discriminação e segregação na Palestina ocupada: etnocracia como síntese teórica possível. Revista Tempo e Argumento, Florianópolis</w:t>
      </w:r>
      <w:r>
        <w:t>.</w:t>
      </w:r>
      <w:r w:rsidRPr="00042F86">
        <w:t xml:space="preserve">DOI: 10.5965/2175180313322021e0107. Disponível em: </w:t>
      </w:r>
      <w:hyperlink w:history="1" r:id="rId171">
        <w:r w:rsidRPr="00582934" w:rsidR="00F441B6">
          <w:rPr>
            <w:rStyle w:val="Hyperlink"/>
          </w:rPr>
          <w:t>https://revistas.udesc.br/index.php/tempo/article/view/2175180313322021e0107</w:t>
        </w:r>
      </w:hyperlink>
      <w:r w:rsidR="00F441B6">
        <w:t xml:space="preserve"> </w:t>
      </w:r>
      <w:r w:rsidRPr="00042F86">
        <w:t xml:space="preserve">. Acesso em: </w:t>
      </w:r>
      <w:r>
        <w:t>10</w:t>
      </w:r>
      <w:r w:rsidRPr="00042F86">
        <w:t xml:space="preserve"> m</w:t>
      </w:r>
      <w:r>
        <w:t>arço</w:t>
      </w:r>
      <w:r w:rsidRPr="00042F86">
        <w:t xml:space="preserve"> 2026.</w:t>
      </w:r>
    </w:p>
    <w:p w:rsidR="006839F3" w:rsidP="008D25BE" w:rsidRDefault="006839F3" w14:paraId="609BACC8" w14:textId="77777777"/>
    <w:p w:rsidRPr="00461FF1" w:rsidR="00832C4E" w:rsidP="008D25BE" w:rsidRDefault="006839F3" w14:paraId="74A54232" w14:textId="50F49DC2">
      <w:r w:rsidRPr="006839F3">
        <w:t>SANTOS, Leticia. Fome como arma: de Gaza ao Brasil, o extermínio silencioso de um povo. Jornal O Casarão, out. 2025. Disponível em: </w:t>
      </w:r>
      <w:hyperlink w:tgtFrame="_blank" w:history="1" r:id="rId172">
        <w:r w:rsidRPr="006839F3">
          <w:rPr>
            <w:rStyle w:val="Hyperlink"/>
          </w:rPr>
          <w:t>https://jornalocasarao.uff.br/2025/10/11/fome-como-arma-de-gaza-ao-brasil-o-exterminio-silencioso-de-um-povo/</w:t>
        </w:r>
      </w:hyperlink>
      <w:r w:rsidRPr="006839F3">
        <w:t xml:space="preserve">. </w:t>
      </w:r>
      <w:r w:rsidRPr="00461FF1">
        <w:t>Acesso em: 14 maio 2026.</w:t>
      </w:r>
    </w:p>
    <w:p w:rsidR="00A73ABA" w:rsidP="008D25BE" w:rsidRDefault="00A73ABA" w14:paraId="398173B0" w14:textId="77777777"/>
    <w:p w:rsidRPr="00461FF1" w:rsidR="00A73ABA" w:rsidP="008D25BE" w:rsidRDefault="00A73ABA" w14:paraId="36400460" w14:textId="77777777">
      <w:pPr>
        <w:rPr>
          <w:lang w:val="en-US"/>
        </w:rPr>
      </w:pPr>
      <w:r>
        <w:t xml:space="preserve">SCHAER, Cathrin. </w:t>
      </w:r>
      <w:r w:rsidRPr="00165106">
        <w:t xml:space="preserve">Fome: um crime de guerra que permanece impune. </w:t>
      </w:r>
      <w:r w:rsidRPr="001E5CC2">
        <w:t xml:space="preserve">Deutsche Welle, Bonn, 18 ago. 2025. </w:t>
      </w:r>
      <w:r w:rsidRPr="00A73ABA">
        <w:t xml:space="preserve">Disponível em: </w:t>
      </w:r>
      <w:hyperlink w:history="1" r:id="rId173">
        <w:r w:rsidRPr="00CD4EFE">
          <w:rPr>
            <w:rStyle w:val="Hyperlink"/>
          </w:rPr>
          <w:t>https://www.dw.com/pt-br/fome-um-crime-de-guerra-que-permanece-impune/a-73679013</w:t>
        </w:r>
      </w:hyperlink>
      <w:r>
        <w:t xml:space="preserve">. </w:t>
      </w:r>
      <w:r w:rsidRPr="00A73ABA">
        <w:t xml:space="preserve"> </w:t>
      </w:r>
      <w:r w:rsidRPr="00461FF1">
        <w:rPr>
          <w:lang w:val="en-US"/>
        </w:rPr>
        <w:t>Acesso em: 18 mar. 2026.</w:t>
      </w:r>
    </w:p>
    <w:p w:rsidRPr="001E5CC2" w:rsidR="00A73ABA" w:rsidP="008D25BE" w:rsidRDefault="00A73ABA" w14:paraId="71D9543C" w14:textId="77777777">
      <w:pPr>
        <w:rPr>
          <w:lang w:val="en-US"/>
        </w:rPr>
      </w:pPr>
    </w:p>
    <w:p w:rsidR="00832C4E" w:rsidP="008D25BE" w:rsidRDefault="00832C4E" w14:paraId="1066945A" w14:textId="2B303D1D">
      <w:pPr>
        <w:rPr>
          <w:lang w:val="en-US"/>
        </w:rPr>
      </w:pPr>
      <w:r w:rsidRPr="00903947">
        <w:rPr>
          <w:lang w:val="en-US"/>
        </w:rPr>
        <w:t>SCHATZKI, Theodore. </w:t>
      </w:r>
      <w:r w:rsidRPr="00D91821">
        <w:rPr>
          <w:lang w:val="en-US"/>
        </w:rPr>
        <w:t>The site of the social: a philosophical account of the constitution of social life and change. University Park: Penn State University Press, 2002.</w:t>
      </w:r>
    </w:p>
    <w:p w:rsidRPr="00D91821" w:rsidR="00157BD3" w:rsidP="008D25BE" w:rsidRDefault="00157BD3" w14:paraId="62FE1EDB" w14:textId="77777777">
      <w:pPr>
        <w:rPr>
          <w:lang w:val="en-US"/>
        </w:rPr>
      </w:pPr>
    </w:p>
    <w:p w:rsidRPr="00251127" w:rsidR="00832C4E" w:rsidP="008D25BE" w:rsidRDefault="00832C4E" w14:paraId="4A560C4C" w14:textId="72C03A3B">
      <w:r w:rsidRPr="00D91821">
        <w:rPr>
          <w:lang w:val="en-US"/>
        </w:rPr>
        <w:t xml:space="preserve">SEN, Amartya. Desenvolvimento como liberdade. </w:t>
      </w:r>
      <w:r w:rsidRPr="00D91821">
        <w:t>São Paulo: Companhia das Letras, 20</w:t>
      </w:r>
      <w:r w:rsidR="00157BD3">
        <w:t>10</w:t>
      </w:r>
      <w:r w:rsidRPr="00D91821">
        <w:t>.</w:t>
      </w:r>
      <w:r w:rsidR="00157BD3">
        <w:t xml:space="preserve"> Disponivel em: </w:t>
      </w:r>
      <w:hyperlink w:history="1" r:id="rId174">
        <w:r w:rsidRPr="00525297" w:rsidR="00157BD3">
          <w:rPr>
            <w:rStyle w:val="Hyperlink"/>
          </w:rPr>
          <w:t>https://dagobah.com.br/wp-content/uploads/2024/11/SEN-Amartya-Desenvolvimento-como-liberdade.pdf</w:t>
        </w:r>
      </w:hyperlink>
      <w:r w:rsidR="00157BD3">
        <w:t xml:space="preserve">. </w:t>
      </w:r>
      <w:r w:rsidRPr="00251127" w:rsidR="00157BD3">
        <w:t>Acesso em: 20 de dezembro de 2026</w:t>
      </w:r>
    </w:p>
    <w:p w:rsidRPr="00251127" w:rsidR="00B57B6D" w:rsidP="008D25BE" w:rsidRDefault="00B57B6D" w14:paraId="4E6D5DE2" w14:textId="77777777"/>
    <w:p w:rsidRPr="00F441B6" w:rsidR="00B57B6D" w:rsidP="00B57B6D" w:rsidRDefault="00B57B6D" w14:paraId="2B2AF621" w14:textId="04E40857">
      <w:pPr>
        <w:rPr>
          <w:lang w:val="en-US"/>
        </w:rPr>
      </w:pPr>
      <w:r w:rsidRPr="00F441B6">
        <w:t xml:space="preserve">SERAFINI, Giovana de C. Cavalcante; JACQUES, Tatiana Guimarães. Alimento, memória e afeto. Correio APPOA, 2018. Disponível em: </w:t>
      </w:r>
      <w:hyperlink w:history="1" r:id="rId175">
        <w:r w:rsidRPr="00F441B6">
          <w:rPr>
            <w:rStyle w:val="Hyperlink"/>
          </w:rPr>
          <w:t>https://appoa.org.br/correio/edicao/277/alimento_memoria_e_afeto/587</w:t>
        </w:r>
      </w:hyperlink>
      <w:r w:rsidRPr="00F441B6">
        <w:t xml:space="preserve">. </w:t>
      </w:r>
      <w:r w:rsidRPr="00F441B6">
        <w:rPr>
          <w:lang w:val="en-US"/>
        </w:rPr>
        <w:t>Acesso em: 20 abril 2026.</w:t>
      </w:r>
    </w:p>
    <w:p w:rsidRPr="00E76721" w:rsidR="00B57B6D" w:rsidP="008D25BE" w:rsidRDefault="00B57B6D" w14:paraId="1F41EA92" w14:textId="77777777">
      <w:pPr>
        <w:rPr>
          <w:lang w:val="en-US"/>
        </w:rPr>
      </w:pPr>
    </w:p>
    <w:p w:rsidR="005E60F2" w:rsidP="008D25BE" w:rsidRDefault="005E60F2" w14:paraId="786ED0CA" w14:textId="77777777">
      <w:pPr>
        <w:rPr>
          <w:lang w:val="en-US"/>
        </w:rPr>
      </w:pPr>
    </w:p>
    <w:p w:rsidRPr="00F441B6" w:rsidR="005E60F2" w:rsidP="008D25BE" w:rsidRDefault="005E60F2" w14:paraId="1D2A69A0" w14:textId="77777777">
      <w:r w:rsidRPr="00F441B6">
        <w:rPr>
          <w:lang w:val="en-US"/>
        </w:rPr>
        <w:t xml:space="preserve">SHAW, D. John. World Food Security: A History since 1945. </w:t>
      </w:r>
      <w:r w:rsidRPr="00F441B6">
        <w:t xml:space="preserve">Basingstoke: Palgrave Macmillan, 2007. Disponível em: </w:t>
      </w:r>
      <w:hyperlink w:history="1" r:id="rId176">
        <w:r w:rsidRPr="00F441B6">
          <w:rPr>
            <w:rStyle w:val="Hyperlink"/>
          </w:rPr>
          <w:t>https://content.e-bookshelf.de/media/reading/L-421711-679d052a34.pdf</w:t>
        </w:r>
      </w:hyperlink>
      <w:r w:rsidRPr="00F441B6">
        <w:t>. Acesso em: 20 maio 2026.</w:t>
      </w:r>
    </w:p>
    <w:p w:rsidR="00832C4E" w:rsidP="008D25BE" w:rsidRDefault="00832C4E" w14:paraId="549F1C27" w14:textId="77777777">
      <w:pPr>
        <w:pStyle w:val="Corpodetexto"/>
        <w:spacing w:line="240" w:lineRule="auto"/>
      </w:pPr>
    </w:p>
    <w:p w:rsidRPr="0096705A" w:rsidR="00832C4E" w:rsidP="008D25BE" w:rsidRDefault="008D46EF" w14:paraId="5331E050" w14:textId="3B773029">
      <w:pPr>
        <w:pStyle w:val="Corpodetexto"/>
        <w:spacing w:line="240" w:lineRule="auto"/>
      </w:pPr>
      <w:r>
        <w:t xml:space="preserve">SILVA, Mariana Borges. O direito achado na rua: o ensino jurídico emancipatório pós-pandêmico. 2024. Tese (Doutorado em Direito) – Escola Superior de Agricultura “Luiz de Queiroz”, Universidade de São Paulo, Piracicaba. Disponível em: </w:t>
      </w:r>
      <w:hyperlink w:tgtFrame="_blank" r:id="rId177">
        <w:r>
          <w:rPr>
            <w:rStyle w:val="Hyperlink"/>
          </w:rPr>
          <w:t>https://teses.usp.br/teses/disponiveis/11/0/tde-20240301-151740/publico/725827.pdf</w:t>
        </w:r>
      </w:hyperlink>
      <w:r>
        <w:t xml:space="preserve">. </w:t>
      </w:r>
      <w:r w:rsidRPr="0096705A">
        <w:t>Acesso em: 1 dez. 2025.</w:t>
      </w:r>
    </w:p>
    <w:p w:rsidRPr="0096705A" w:rsidR="00882C81" w:rsidP="008D25BE" w:rsidRDefault="00882C81" w14:paraId="591569BC" w14:textId="77777777">
      <w:pPr>
        <w:pStyle w:val="Corpodetexto"/>
        <w:spacing w:line="240" w:lineRule="auto"/>
      </w:pPr>
    </w:p>
    <w:p w:rsidR="00832C4E" w:rsidP="008D25BE" w:rsidRDefault="00832C4E" w14:paraId="2889C6E0" w14:textId="77777777">
      <w:r w:rsidRPr="00D91821">
        <w:t>SILVA, Rodrigo. Genocídio alimentar silencioso: racismo e fome no Brasil contemporâneo. Revista de Estudos Críticos, São Paulo, v. 12, n. 1, p. 2-4, 2023.</w:t>
      </w:r>
    </w:p>
    <w:p w:rsidR="00E86C98" w:rsidP="008D25BE" w:rsidRDefault="00E86C98" w14:paraId="42438C40" w14:textId="77777777"/>
    <w:p w:rsidRPr="00E86C98" w:rsidR="00E86C98" w:rsidP="008D25BE" w:rsidRDefault="00E86C98" w14:paraId="2278E4FA" w14:textId="04D2FB57">
      <w:r w:rsidRPr="00E86C98">
        <w:t>SIMMEL, Georg. Sociologia da refeição. Tradução de Luiz de Castro Faria. [S. l.]: Scribd, [20</w:t>
      </w:r>
      <w:r>
        <w:t>04</w:t>
      </w:r>
      <w:r w:rsidRPr="00E86C98">
        <w:t xml:space="preserve">]. Disponível em: </w:t>
      </w:r>
      <w:hyperlink w:tgtFrame="_blank" w:history="1" r:id="rId178">
        <w:r w:rsidRPr="00E86C98">
          <w:rPr>
            <w:rStyle w:val="Hyperlink"/>
          </w:rPr>
          <w:t>https://pt.scribd.com/document/141545901/Georg-Simmel-Sociologia-da-Refeicao</w:t>
        </w:r>
      </w:hyperlink>
      <w:r w:rsidRPr="00E86C98">
        <w:t>. Acesso em: 24 mar. 2026.</w:t>
      </w:r>
    </w:p>
    <w:p w:rsidR="00832C4E" w:rsidP="008D25BE" w:rsidRDefault="00832C4E" w14:paraId="14B4388E" w14:textId="77777777"/>
    <w:p w:rsidRPr="0096705A" w:rsidR="00832C4E" w:rsidP="008D25BE" w:rsidRDefault="00832C4E" w14:paraId="7C9B958D" w14:textId="05280823">
      <w:r w:rsidRPr="00D91821">
        <w:t xml:space="preserve">SOARES, Teresa Labrunie Calmon. Genocídio na Terra Indígena Yanomami </w:t>
      </w:r>
      <w:r w:rsidR="00F441B6">
        <w:t>2024.</w:t>
      </w:r>
      <w:r w:rsidRPr="00D91821">
        <w:t xml:space="preserve"> </w:t>
      </w:r>
      <w:r w:rsidRPr="0096705A">
        <w:t>Brasília: Universidade de Brasília, 2024.</w:t>
      </w:r>
      <w:r w:rsidR="000033B8">
        <w:t xml:space="preserve"> Disponivel em: </w:t>
      </w:r>
      <w:hyperlink w:history="1" r:id="rId179">
        <w:r w:rsidRPr="00582934" w:rsidR="00F441B6">
          <w:rPr>
            <w:rStyle w:val="Hyperlink"/>
          </w:rPr>
          <w:t>https://repositorio.unb.br/bitstream/10482/53539/1/2024_TeresaLabrunieCalmonSoares_DISSERT.pdf</w:t>
        </w:r>
      </w:hyperlink>
      <w:r w:rsidR="00F441B6">
        <w:t xml:space="preserve"> Acesso em 20 janeiro de 2026</w:t>
      </w:r>
    </w:p>
    <w:p w:rsidR="00DB48B8" w:rsidP="008D25BE" w:rsidRDefault="00DB48B8" w14:paraId="708C53ED" w14:textId="77777777"/>
    <w:p w:rsidRPr="00B03D97" w:rsidR="00B03D97" w:rsidP="008D25BE" w:rsidRDefault="00B03D97" w14:paraId="568A1672" w14:textId="7E44F74F">
      <w:r w:rsidRPr="00B03D97">
        <w:t xml:space="preserve">SOUZA, Rafael Nascimento de; SABÓIA, Gabriel. Garimpo contra a fome: sem comida, moradores do Rio recorrem a restos de ossos e carne rejeitados por supermercados. Extra, 29 set. 2021. Disponível em: </w:t>
      </w:r>
      <w:hyperlink w:history="1" r:id="rId180">
        <w:r w:rsidRPr="00582934" w:rsidR="00F441B6">
          <w:rPr>
            <w:rStyle w:val="Hyperlink"/>
          </w:rPr>
          <w:t>https://extra.globo.com/noticias/rio/garimpo-contra-fome-sem-comida-moradores-do-rio-recorrem-restos-de-ossos-carne-rejeitados-por-supermercados-25216735.html</w:t>
        </w:r>
      </w:hyperlink>
      <w:r w:rsidRPr="00B03D97">
        <w:t>.</w:t>
      </w:r>
      <w:r w:rsidR="00F441B6">
        <w:t xml:space="preserve"> </w:t>
      </w:r>
      <w:r w:rsidRPr="00B03D97">
        <w:t>Acesso em: 10 abril 2026</w:t>
      </w:r>
    </w:p>
    <w:p w:rsidR="00B03D97" w:rsidP="008D25BE" w:rsidRDefault="00B03D97" w14:paraId="26B91A09" w14:textId="05AB88F6"/>
    <w:p w:rsidRPr="00F441B6" w:rsidR="00DB48B8" w:rsidP="008D25BE" w:rsidRDefault="008D46EF" w14:paraId="708C53EE" w14:textId="538C6259">
      <w:r>
        <w:t xml:space="preserve">STANISLAVSKI, Ricardo Ostrovski; GONÇALVES, Ane Elise Brandalise. A natureza jurídica do direito agrário e sua evolução em prol de um status misto da disciplina. </w:t>
      </w:r>
      <w:r w:rsidRPr="00F441B6">
        <w:t>Academia do Direito, v. 6, p. 714-734, 2024.</w:t>
      </w:r>
      <w:r w:rsidRPr="00F441B6" w:rsidR="00F441B6">
        <w:t xml:space="preserve"> Disponivel em: </w:t>
      </w:r>
      <w:hyperlink w:history="1" r:id="rId181">
        <w:r w:rsidRPr="00582934" w:rsidR="00F441B6">
          <w:rPr>
            <w:rStyle w:val="Hyperlink"/>
          </w:rPr>
          <w:t>https://www.periodicos.unc.br/index.php/acaddir/article/view/4427</w:t>
        </w:r>
      </w:hyperlink>
      <w:r w:rsidR="00F441B6">
        <w:t xml:space="preserve"> Acesso em 20 de novembro de 2026</w:t>
      </w:r>
    </w:p>
    <w:p w:rsidRPr="00F441B6" w:rsidR="00C158F5" w:rsidP="008D25BE" w:rsidRDefault="00C158F5" w14:paraId="183CD12F" w14:textId="77777777"/>
    <w:p w:rsidRPr="00461FF1" w:rsidR="00C158F5" w:rsidP="008D25BE" w:rsidRDefault="00C158F5" w14:paraId="4946153F" w14:textId="77777777">
      <w:r w:rsidRPr="00165106">
        <w:rPr>
          <w:lang w:val="en-US"/>
        </w:rPr>
        <w:t xml:space="preserve">STARVATION ACCOUNTABILITY. Starvation amendment to the Rome Statute: legal consistency. </w:t>
      </w:r>
      <w:r w:rsidRPr="00461FF1">
        <w:t>Policy Paper, 2019.​</w:t>
      </w:r>
    </w:p>
    <w:p w:rsidRPr="00461FF1" w:rsidR="00882C81" w:rsidP="008D25BE" w:rsidRDefault="00882C81" w14:paraId="050DF0DB" w14:textId="77777777"/>
    <w:p w:rsidRPr="00461FF1" w:rsidR="00C63D65" w:rsidP="008D25BE" w:rsidRDefault="00C63D65" w14:paraId="613A1CC1" w14:textId="78D499E3">
      <w:pPr>
        <w:rPr>
          <w:lang w:val="en-US"/>
        </w:rPr>
      </w:pPr>
      <w:r w:rsidRPr="00C63D65">
        <w:t xml:space="preserve">TAMIMI, Sarah; HAQ, Sana Noor. Líbano acusa Israel de destruir terras agrícolas em ataques. CNN Brasil, 2024. Disponível em: </w:t>
      </w:r>
      <w:hyperlink w:history="1" r:id="rId182">
        <w:r w:rsidRPr="005076B2" w:rsidR="009662DC">
          <w:rPr>
            <w:rStyle w:val="Hyperlink"/>
          </w:rPr>
          <w:t>https://www.cnnbrasil.com.br/internacional/libano-acusa-israel-de-destruir-terras-agricolas-em-ataques/</w:t>
        </w:r>
      </w:hyperlink>
      <w:r w:rsidR="009662DC">
        <w:t xml:space="preserve"> </w:t>
      </w:r>
      <w:r w:rsidRPr="00C63D65">
        <w:t xml:space="preserve">. </w:t>
      </w:r>
      <w:r w:rsidRPr="00461FF1">
        <w:rPr>
          <w:lang w:val="en-US"/>
        </w:rPr>
        <w:t>Acesso em: 20 abril. 2026</w:t>
      </w:r>
    </w:p>
    <w:p w:rsidRPr="0007759B" w:rsidR="00C63D65" w:rsidP="008D25BE" w:rsidRDefault="00C63D65" w14:paraId="6EE777E5" w14:textId="77777777">
      <w:pPr>
        <w:rPr>
          <w:lang w:val="en-US"/>
        </w:rPr>
      </w:pPr>
    </w:p>
    <w:p w:rsidRPr="009662DC" w:rsidR="00882C81" w:rsidP="008D25BE" w:rsidRDefault="00882C81" w14:paraId="22CC9CEE" w14:textId="6F0583B8">
      <w:r w:rsidRPr="009662DC">
        <w:rPr>
          <w:lang w:val="en-US"/>
        </w:rPr>
        <w:t>TAUGER, Mark. The 1932 harvest and the Soviet famine of 1932–1933. </w:t>
      </w:r>
      <w:r w:rsidRPr="00251127">
        <w:t xml:space="preserve">Journal of Economic History, v. 61, n. 4, p. 873–910, </w:t>
      </w:r>
      <w:r w:rsidRPr="00251127" w:rsidR="009662DC">
        <w:t>1991</w:t>
      </w:r>
      <w:r w:rsidRPr="00251127">
        <w:t>.</w:t>
      </w:r>
      <w:r w:rsidRPr="00251127" w:rsidR="009662DC">
        <w:t xml:space="preserve"> </w:t>
      </w:r>
      <w:r w:rsidRPr="009662DC" w:rsidR="009662DC">
        <w:t xml:space="preserve">Disponivel em: </w:t>
      </w:r>
      <w:hyperlink w:history="1" r:id="rId183">
        <w:r w:rsidRPr="009662DC" w:rsidR="009662DC">
          <w:rPr>
            <w:rStyle w:val="Hyperlink"/>
          </w:rPr>
          <w:t>https://www.jstor.org/stable/2500600</w:t>
        </w:r>
      </w:hyperlink>
      <w:r w:rsidRPr="009662DC" w:rsidR="009662DC">
        <w:t xml:space="preserve"> Acesso em 9 de</w:t>
      </w:r>
      <w:r w:rsidR="009662DC">
        <w:t xml:space="preserve"> março de 2026</w:t>
      </w:r>
    </w:p>
    <w:p w:rsidRPr="009662DC" w:rsidR="00882C81" w:rsidP="008D25BE" w:rsidRDefault="00882C81" w14:paraId="3274DC96" w14:textId="77777777"/>
    <w:p w:rsidRPr="00E06240" w:rsidR="00E06240" w:rsidP="00E06240" w:rsidRDefault="00E06240" w14:paraId="517695C9" w14:textId="77777777">
      <w:pPr>
        <w:rPr>
          <w:color w:val="000000"/>
        </w:rPr>
      </w:pPr>
      <w:r w:rsidRPr="00E06240">
        <w:rPr>
          <w:color w:val="000000"/>
        </w:rPr>
        <w:t>TAVARES, André Ramos. Curso de Direito Constitucional. 19. ed., rev. e atual. São Paulo: Saraiva Jur, 2021.</w:t>
      </w:r>
    </w:p>
    <w:p w:rsidRPr="003C56D5" w:rsidR="00C23AC3" w:rsidP="008D25BE" w:rsidRDefault="00C23AC3" w14:paraId="1E11D968" w14:textId="77777777"/>
    <w:p w:rsidRPr="00F36165" w:rsidR="008D7135" w:rsidP="008D25BE" w:rsidRDefault="008D7135" w14:paraId="5F632E4B" w14:textId="77777777">
      <w:pPr>
        <w:rPr>
          <w:color w:val="000000"/>
        </w:rPr>
      </w:pPr>
      <w:r w:rsidRPr="00F36165">
        <w:rPr>
          <w:color w:val="000000"/>
        </w:rPr>
        <w:t>TEMPORALIDADES. A postura do Fatah e do Hamas em relação à solução de dois Estados. Temporalidades: Revista de História, Belo Horizonte: UFMG, v. x, n. y, p. xx</w:t>
      </w:r>
      <w:r w:rsidRPr="00F36165">
        <w:rPr>
          <w:color w:val="000000"/>
        </w:rPr>
        <w:noBreakHyphen/>
      </w:r>
      <w:r w:rsidRPr="00F36165">
        <w:rPr>
          <w:color w:val="000000"/>
        </w:rPr>
        <w:t>yy, 2019.[</w:t>
      </w:r>
      <w:hyperlink w:history="1" r:id="rId184">
        <w:r w:rsidRPr="00F36165">
          <w:rPr>
            <w:rStyle w:val="Hyperlink"/>
          </w:rPr>
          <w:t>periodicos-des.cecom.ufmg</w:t>
        </w:r>
      </w:hyperlink>
      <w:r w:rsidRPr="00F36165">
        <w:rPr>
          <w:color w:val="000000"/>
        </w:rPr>
        <w:t>]​[</w:t>
      </w:r>
      <w:hyperlink w:history="1" r:id="rId185">
        <w:r w:rsidRPr="00F36165">
          <w:rPr>
            <w:rStyle w:val="Hyperlink"/>
          </w:rPr>
          <w:t>ppl-ai-file-upload.s3.amazonaws</w:t>
        </w:r>
      </w:hyperlink>
      <w:r w:rsidRPr="00F36165">
        <w:rPr>
          <w:color w:val="000000"/>
        </w:rPr>
        <w:t>]​</w:t>
      </w:r>
    </w:p>
    <w:p w:rsidRPr="00251127" w:rsidR="00441218" w:rsidP="008D25BE" w:rsidRDefault="00441218" w14:paraId="0BDD7FB4" w14:textId="77777777"/>
    <w:p w:rsidRPr="00F36165" w:rsidR="008D7135" w:rsidP="008D25BE" w:rsidRDefault="008D7135" w14:paraId="209D9629" w14:textId="77777777">
      <w:pPr>
        <w:rPr>
          <w:color w:val="000000"/>
        </w:rPr>
      </w:pPr>
      <w:r w:rsidRPr="00F36165">
        <w:rPr>
          <w:color w:val="000000"/>
          <w:lang w:val="en-US"/>
        </w:rPr>
        <w:t xml:space="preserve">THE NEW ARAB. Israel’s ‘red lines’ for Gaza. </w:t>
      </w:r>
      <w:r w:rsidRPr="00F36165">
        <w:rPr>
          <w:color w:val="000000"/>
        </w:rPr>
        <w:t>The New Arab, 2018. Disponível em: </w:t>
      </w:r>
      <w:hyperlink w:tgtFrame="_blank" w:history="1" r:id="rId186">
        <w:r w:rsidRPr="00F36165">
          <w:rPr>
            <w:rStyle w:val="Hyperlink"/>
          </w:rPr>
          <w:t>https://www.newarab.com</w:t>
        </w:r>
      </w:hyperlink>
      <w:r w:rsidRPr="00F36165">
        <w:rPr>
          <w:color w:val="000000"/>
        </w:rPr>
        <w:t>. Acesso em: [data].[</w:t>
      </w:r>
      <w:hyperlink w:history="1" r:id="rId187">
        <w:r w:rsidRPr="00F36165">
          <w:rPr>
            <w:rStyle w:val="Hyperlink"/>
          </w:rPr>
          <w:t>ppl-ai-file-upload.s3.amazonaws</w:t>
        </w:r>
      </w:hyperlink>
      <w:r w:rsidRPr="00F36165">
        <w:rPr>
          <w:color w:val="000000"/>
        </w:rPr>
        <w:t>]​</w:t>
      </w:r>
    </w:p>
    <w:p w:rsidR="00C158F5" w:rsidP="008D25BE" w:rsidRDefault="00C158F5" w14:paraId="364AE628" w14:textId="77777777"/>
    <w:p w:rsidRPr="008D25BE" w:rsidR="008D25BE" w:rsidP="008D25BE" w:rsidRDefault="008D25BE" w14:paraId="425D58F4" w14:textId="5EF2DE4A">
      <w:pPr>
        <w:rPr>
          <w:color w:val="000000"/>
        </w:rPr>
      </w:pPr>
      <w:r w:rsidRPr="008D25BE">
        <w:rPr>
          <w:color w:val="000000"/>
        </w:rPr>
        <w:t>TRINDADE, Antônio Augusto Cançado; BARROS, César</w:t>
      </w:r>
      <w:r>
        <w:rPr>
          <w:color w:val="000000"/>
        </w:rPr>
        <w:t xml:space="preserve"> Leal</w:t>
      </w:r>
      <w:r w:rsidRPr="008D25BE">
        <w:rPr>
          <w:color w:val="000000"/>
        </w:rPr>
        <w:t xml:space="preserve">. Direitos Humanos e Meio Ambiente. Fortaleza: Expressão Gráfica e Editora, 2017. Disponível em: </w:t>
      </w:r>
      <w:hyperlink w:history="1" r:id="rId188">
        <w:r w:rsidRPr="008D25BE">
          <w:rPr>
            <w:rStyle w:val="Hyperlink"/>
          </w:rPr>
          <w:t>https://ibdh.org.br/wp-content/uploads/2016/02/44600-Portugu%C3%AAs-Direitos-humanos-e-meio-ambiente.indd_.pdf</w:t>
        </w:r>
      </w:hyperlink>
      <w:r w:rsidRPr="008D25BE">
        <w:rPr>
          <w:color w:val="000000"/>
        </w:rPr>
        <w:t xml:space="preserve">. Acesso em: 20 </w:t>
      </w:r>
      <w:r>
        <w:rPr>
          <w:color w:val="000000"/>
        </w:rPr>
        <w:t>fevereiro</w:t>
      </w:r>
      <w:r w:rsidRPr="008D25BE">
        <w:rPr>
          <w:color w:val="000000"/>
        </w:rPr>
        <w:t xml:space="preserve"> 2026.</w:t>
      </w:r>
    </w:p>
    <w:p w:rsidRPr="00C143C9" w:rsidR="00C23AC3" w:rsidP="008D25BE" w:rsidRDefault="00C23AC3" w14:paraId="5D4367FB" w14:textId="77777777"/>
    <w:p w:rsidRPr="00165106" w:rsidR="00C158F5" w:rsidP="008D25BE" w:rsidRDefault="00C158F5" w14:paraId="451919ED" w14:textId="77777777">
      <w:pPr>
        <w:rPr>
          <w:lang w:val="en-US"/>
        </w:rPr>
      </w:pPr>
      <w:r w:rsidRPr="00165106">
        <w:t>TPIJ. TRIBUNAL PENAL INTERNACIONAL PARA A EX</w:t>
      </w:r>
      <w:r w:rsidRPr="00165106">
        <w:noBreakHyphen/>
      </w:r>
      <w:r w:rsidRPr="00165106">
        <w:t xml:space="preserve">IUGOSLÁVIA. </w:t>
      </w:r>
      <w:r w:rsidRPr="003C56D5">
        <w:rPr>
          <w:lang w:val="en-US"/>
        </w:rPr>
        <w:t>Prosecutor v. Stanislav Galić, Case IT</w:t>
      </w:r>
      <w:r w:rsidRPr="003C56D5">
        <w:rPr>
          <w:lang w:val="en-US"/>
        </w:rPr>
        <w:noBreakHyphen/>
      </w:r>
      <w:r w:rsidRPr="003C56D5">
        <w:rPr>
          <w:lang w:val="en-US"/>
        </w:rPr>
        <w:t>98</w:t>
      </w:r>
      <w:r w:rsidRPr="003C56D5">
        <w:rPr>
          <w:lang w:val="en-US"/>
        </w:rPr>
        <w:noBreakHyphen/>
      </w:r>
      <w:r w:rsidRPr="003C56D5">
        <w:rPr>
          <w:lang w:val="en-US"/>
        </w:rPr>
        <w:t>29</w:t>
      </w:r>
      <w:r w:rsidRPr="003C56D5">
        <w:rPr>
          <w:lang w:val="en-US"/>
        </w:rPr>
        <w:noBreakHyphen/>
      </w:r>
      <w:r w:rsidRPr="003C56D5">
        <w:rPr>
          <w:lang w:val="en-US"/>
        </w:rPr>
        <w:t xml:space="preserve">T. Judgement. </w:t>
      </w:r>
      <w:r w:rsidRPr="00165106">
        <w:rPr>
          <w:lang w:val="en-US"/>
        </w:rPr>
        <w:t>The Hague, 2003.​</w:t>
      </w:r>
    </w:p>
    <w:p w:rsidR="00882C81" w:rsidP="008D25BE" w:rsidRDefault="00882C81" w14:paraId="0B59E790" w14:textId="77777777">
      <w:pPr>
        <w:rPr>
          <w:lang w:val="en-US"/>
        </w:rPr>
      </w:pPr>
    </w:p>
    <w:p w:rsidRPr="0066328D" w:rsidR="00C158F5" w:rsidP="008D25BE" w:rsidRDefault="00C158F5" w14:paraId="562F564D" w14:textId="3D1C54BE">
      <w:r w:rsidRPr="00165106">
        <w:rPr>
          <w:lang w:val="en-US"/>
        </w:rPr>
        <w:t xml:space="preserve">UNIÃO AFRICANA. Protocol on amendments to the Protocol on the Statute of the African Court of Justice and Human Rights (Malabo Protocol). </w:t>
      </w:r>
      <w:r w:rsidRPr="0066328D">
        <w:t>Malabo, 2014.</w:t>
      </w:r>
      <w:r w:rsidRPr="0066328D" w:rsidR="0066328D">
        <w:t xml:space="preserve"> Disponivel em: </w:t>
      </w:r>
      <w:hyperlink w:history="1" r:id="rId189">
        <w:r w:rsidRPr="00CD4EFE" w:rsidR="0066328D">
          <w:rPr>
            <w:rStyle w:val="Hyperlink"/>
          </w:rPr>
          <w:t>https://www.jstor.org/stable/48581918</w:t>
        </w:r>
      </w:hyperlink>
      <w:r w:rsidR="0066328D">
        <w:t>. Acesso em: 20 de abril de 2026</w:t>
      </w:r>
    </w:p>
    <w:p w:rsidRPr="0066328D" w:rsidR="00373428" w:rsidP="008D25BE" w:rsidRDefault="00373428" w14:paraId="1794BAC0" w14:textId="77777777"/>
    <w:p w:rsidRPr="0096705A" w:rsidR="00832C4E" w:rsidP="008D25BE" w:rsidRDefault="00832C4E" w14:paraId="59D82C1F" w14:textId="77777777">
      <w:pPr>
        <w:rPr>
          <w:lang w:val="en-US"/>
        </w:rPr>
      </w:pPr>
      <w:r w:rsidRPr="00461FF1">
        <w:rPr>
          <w:lang w:val="en-US"/>
        </w:rPr>
        <w:t>UNITED NATIONS. </w:t>
      </w:r>
      <w:r w:rsidRPr="00D91821">
        <w:rPr>
          <w:lang w:val="en-US"/>
        </w:rPr>
        <w:t xml:space="preserve">Convention on the Prevention and Punishment of the Crime of Genocide. </w:t>
      </w:r>
      <w:r w:rsidRPr="0096705A">
        <w:rPr>
          <w:lang w:val="en-US"/>
        </w:rPr>
        <w:t>New York: United Nations, 1948.</w:t>
      </w:r>
    </w:p>
    <w:p w:rsidR="00832C4E" w:rsidP="008D25BE" w:rsidRDefault="00832C4E" w14:paraId="58589850" w14:textId="77777777">
      <w:pPr>
        <w:rPr>
          <w:lang w:val="en-US"/>
        </w:rPr>
      </w:pPr>
    </w:p>
    <w:p w:rsidRPr="0096705A" w:rsidR="00882C81" w:rsidP="008D25BE" w:rsidRDefault="00882C81" w14:paraId="7096A005" w14:textId="3B05609F">
      <w:r w:rsidRPr="00882C81">
        <w:rPr>
          <w:lang w:val="en-US"/>
        </w:rPr>
        <w:t xml:space="preserve">UNITED NATIONS – OCHA. Humanitarian access in Syria – 2016 special report. </w:t>
      </w:r>
      <w:r w:rsidRPr="00882C81">
        <w:t>A/HRC/46/54, 2016. Disponível em: </w:t>
      </w:r>
      <w:hyperlink w:tgtFrame="_blank" w:history="1" r:id="rId190">
        <w:r w:rsidRPr="00882C81">
          <w:rPr>
            <w:rStyle w:val="Hyperlink"/>
          </w:rPr>
          <w:t>https://reliefweb.int/report/syrian-arab-republic/humanitarian-access-syria-2016</w:t>
        </w:r>
      </w:hyperlink>
      <w:r w:rsidRPr="00882C81">
        <w:t xml:space="preserve">. </w:t>
      </w:r>
      <w:r w:rsidRPr="0096705A">
        <w:t>Acesso em: 16 mar. 2026.</w:t>
      </w:r>
    </w:p>
    <w:p w:rsidRPr="0096705A" w:rsidR="00DB48B8" w:rsidP="008D25BE" w:rsidRDefault="00DB48B8" w14:paraId="708C53EF" w14:textId="77777777"/>
    <w:p w:rsidRPr="00441218" w:rsidR="00441218" w:rsidP="008D25BE" w:rsidRDefault="00441218" w14:paraId="56A932E2" w14:textId="001DAA38">
      <w:r w:rsidRPr="00441218">
        <w:t>VALENTE, Flávio Luiz Schieck. Direito humano à alimentação: desafios e conquistas.</w:t>
      </w:r>
      <w:r w:rsidR="003E0EBE">
        <w:t>2021</w:t>
      </w:r>
      <w:r w:rsidR="003A2F50">
        <w:t xml:space="preserve">. Dispinivel em: </w:t>
      </w:r>
      <w:hyperlink w:history="1" r:id="rId191">
        <w:r w:rsidRPr="005076B2" w:rsidR="003A2F50">
          <w:rPr>
            <w:rStyle w:val="Hyperlink"/>
          </w:rPr>
          <w:t>https://www.mpsp.mp.br/portal/page/portal/documentacao_e_divulgacao/doc_biblioteca/bibli_servicos_produtos/BibliotecaDigital/BibDigitalLivros/TodosOsLivros/Direito-humano-a-alimentacao-desafios-e-conquistas.pdf</w:t>
        </w:r>
      </w:hyperlink>
      <w:r w:rsidR="003A2F50">
        <w:t>. Acesso em: 20 de dezembro de 2025</w:t>
      </w:r>
    </w:p>
    <w:p w:rsidRPr="0096705A" w:rsidR="00E707FE" w:rsidP="008D25BE" w:rsidRDefault="00E707FE" w14:paraId="17D51973" w14:textId="77777777"/>
    <w:p w:rsidRPr="001E5CC2" w:rsidR="00E707FE" w:rsidP="008D25BE" w:rsidRDefault="001B493C" w14:paraId="653E0440" w14:textId="7C1C1C31">
      <w:pPr>
        <w:rPr>
          <w:lang w:val="en-US"/>
        </w:rPr>
      </w:pPr>
      <w:r>
        <w:t xml:space="preserve">Nyeleni. </w:t>
      </w:r>
      <w:r w:rsidRPr="00D91821" w:rsidR="00E707FE">
        <w:t xml:space="preserve"> Declaração de Nyéléni: soberania alimentar. </w:t>
      </w:r>
      <w:r w:rsidRPr="001B493C" w:rsidR="00E707FE">
        <w:t xml:space="preserve">Selingué: </w:t>
      </w:r>
      <w:r>
        <w:t>Nyeleni</w:t>
      </w:r>
      <w:r w:rsidRPr="001B493C" w:rsidR="00E707FE">
        <w:t xml:space="preserve">, 2007. </w:t>
      </w:r>
      <w:r w:rsidRPr="001B493C">
        <w:t xml:space="preserve">Disponivel em: </w:t>
      </w:r>
      <w:hyperlink w:history="1" r:id="rId192">
        <w:r w:rsidRPr="003D67C0">
          <w:rPr>
            <w:rStyle w:val="Hyperlink"/>
          </w:rPr>
          <w:t>https://nyeleni.org/en/declaracao-de-nyeleny-foro-mundial-pela-soberania-alimentar/</w:t>
        </w:r>
      </w:hyperlink>
      <w:r>
        <w:t xml:space="preserve">. </w:t>
      </w:r>
      <w:r w:rsidRPr="001E5CC2">
        <w:rPr>
          <w:lang w:val="en-US"/>
        </w:rPr>
        <w:t>Acesso em 15 de abril de 2026.</w:t>
      </w:r>
    </w:p>
    <w:p w:rsidRPr="001E5CC2" w:rsidR="00E707FE" w:rsidP="008D25BE" w:rsidRDefault="00E707FE" w14:paraId="25F72E48" w14:textId="77777777">
      <w:pPr>
        <w:rPr>
          <w:lang w:val="en-US"/>
        </w:rPr>
      </w:pPr>
    </w:p>
    <w:p w:rsidRPr="00F65144" w:rsidR="00C62353" w:rsidP="008D25BE" w:rsidRDefault="00C62353" w14:paraId="5B9EA498" w14:textId="74177425">
      <w:r w:rsidRPr="00C62353">
        <w:rPr>
          <w:lang w:val="en-US"/>
        </w:rPr>
        <w:t xml:space="preserve">VINCENT, </w:t>
      </w:r>
      <w:r w:rsidR="00F65144">
        <w:rPr>
          <w:lang w:val="en-US"/>
        </w:rPr>
        <w:t>Charels Paul</w:t>
      </w:r>
      <w:r w:rsidRPr="00C62353">
        <w:rPr>
          <w:lang w:val="en-US"/>
        </w:rPr>
        <w:t xml:space="preserve">. The politics of hunger: the Allied blockade of Germany, 1915–1919. </w:t>
      </w:r>
      <w:r w:rsidRPr="00F65144">
        <w:rPr>
          <w:lang w:val="en-US"/>
        </w:rPr>
        <w:t>Londres: Oxford University Press, 1989.</w:t>
      </w:r>
      <w:r w:rsidRPr="00F65144" w:rsidR="00F65144">
        <w:rPr>
          <w:lang w:val="en-US"/>
        </w:rPr>
        <w:t xml:space="preserve"> </w:t>
      </w:r>
      <w:r w:rsidRPr="00251127" w:rsidR="00F65144">
        <w:rPr>
          <w:lang w:val="en-US"/>
        </w:rPr>
        <w:t xml:space="preserve">Disponivel em: </w:t>
      </w:r>
      <w:hyperlink w:history="1" r:id="rId193">
        <w:r w:rsidRPr="00251127" w:rsidR="00F65144">
          <w:rPr>
            <w:rStyle w:val="Hyperlink"/>
            <w:lang w:val="en-US"/>
          </w:rPr>
          <w:t>https://archive.org/details/politicsofhunger00cpau_0</w:t>
        </w:r>
      </w:hyperlink>
      <w:r w:rsidRPr="00251127" w:rsidR="00F65144">
        <w:rPr>
          <w:lang w:val="en-US"/>
        </w:rPr>
        <w:t xml:space="preserve">. </w:t>
      </w:r>
      <w:r w:rsidRPr="00F65144" w:rsidR="00F65144">
        <w:t>Acesso em 10 d</w:t>
      </w:r>
      <w:r w:rsidR="00F65144">
        <w:t>e março de 2026</w:t>
      </w:r>
    </w:p>
    <w:p w:rsidRPr="00F65144" w:rsidR="00C62353" w:rsidP="008D25BE" w:rsidRDefault="00C62353" w14:paraId="6B1D3C49" w14:textId="77777777"/>
    <w:p w:rsidRPr="00461FF1" w:rsidR="00DB48B8" w:rsidP="008D25BE" w:rsidRDefault="008D46EF" w14:paraId="708C53F0" w14:textId="77777777">
      <w:r>
        <w:t xml:space="preserve">VIVANCO, Antônio Carlos. Apud: ZENUN, Augusto Elias Jorge. O direito agrário e sua dinâmica. </w:t>
      </w:r>
      <w:r w:rsidRPr="00461FF1">
        <w:t>São Paulo: Ed. Jurídica Brasileira, 1986.</w:t>
      </w:r>
    </w:p>
    <w:p w:rsidRPr="00461FF1" w:rsidR="00C62353" w:rsidP="008D25BE" w:rsidRDefault="00C62353" w14:paraId="224BDBC7" w14:textId="77777777"/>
    <w:p w:rsidR="00C62353" w:rsidP="008D25BE" w:rsidRDefault="00C63D65" w14:paraId="2F0AC0DF" w14:textId="21B37254">
      <w:pPr>
        <w:rPr>
          <w:lang w:val="en-US"/>
        </w:rPr>
      </w:pPr>
      <w:r w:rsidRPr="00E76721">
        <w:rPr>
          <w:lang w:val="en-US"/>
        </w:rPr>
        <w:t xml:space="preserve">WARD, Euan; SAAD, Hwaida; GOLDBAUM, Christina. </w:t>
      </w:r>
      <w:r w:rsidRPr="003974C0">
        <w:rPr>
          <w:lang w:val="en-US"/>
        </w:rPr>
        <w:t xml:space="preserve">Lebanon Mourns After Israeli Onslaught Kills More Than 300 People. </w:t>
      </w:r>
      <w:r w:rsidRPr="003974C0">
        <w:t xml:space="preserve">The New York Times, 9 abr. 2026. Disponível em: nytimes.com. Disponivel em: </w:t>
      </w:r>
      <w:hyperlink w:history="1" r:id="rId194">
        <w:r w:rsidRPr="003974C0">
          <w:rPr>
            <w:rStyle w:val="Hyperlink"/>
          </w:rPr>
          <w:t>https://www.nytimes.com/2026/04/09/world/middleeast/lebanon-israel-iran-war-airstrikes.html</w:t>
        </w:r>
      </w:hyperlink>
      <w:r w:rsidRPr="003974C0">
        <w:t xml:space="preserve">. </w:t>
      </w:r>
      <w:r w:rsidRPr="00461FF1">
        <w:rPr>
          <w:lang w:val="en-US"/>
        </w:rPr>
        <w:t>Acesso: 15 abril. 2026</w:t>
      </w:r>
    </w:p>
    <w:p w:rsidR="00752697" w:rsidP="008D25BE" w:rsidRDefault="00752697" w14:paraId="31B86153" w14:textId="77777777">
      <w:pPr>
        <w:rPr>
          <w:lang w:val="en-US"/>
        </w:rPr>
      </w:pPr>
    </w:p>
    <w:p w:rsidRPr="00752697" w:rsidR="00752697" w:rsidP="00752697" w:rsidRDefault="00752697" w14:paraId="7CD3AA12" w14:textId="77777777">
      <w:r w:rsidRPr="00752697">
        <w:rPr>
          <w:lang w:val="en-US"/>
        </w:rPr>
        <w:t xml:space="preserve">WELDEMICHEL, Teklehaymanot G.; MEZGBO, Birhan. Starvation as a weapon of war: how Ethiopia created a famine in Tigray. </w:t>
      </w:r>
      <w:r w:rsidRPr="00752697">
        <w:rPr>
          <w:i/>
          <w:iCs/>
          <w:lang w:val="en-US"/>
        </w:rPr>
        <w:t>The Conversation</w:t>
      </w:r>
      <w:r w:rsidRPr="00752697">
        <w:rPr>
          <w:lang w:val="en-US"/>
        </w:rPr>
        <w:t xml:space="preserve">, 2025. Disponível em: </w:t>
      </w:r>
      <w:hyperlink w:history="1" r:id="rId195">
        <w:r w:rsidRPr="00752697">
          <w:rPr>
            <w:rStyle w:val="Hyperlink"/>
            <w:lang w:val="en-US"/>
          </w:rPr>
          <w:t>https://theconversation.com/starvation-as-a-weapon-of-war-how-ethiopia-created-a-famine-in-tigray-268395</w:t>
        </w:r>
      </w:hyperlink>
      <w:r w:rsidRPr="00752697">
        <w:rPr>
          <w:lang w:val="en-US"/>
        </w:rPr>
        <w:t xml:space="preserve">. </w:t>
      </w:r>
      <w:r w:rsidRPr="00752697">
        <w:t>Acesso em: 20 mar. 2026.</w:t>
      </w:r>
    </w:p>
    <w:p w:rsidR="00E86C98" w:rsidP="008D25BE" w:rsidRDefault="00E86C98" w14:paraId="51846D5B" w14:textId="77777777"/>
    <w:p w:rsidR="00203205" w:rsidP="008D25BE" w:rsidRDefault="00203205" w14:paraId="41EDCC18" w14:textId="505D5305">
      <w:r w:rsidRPr="00203205">
        <w:t>WILL, Karhen Lola Porfírio. Um retrato do genocídio cultural no campo jurídico internacional. Revista dos Tribunais, São Paulo, 2017</w:t>
      </w:r>
      <w:r>
        <w:t xml:space="preserve">. Disponivel em: </w:t>
      </w:r>
      <w:hyperlink w:history="1" r:id="rId196">
        <w:r w:rsidRPr="003D67C0" w:rsidR="00135109">
          <w:rPr>
            <w:rStyle w:val="Hyperlink"/>
          </w:rPr>
          <w:t>https://www.mpsp.mp.br/portal/page/portal/documentacao_e_divulgacao/doc_biblioteca/bibli_servicos_produtos/bibli_boletim/bibli_bol_2006/RTrib_n.969.06.PDF</w:t>
        </w:r>
      </w:hyperlink>
    </w:p>
    <w:p w:rsidR="00DB48B8" w:rsidP="008D25BE" w:rsidRDefault="00DB48B8" w14:paraId="708C53F1" w14:textId="77777777"/>
    <w:p w:rsidRPr="00461FF1" w:rsidR="00DB48B8" w:rsidP="008D25BE" w:rsidRDefault="008D46EF" w14:paraId="708C53F2" w14:textId="657BC61F">
      <w:pPr>
        <w:rPr>
          <w:lang w:val="en-US"/>
        </w:rPr>
      </w:pPr>
      <w:r>
        <w:t xml:space="preserve">WOLKMER, Antonio Carlos. Pluralismo jurídico. 3. ed. </w:t>
      </w:r>
      <w:r w:rsidRPr="00461FF1">
        <w:t>São Paulo: Alfa Ômega, 2001.</w:t>
      </w:r>
      <w:r w:rsidRPr="00461FF1" w:rsidR="003974C0">
        <w:t xml:space="preserve"> </w:t>
      </w:r>
      <w:r w:rsidRPr="003974C0" w:rsidR="003974C0">
        <w:t xml:space="preserve">Disponivel em: </w:t>
      </w:r>
      <w:hyperlink w:history="1" r:id="rId197">
        <w:r w:rsidRPr="00CD4EFE" w:rsidR="003974C0">
          <w:rPr>
            <w:rStyle w:val="Hyperlink"/>
          </w:rPr>
          <w:t>https://www.forumjustica.com.br/wp-content/uploads/2013/02/Antonio-Carlos-Wolkmer-Pluralismo-juridico.pdf</w:t>
        </w:r>
      </w:hyperlink>
      <w:r w:rsidR="003974C0">
        <w:t xml:space="preserve">. </w:t>
      </w:r>
      <w:r w:rsidRPr="00461FF1" w:rsidR="003974C0">
        <w:rPr>
          <w:lang w:val="en-US"/>
        </w:rPr>
        <w:t>Acesso em: 10 de outubro de 2025</w:t>
      </w:r>
    </w:p>
    <w:p w:rsidR="003974C0" w:rsidP="008D25BE" w:rsidRDefault="003974C0" w14:paraId="5F3014F1" w14:textId="77777777">
      <w:pPr>
        <w:rPr>
          <w:lang w:val="en-US"/>
        </w:rPr>
      </w:pPr>
    </w:p>
    <w:p w:rsidRPr="00251127" w:rsidR="00F01BD4" w:rsidP="008D25BE" w:rsidRDefault="00F01BD4" w14:paraId="4A76A202" w14:textId="37840D2D">
      <w:pPr>
        <w:rPr>
          <w:color w:val="000000"/>
          <w:lang w:val="en-US"/>
        </w:rPr>
      </w:pPr>
      <w:r w:rsidRPr="00F01BD4">
        <w:rPr>
          <w:color w:val="000000"/>
          <w:lang w:val="en-US"/>
        </w:rPr>
        <w:t xml:space="preserve">WORLD BANK. Poverty and Hunger: Issues and Options for Food Security in Developing Countries. Washington, D.C.: The World Bank, 1986. (World Bank Policy Study). </w:t>
      </w:r>
      <w:r w:rsidRPr="00F01BD4">
        <w:rPr>
          <w:color w:val="000000"/>
        </w:rPr>
        <w:t xml:space="preserve">Disponível em: </w:t>
      </w:r>
      <w:hyperlink w:history="1" r:id="rId198">
        <w:r w:rsidRPr="00F01BD4">
          <w:rPr>
            <w:rStyle w:val="Hyperlink"/>
          </w:rPr>
          <w:t>https://documents1.worldbank.org/curated/en/166331467990005748/pdf/multi-page.pdf</w:t>
        </w:r>
      </w:hyperlink>
      <w:r w:rsidRPr="00F01BD4">
        <w:rPr>
          <w:color w:val="000000"/>
        </w:rPr>
        <w:t xml:space="preserve">. </w:t>
      </w:r>
      <w:r w:rsidRPr="00251127">
        <w:rPr>
          <w:color w:val="000000"/>
          <w:lang w:val="en-US"/>
        </w:rPr>
        <w:t>Acesso em: 20 dezembro 2026.</w:t>
      </w:r>
    </w:p>
    <w:p w:rsidRPr="00461FF1" w:rsidR="00F01BD4" w:rsidP="008D25BE" w:rsidRDefault="00F01BD4" w14:paraId="37F844DD" w14:textId="77777777">
      <w:pPr>
        <w:rPr>
          <w:lang w:val="en-US"/>
        </w:rPr>
      </w:pPr>
    </w:p>
    <w:p w:rsidR="00C62353" w:rsidP="008D25BE" w:rsidRDefault="00C62353" w14:paraId="78A1BA5F" w14:textId="77777777">
      <w:r w:rsidRPr="00C62353">
        <w:rPr>
          <w:lang w:val="en-US"/>
        </w:rPr>
        <w:t xml:space="preserve">WORLD FOOD PROGRAMME. Yemen: IPC acute food insecurity report – 2018. </w:t>
      </w:r>
      <w:r w:rsidRPr="00C62353">
        <w:t>Roma: WFP, 2018. Disponível em: </w:t>
      </w:r>
      <w:hyperlink w:tgtFrame="_blank" w:history="1" r:id="rId199">
        <w:r w:rsidRPr="00C62353">
          <w:rPr>
            <w:rStyle w:val="Hyperlink"/>
          </w:rPr>
          <w:t>https://www.wfp.org</w:t>
        </w:r>
      </w:hyperlink>
      <w:r w:rsidRPr="00C62353">
        <w:t>. Acesso em: 16 mar. 2026.</w:t>
      </w:r>
    </w:p>
    <w:p w:rsidR="006839F3" w:rsidP="008D25BE" w:rsidRDefault="006839F3" w14:paraId="1312A8C0" w14:textId="77777777"/>
    <w:p w:rsidRPr="001E5CC2" w:rsidR="006839F3" w:rsidP="008D25BE" w:rsidRDefault="006839F3" w14:paraId="3A73CC9A" w14:textId="63716FBE">
      <w:pPr>
        <w:rPr>
          <w:lang w:val="en-US"/>
        </w:rPr>
      </w:pPr>
      <w:r>
        <w:t>Xavier</w:t>
      </w:r>
      <w:r w:rsidRPr="00D91821">
        <w:t xml:space="preserve">, </w:t>
      </w:r>
      <w:r>
        <w:t>Jesuan</w:t>
      </w:r>
      <w:r w:rsidRPr="00D91821">
        <w:t>. Racismo alimentar: a cor da fome. Rio de Janeiro: RADIS/Fiocruz, 2024. Disponível em: </w:t>
      </w:r>
      <w:hyperlink w:tgtFrame="_blank" w:history="1" r:id="rId200">
        <w:r w:rsidRPr="00D91821">
          <w:rPr>
            <w:rStyle w:val="Hyperlink"/>
          </w:rPr>
          <w:t>https://radis.ensp.fiocruz.br/reportagem/racismo-alimentar/a-cor-da-fome/</w:t>
        </w:r>
      </w:hyperlink>
      <w:r w:rsidRPr="00D91821">
        <w:t xml:space="preserve">. </w:t>
      </w:r>
      <w:r w:rsidRPr="001E5CC2">
        <w:rPr>
          <w:lang w:val="en-US"/>
        </w:rPr>
        <w:t>Acesso em: 17 mar. 2026.</w:t>
      </w:r>
    </w:p>
    <w:p w:rsidRPr="001E5CC2" w:rsidR="00C62353" w:rsidP="008D25BE" w:rsidRDefault="00C62353" w14:paraId="4D95CD09" w14:textId="77777777">
      <w:pPr>
        <w:rPr>
          <w:lang w:val="en-US"/>
        </w:rPr>
      </w:pPr>
    </w:p>
    <w:p w:rsidRPr="00C62353" w:rsidR="00C62353" w:rsidP="008D25BE" w:rsidRDefault="00C62353" w14:paraId="6F77C4BF" w14:textId="77777777">
      <w:r w:rsidRPr="00C62353">
        <w:rPr>
          <w:lang w:val="en-US"/>
        </w:rPr>
        <w:t>YOUNG, Janies. Picturing the war “no one cares about”: Biafra, media, and imagined community. </w:t>
      </w:r>
      <w:r w:rsidRPr="00C62353">
        <w:rPr>
          <w:i/>
          <w:iCs/>
          <w:lang w:val="en-US"/>
        </w:rPr>
        <w:t>The New York Times</w:t>
      </w:r>
      <w:r w:rsidRPr="00C62353">
        <w:rPr>
          <w:lang w:val="en-US"/>
        </w:rPr>
        <w:t xml:space="preserve">, 24 ago. 1969. </w:t>
      </w:r>
      <w:r w:rsidRPr="0007759B">
        <w:rPr>
          <w:lang w:val="en-US"/>
        </w:rPr>
        <w:t>Disponível em: </w:t>
      </w:r>
      <w:hyperlink w:tgtFrame="_blank" w:history="1" r:id="rId201">
        <w:r w:rsidRPr="0007759B">
          <w:rPr>
            <w:rStyle w:val="Hyperlink"/>
            <w:lang w:val="en-US"/>
          </w:rPr>
          <w:t>https://www.nytimes.com/1969/08/24/archives/death-rate-from-starvation-is-reported-rising-again-in-biafra.html</w:t>
        </w:r>
      </w:hyperlink>
      <w:r w:rsidRPr="0007759B">
        <w:rPr>
          <w:lang w:val="en-US"/>
        </w:rPr>
        <w:t xml:space="preserve">. </w:t>
      </w:r>
      <w:r w:rsidRPr="00C62353">
        <w:t>Acesso em: 16 mar. 2026.</w:t>
      </w:r>
    </w:p>
    <w:p w:rsidR="00E06240" w:rsidP="008D25BE" w:rsidRDefault="00E06240" w14:paraId="7F2077CF" w14:textId="77777777"/>
    <w:p w:rsidR="00DB48B8" w:rsidP="008D25BE" w:rsidRDefault="00B22008" w14:paraId="708C53FD" w14:textId="37A2AE4D">
      <w:pPr>
        <w:pStyle w:val="Corpodetexto"/>
        <w:spacing w:line="240" w:lineRule="auto"/>
        <w:rPr>
          <w:rFonts w:eastAsia="Calibri"/>
          <w:lang w:val="pt-PT"/>
        </w:rPr>
      </w:pPr>
      <w:r>
        <w:t>Z</w:t>
      </w:r>
      <w:r w:rsidRPr="00B22008">
        <w:t>ENUN, A. O Direito agrário e sua dinâmica. Imprensa: Uberaba, Ed. Vitória, 1984.</w:t>
      </w:r>
    </w:p>
    <w:p w:rsidR="00306FC1" w:rsidRDefault="00306FC1" w14:paraId="587F02D2" w14:textId="77777777">
      <w:pPr>
        <w:pStyle w:val="Corpodetexto"/>
        <w:spacing w:line="360" w:lineRule="auto"/>
        <w:jc w:val="both"/>
        <w:rPr>
          <w:rFonts w:eastAsia="Calibri"/>
          <w:lang w:val="pt-PT"/>
        </w:rPr>
      </w:pPr>
    </w:p>
    <w:p w:rsidR="00306FC1" w:rsidRDefault="00306FC1" w14:paraId="501676CB" w14:textId="77777777">
      <w:pPr>
        <w:pStyle w:val="Corpodetexto"/>
        <w:spacing w:line="360" w:lineRule="auto"/>
        <w:jc w:val="both"/>
        <w:rPr>
          <w:rFonts w:eastAsia="Calibri"/>
          <w:lang w:val="pt-PT"/>
        </w:rPr>
      </w:pPr>
    </w:p>
    <w:p w:rsidR="00306FC1" w:rsidRDefault="00306FC1" w14:paraId="036401FF" w14:textId="563073A6">
      <w:pPr>
        <w:pStyle w:val="Corpodetexto"/>
        <w:spacing w:line="360" w:lineRule="auto"/>
        <w:jc w:val="both"/>
        <w:rPr>
          <w:rFonts w:eastAsia="Calibri"/>
          <w:lang w:val="pt-PT"/>
        </w:rPr>
      </w:pPr>
    </w:p>
    <w:sectPr w:rsidR="00306FC1">
      <w:headerReference w:type="default" r:id="rId202"/>
      <w:pgSz w:w="11906" w:h="16838" w:orient="portrait"/>
      <w:pgMar w:top="1417" w:right="1701" w:bottom="1417" w:left="1701"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1DE3" w:rsidRDefault="00FA1DE3" w14:paraId="3FD9E99A" w14:textId="77777777">
      <w:r>
        <w:separator/>
      </w:r>
    </w:p>
  </w:endnote>
  <w:endnote w:type="continuationSeparator" w:id="0">
    <w:p w:rsidR="00FA1DE3" w:rsidRDefault="00FA1DE3" w14:paraId="26D656F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OpenSymbol">
    <w:altName w:val="Times New Roman"/>
    <w:panose1 w:val="020B0604020202020204"/>
    <w:charset w:val="00"/>
    <w:family w:val="roman"/>
    <w:notTrueType/>
    <w:pitch w:val="default"/>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1DE3" w:rsidRDefault="00FA1DE3" w14:paraId="3BC8FF44" w14:textId="77777777">
      <w:r>
        <w:separator/>
      </w:r>
    </w:p>
  </w:footnote>
  <w:footnote w:type="continuationSeparator" w:id="0">
    <w:p w:rsidR="00FA1DE3" w:rsidRDefault="00FA1DE3" w14:paraId="734C07F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48B8" w:rsidRDefault="00DB48B8" w14:paraId="708C5405" w14:textId="77777777">
    <w:pPr>
      <w:pStyle w:val="Cabealho1"/>
      <w:jc w:val="right"/>
      <w:rPr>
        <w:rFonts w:hint="eastAsia"/>
      </w:rPr>
    </w:pPr>
  </w:p>
  <w:p w:rsidR="00DB48B8" w:rsidRDefault="00DB48B8" w14:paraId="708C5406" w14:textId="77777777">
    <w:pPr>
      <w:pStyle w:val="Cabealho1"/>
      <w:jc w:val="right"/>
      <w:rPr>
        <w:rFonts w:hint="eastAsia"/>
      </w:rPr>
    </w:pPr>
  </w:p>
  <w:p w:rsidR="00DB48B8" w:rsidRDefault="00DB48B8" w14:paraId="708C5407" w14:textId="77777777">
    <w:pPr>
      <w:pStyle w:val="Cabealho1"/>
      <w:jc w:val="right"/>
      <w:rPr>
        <w:rFonts w:hint="eastAsia"/>
      </w:rPr>
    </w:pPr>
  </w:p>
  <w:p w:rsidR="00DB48B8" w:rsidRDefault="00DB48B8" w14:paraId="708C5408" w14:textId="77777777">
    <w:pPr>
      <w:pStyle w:val="Cabealho1"/>
      <w:jc w:val="right"/>
      <w:rPr>
        <w:rFonts w:hint="eastAsia"/>
      </w:rPr>
    </w:pPr>
  </w:p>
  <w:p w:rsidR="00DB48B8" w:rsidRDefault="00DB48B8" w14:paraId="708C5409" w14:textId="77777777">
    <w:pPr>
      <w:pStyle w:val="Cabealho1"/>
      <w:jc w:val="right"/>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48B8" w:rsidRDefault="00DB48B8" w14:paraId="708C540C" w14:textId="77777777">
    <w:pPr>
      <w:pStyle w:val="Cabealho1"/>
      <w:jc w:val="right"/>
      <w:rPr>
        <w:rFonts w:hint="eastAsia"/>
      </w:rPr>
    </w:pPr>
  </w:p>
  <w:p w:rsidR="00DB48B8" w:rsidRDefault="00DB48B8" w14:paraId="708C540D" w14:textId="77777777">
    <w:pPr>
      <w:pStyle w:val="Cabealho1"/>
      <w:jc w:val="right"/>
      <w:rPr>
        <w:rFonts w:hint="eastAsia"/>
      </w:rPr>
    </w:pPr>
  </w:p>
  <w:p w:rsidR="00DB48B8" w:rsidRDefault="00DB48B8" w14:paraId="708C540E" w14:textId="77777777">
    <w:pPr>
      <w:pStyle w:val="Cabealho1"/>
      <w:jc w:val="right"/>
      <w:rPr>
        <w:rFonts w:hint="eastAsia"/>
      </w:rPr>
    </w:pPr>
  </w:p>
  <w:p w:rsidR="00DB48B8" w:rsidRDefault="00DB48B8" w14:paraId="708C540F" w14:textId="77777777">
    <w:pPr>
      <w:pStyle w:val="Cabealho1"/>
      <w:jc w:val="right"/>
      <w:rPr>
        <w:rFonts w:hint="eastAsia"/>
      </w:rPr>
    </w:pPr>
  </w:p>
  <w:p w:rsidR="00DB48B8" w:rsidRDefault="00DB48B8" w14:paraId="708C5410" w14:textId="77777777">
    <w:pPr>
      <w:pStyle w:val="Cabealho1"/>
      <w:jc w:val="right"/>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3CC" w:rsidRDefault="003053CC" w14:paraId="30D88A77" w14:textId="77777777">
    <w:pPr>
      <w:pStyle w:val="Cabealho"/>
      <w:jc w:val="right"/>
    </w:pPr>
  </w:p>
  <w:p w:rsidR="003053CC" w:rsidRDefault="003053CC" w14:paraId="2F3286F0" w14:textId="77777777">
    <w:pPr>
      <w:pStyle w:val="Cabealho"/>
      <w:jc w:val="right"/>
    </w:pPr>
  </w:p>
  <w:sdt>
    <w:sdtPr>
      <w:id w:val="411906019"/>
      <w:docPartObj>
        <w:docPartGallery w:val="Page Numbers (Top of Page)"/>
        <w:docPartUnique/>
      </w:docPartObj>
    </w:sdtPr>
    <w:sdtEndPr/>
    <w:sdtContent>
      <w:p w:rsidR="003053CC" w:rsidRDefault="003053CC" w14:paraId="4705A5AE" w14:textId="7E44C47A">
        <w:pPr>
          <w:pStyle w:val="Cabealho"/>
          <w:jc w:val="right"/>
        </w:pPr>
        <w:r w:rsidRPr="003053CC">
          <w:rPr>
            <w:b/>
            <w:bCs/>
          </w:rPr>
          <w:fldChar w:fldCharType="begin"/>
        </w:r>
        <w:r w:rsidRPr="003053CC">
          <w:rPr>
            <w:b/>
            <w:bCs/>
          </w:rPr>
          <w:instrText>PAGE   \* MERGEFORMAT</w:instrText>
        </w:r>
        <w:r w:rsidRPr="003053CC">
          <w:rPr>
            <w:b/>
            <w:bCs/>
          </w:rPr>
          <w:fldChar w:fldCharType="separate"/>
        </w:r>
        <w:r w:rsidRPr="003053CC">
          <w:rPr>
            <w:b/>
            <w:bCs/>
          </w:rPr>
          <w:t>2</w:t>
        </w:r>
        <w:r w:rsidRPr="003053CC">
          <w:rPr>
            <w:b/>
            <w:bCs/>
          </w:rPr>
          <w:fldChar w:fldCharType="end"/>
        </w:r>
      </w:p>
    </w:sdtContent>
  </w:sdt>
  <w:p w:rsidR="003053CC" w:rsidRDefault="003053CC" w14:paraId="6FB69500" w14:textId="77777777">
    <w:pPr>
      <w:pStyle w:val="Cabealho1"/>
      <w:jc w:val="righ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11821"/>
    <w:multiLevelType w:val="multilevel"/>
    <w:tmpl w:val="DCC07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5411189"/>
    <w:multiLevelType w:val="multilevel"/>
    <w:tmpl w:val="CAE2C9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986323"/>
    <w:multiLevelType w:val="multilevel"/>
    <w:tmpl w:val="E64ED5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7F82A44"/>
    <w:multiLevelType w:val="multilevel"/>
    <w:tmpl w:val="3788D0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1817D3F"/>
    <w:multiLevelType w:val="multilevel"/>
    <w:tmpl w:val="3892B8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A8053A"/>
    <w:multiLevelType w:val="multilevel"/>
    <w:tmpl w:val="6026FFA0"/>
    <w:lvl w:ilvl="0">
      <w:start w:val="1"/>
      <w:numFmt w:val="bullet"/>
      <w:lvlText w:val=""/>
      <w:lvlJc w:val="left"/>
      <w:pPr>
        <w:tabs>
          <w:tab w:val="num" w:pos="720"/>
        </w:tabs>
        <w:ind w:left="720" w:hanging="360"/>
      </w:pPr>
      <w:rPr>
        <w:rFonts w:hint="default" w:ascii="Symbol" w:hAnsi="Symbol" w:cs="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start w:val="1"/>
      <w:numFmt w:val="bullet"/>
      <w:lvlText w:val=""/>
      <w:lvlJc w:val="left"/>
      <w:pPr>
        <w:tabs>
          <w:tab w:val="num" w:pos="2160"/>
        </w:tabs>
        <w:ind w:left="2160" w:hanging="360"/>
      </w:pPr>
      <w:rPr>
        <w:rFonts w:hint="default" w:ascii="Wingdings" w:hAnsi="Wingdings" w:cs="Wingdings"/>
        <w:sz w:val="20"/>
      </w:rPr>
    </w:lvl>
    <w:lvl w:ilvl="3">
      <w:start w:val="1"/>
      <w:numFmt w:val="bullet"/>
      <w:lvlText w:val=""/>
      <w:lvlJc w:val="left"/>
      <w:pPr>
        <w:tabs>
          <w:tab w:val="num" w:pos="2880"/>
        </w:tabs>
        <w:ind w:left="2880" w:hanging="360"/>
      </w:pPr>
      <w:rPr>
        <w:rFonts w:hint="default" w:ascii="Wingdings" w:hAnsi="Wingdings" w:cs="Wingdings"/>
        <w:sz w:val="20"/>
      </w:rPr>
    </w:lvl>
    <w:lvl w:ilvl="4">
      <w:start w:val="1"/>
      <w:numFmt w:val="bullet"/>
      <w:lvlText w:val=""/>
      <w:lvlJc w:val="left"/>
      <w:pPr>
        <w:tabs>
          <w:tab w:val="num" w:pos="3600"/>
        </w:tabs>
        <w:ind w:left="3600" w:hanging="360"/>
      </w:pPr>
      <w:rPr>
        <w:rFonts w:hint="default" w:ascii="Wingdings" w:hAnsi="Wingdings" w:cs="Wingdings"/>
        <w:sz w:val="20"/>
      </w:rPr>
    </w:lvl>
    <w:lvl w:ilvl="5">
      <w:start w:val="1"/>
      <w:numFmt w:val="bullet"/>
      <w:lvlText w:val=""/>
      <w:lvlJc w:val="left"/>
      <w:pPr>
        <w:tabs>
          <w:tab w:val="num" w:pos="4320"/>
        </w:tabs>
        <w:ind w:left="4320" w:hanging="360"/>
      </w:pPr>
      <w:rPr>
        <w:rFonts w:hint="default" w:ascii="Wingdings" w:hAnsi="Wingdings" w:cs="Wingdings"/>
        <w:sz w:val="20"/>
      </w:rPr>
    </w:lvl>
    <w:lvl w:ilvl="6">
      <w:start w:val="1"/>
      <w:numFmt w:val="bullet"/>
      <w:lvlText w:val=""/>
      <w:lvlJc w:val="left"/>
      <w:pPr>
        <w:tabs>
          <w:tab w:val="num" w:pos="5040"/>
        </w:tabs>
        <w:ind w:left="5040" w:hanging="360"/>
      </w:pPr>
      <w:rPr>
        <w:rFonts w:hint="default" w:ascii="Wingdings" w:hAnsi="Wingdings" w:cs="Wingdings"/>
        <w:sz w:val="20"/>
      </w:rPr>
    </w:lvl>
    <w:lvl w:ilvl="7">
      <w:start w:val="1"/>
      <w:numFmt w:val="bullet"/>
      <w:lvlText w:val=""/>
      <w:lvlJc w:val="left"/>
      <w:pPr>
        <w:tabs>
          <w:tab w:val="num" w:pos="5760"/>
        </w:tabs>
        <w:ind w:left="5760" w:hanging="360"/>
      </w:pPr>
      <w:rPr>
        <w:rFonts w:hint="default" w:ascii="Wingdings" w:hAnsi="Wingdings" w:cs="Wingdings"/>
        <w:sz w:val="20"/>
      </w:rPr>
    </w:lvl>
    <w:lvl w:ilvl="8">
      <w:start w:val="1"/>
      <w:numFmt w:val="bullet"/>
      <w:lvlText w:val=""/>
      <w:lvlJc w:val="left"/>
      <w:pPr>
        <w:tabs>
          <w:tab w:val="num" w:pos="6480"/>
        </w:tabs>
        <w:ind w:left="6480" w:hanging="360"/>
      </w:pPr>
      <w:rPr>
        <w:rFonts w:hint="default" w:ascii="Wingdings" w:hAnsi="Wingdings" w:cs="Wingdings"/>
        <w:sz w:val="20"/>
      </w:rPr>
    </w:lvl>
  </w:abstractNum>
  <w:abstractNum w:abstractNumId="6" w15:restartNumberingAfterBreak="0">
    <w:nsid w:val="27B221E9"/>
    <w:multiLevelType w:val="multilevel"/>
    <w:tmpl w:val="4E324D5C"/>
    <w:lvl w:ilvl="0">
      <w:start w:val="1"/>
      <w:numFmt w:val="bullet"/>
      <w:lvlText w:val=""/>
      <w:lvlJc w:val="left"/>
      <w:pPr>
        <w:tabs>
          <w:tab w:val="num" w:pos="720"/>
        </w:tabs>
        <w:ind w:left="720" w:hanging="360"/>
      </w:pPr>
      <w:rPr>
        <w:rFonts w:hint="default" w:ascii="Symbol" w:hAnsi="Symbol" w:cs="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start w:val="1"/>
      <w:numFmt w:val="bullet"/>
      <w:lvlText w:val=""/>
      <w:lvlJc w:val="left"/>
      <w:pPr>
        <w:tabs>
          <w:tab w:val="num" w:pos="2160"/>
        </w:tabs>
        <w:ind w:left="2160" w:hanging="360"/>
      </w:pPr>
      <w:rPr>
        <w:rFonts w:hint="default" w:ascii="Wingdings" w:hAnsi="Wingdings" w:cs="Wingdings"/>
        <w:sz w:val="20"/>
      </w:rPr>
    </w:lvl>
    <w:lvl w:ilvl="3">
      <w:start w:val="1"/>
      <w:numFmt w:val="bullet"/>
      <w:lvlText w:val=""/>
      <w:lvlJc w:val="left"/>
      <w:pPr>
        <w:tabs>
          <w:tab w:val="num" w:pos="2880"/>
        </w:tabs>
        <w:ind w:left="2880" w:hanging="360"/>
      </w:pPr>
      <w:rPr>
        <w:rFonts w:hint="default" w:ascii="Wingdings" w:hAnsi="Wingdings" w:cs="Wingdings"/>
        <w:sz w:val="20"/>
      </w:rPr>
    </w:lvl>
    <w:lvl w:ilvl="4">
      <w:start w:val="1"/>
      <w:numFmt w:val="bullet"/>
      <w:lvlText w:val=""/>
      <w:lvlJc w:val="left"/>
      <w:pPr>
        <w:tabs>
          <w:tab w:val="num" w:pos="3600"/>
        </w:tabs>
        <w:ind w:left="3600" w:hanging="360"/>
      </w:pPr>
      <w:rPr>
        <w:rFonts w:hint="default" w:ascii="Wingdings" w:hAnsi="Wingdings" w:cs="Wingdings"/>
        <w:sz w:val="20"/>
      </w:rPr>
    </w:lvl>
    <w:lvl w:ilvl="5">
      <w:start w:val="1"/>
      <w:numFmt w:val="bullet"/>
      <w:lvlText w:val=""/>
      <w:lvlJc w:val="left"/>
      <w:pPr>
        <w:tabs>
          <w:tab w:val="num" w:pos="4320"/>
        </w:tabs>
        <w:ind w:left="4320" w:hanging="360"/>
      </w:pPr>
      <w:rPr>
        <w:rFonts w:hint="default" w:ascii="Wingdings" w:hAnsi="Wingdings" w:cs="Wingdings"/>
        <w:sz w:val="20"/>
      </w:rPr>
    </w:lvl>
    <w:lvl w:ilvl="6">
      <w:start w:val="1"/>
      <w:numFmt w:val="bullet"/>
      <w:lvlText w:val=""/>
      <w:lvlJc w:val="left"/>
      <w:pPr>
        <w:tabs>
          <w:tab w:val="num" w:pos="5040"/>
        </w:tabs>
        <w:ind w:left="5040" w:hanging="360"/>
      </w:pPr>
      <w:rPr>
        <w:rFonts w:hint="default" w:ascii="Wingdings" w:hAnsi="Wingdings" w:cs="Wingdings"/>
        <w:sz w:val="20"/>
      </w:rPr>
    </w:lvl>
    <w:lvl w:ilvl="7">
      <w:start w:val="1"/>
      <w:numFmt w:val="bullet"/>
      <w:lvlText w:val=""/>
      <w:lvlJc w:val="left"/>
      <w:pPr>
        <w:tabs>
          <w:tab w:val="num" w:pos="5760"/>
        </w:tabs>
        <w:ind w:left="5760" w:hanging="360"/>
      </w:pPr>
      <w:rPr>
        <w:rFonts w:hint="default" w:ascii="Wingdings" w:hAnsi="Wingdings" w:cs="Wingdings"/>
        <w:sz w:val="20"/>
      </w:rPr>
    </w:lvl>
    <w:lvl w:ilvl="8">
      <w:start w:val="1"/>
      <w:numFmt w:val="bullet"/>
      <w:lvlText w:val=""/>
      <w:lvlJc w:val="left"/>
      <w:pPr>
        <w:tabs>
          <w:tab w:val="num" w:pos="6480"/>
        </w:tabs>
        <w:ind w:left="6480" w:hanging="360"/>
      </w:pPr>
      <w:rPr>
        <w:rFonts w:hint="default" w:ascii="Wingdings" w:hAnsi="Wingdings" w:cs="Wingdings"/>
        <w:sz w:val="20"/>
      </w:rPr>
    </w:lvl>
  </w:abstractNum>
  <w:abstractNum w:abstractNumId="7" w15:restartNumberingAfterBreak="0">
    <w:nsid w:val="2FCF6463"/>
    <w:multiLevelType w:val="multilevel"/>
    <w:tmpl w:val="D80285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78C4D06"/>
    <w:multiLevelType w:val="multilevel"/>
    <w:tmpl w:val="59324B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112296E"/>
    <w:multiLevelType w:val="multilevel"/>
    <w:tmpl w:val="4F2CB4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11876FB"/>
    <w:multiLevelType w:val="multilevel"/>
    <w:tmpl w:val="A3265E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62C4029"/>
    <w:multiLevelType w:val="multilevel"/>
    <w:tmpl w:val="2FB242DC"/>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16cid:durableId="925916216">
    <w:abstractNumId w:val="11"/>
  </w:num>
  <w:num w:numId="2" w16cid:durableId="88090620">
    <w:abstractNumId w:val="6"/>
  </w:num>
  <w:num w:numId="3" w16cid:durableId="1180268486">
    <w:abstractNumId w:val="5"/>
  </w:num>
  <w:num w:numId="4" w16cid:durableId="1820531045">
    <w:abstractNumId w:val="7"/>
  </w:num>
  <w:num w:numId="5" w16cid:durableId="2100707900">
    <w:abstractNumId w:val="4"/>
  </w:num>
  <w:num w:numId="6" w16cid:durableId="1799257810">
    <w:abstractNumId w:val="10"/>
  </w:num>
  <w:num w:numId="7" w16cid:durableId="1075199563">
    <w:abstractNumId w:val="2"/>
  </w:num>
  <w:num w:numId="8" w16cid:durableId="63602471">
    <w:abstractNumId w:val="0"/>
  </w:num>
  <w:num w:numId="9" w16cid:durableId="1701470015">
    <w:abstractNumId w:val="3"/>
  </w:num>
  <w:num w:numId="10" w16cid:durableId="894850698">
    <w:abstractNumId w:val="1"/>
  </w:num>
  <w:num w:numId="11" w16cid:durableId="1057120057">
    <w:abstractNumId w:val="9"/>
  </w:num>
  <w:num w:numId="12" w16cid:durableId="718407003">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8B8"/>
    <w:rsid w:val="0000059F"/>
    <w:rsid w:val="00001372"/>
    <w:rsid w:val="000033B8"/>
    <w:rsid w:val="000223A9"/>
    <w:rsid w:val="00024D3B"/>
    <w:rsid w:val="00031671"/>
    <w:rsid w:val="00033DDA"/>
    <w:rsid w:val="000346A0"/>
    <w:rsid w:val="00036B93"/>
    <w:rsid w:val="00042F86"/>
    <w:rsid w:val="000439A8"/>
    <w:rsid w:val="00045F25"/>
    <w:rsid w:val="000523CD"/>
    <w:rsid w:val="000602A9"/>
    <w:rsid w:val="00061F23"/>
    <w:rsid w:val="0007759B"/>
    <w:rsid w:val="00085863"/>
    <w:rsid w:val="00085923"/>
    <w:rsid w:val="0009023C"/>
    <w:rsid w:val="00095198"/>
    <w:rsid w:val="000A01F5"/>
    <w:rsid w:val="000A6234"/>
    <w:rsid w:val="000A795D"/>
    <w:rsid w:val="000B2F20"/>
    <w:rsid w:val="000B6A5C"/>
    <w:rsid w:val="000C49AC"/>
    <w:rsid w:val="000C5ED2"/>
    <w:rsid w:val="000D758D"/>
    <w:rsid w:val="000E08BC"/>
    <w:rsid w:val="000E16B1"/>
    <w:rsid w:val="000F1B7C"/>
    <w:rsid w:val="000F4EBE"/>
    <w:rsid w:val="00102214"/>
    <w:rsid w:val="001029CF"/>
    <w:rsid w:val="00103370"/>
    <w:rsid w:val="00106592"/>
    <w:rsid w:val="00117906"/>
    <w:rsid w:val="00120290"/>
    <w:rsid w:val="001218A1"/>
    <w:rsid w:val="001301E0"/>
    <w:rsid w:val="001324FD"/>
    <w:rsid w:val="00133F2B"/>
    <w:rsid w:val="00135109"/>
    <w:rsid w:val="00145950"/>
    <w:rsid w:val="00156853"/>
    <w:rsid w:val="00157BD3"/>
    <w:rsid w:val="00166E98"/>
    <w:rsid w:val="00187085"/>
    <w:rsid w:val="001924F3"/>
    <w:rsid w:val="0019463F"/>
    <w:rsid w:val="001A1A6E"/>
    <w:rsid w:val="001A328B"/>
    <w:rsid w:val="001B2A83"/>
    <w:rsid w:val="001B493C"/>
    <w:rsid w:val="001B619B"/>
    <w:rsid w:val="001C00A6"/>
    <w:rsid w:val="001C0181"/>
    <w:rsid w:val="001C16DC"/>
    <w:rsid w:val="001C3BAB"/>
    <w:rsid w:val="001C613D"/>
    <w:rsid w:val="001E55C6"/>
    <w:rsid w:val="001E5CC2"/>
    <w:rsid w:val="001E6E82"/>
    <w:rsid w:val="001F5191"/>
    <w:rsid w:val="002026F7"/>
    <w:rsid w:val="00203205"/>
    <w:rsid w:val="002052A4"/>
    <w:rsid w:val="00207C01"/>
    <w:rsid w:val="00216025"/>
    <w:rsid w:val="00216ED9"/>
    <w:rsid w:val="0021701D"/>
    <w:rsid w:val="0022379B"/>
    <w:rsid w:val="00223E2C"/>
    <w:rsid w:val="00225CD8"/>
    <w:rsid w:val="00225DBF"/>
    <w:rsid w:val="00226485"/>
    <w:rsid w:val="002270EB"/>
    <w:rsid w:val="0022772E"/>
    <w:rsid w:val="00232012"/>
    <w:rsid w:val="0023407B"/>
    <w:rsid w:val="00240543"/>
    <w:rsid w:val="00241D20"/>
    <w:rsid w:val="00244900"/>
    <w:rsid w:val="002449BD"/>
    <w:rsid w:val="00251127"/>
    <w:rsid w:val="00260C51"/>
    <w:rsid w:val="00262634"/>
    <w:rsid w:val="002642B1"/>
    <w:rsid w:val="00286A91"/>
    <w:rsid w:val="0029468A"/>
    <w:rsid w:val="002957A7"/>
    <w:rsid w:val="00296033"/>
    <w:rsid w:val="002A084E"/>
    <w:rsid w:val="002B2D6E"/>
    <w:rsid w:val="002C4CAC"/>
    <w:rsid w:val="002D7682"/>
    <w:rsid w:val="002E30C1"/>
    <w:rsid w:val="002F3373"/>
    <w:rsid w:val="002F797D"/>
    <w:rsid w:val="003006A7"/>
    <w:rsid w:val="003053CC"/>
    <w:rsid w:val="003059AA"/>
    <w:rsid w:val="00306FC1"/>
    <w:rsid w:val="0032174D"/>
    <w:rsid w:val="003310E5"/>
    <w:rsid w:val="00333B2B"/>
    <w:rsid w:val="003347DF"/>
    <w:rsid w:val="00336E59"/>
    <w:rsid w:val="00337138"/>
    <w:rsid w:val="003455E9"/>
    <w:rsid w:val="00346B55"/>
    <w:rsid w:val="00352E85"/>
    <w:rsid w:val="00363ADB"/>
    <w:rsid w:val="00371776"/>
    <w:rsid w:val="00373428"/>
    <w:rsid w:val="003754D4"/>
    <w:rsid w:val="003949AA"/>
    <w:rsid w:val="003974C0"/>
    <w:rsid w:val="003A107B"/>
    <w:rsid w:val="003A2955"/>
    <w:rsid w:val="003A2F50"/>
    <w:rsid w:val="003A37FE"/>
    <w:rsid w:val="003A7D74"/>
    <w:rsid w:val="003B72BF"/>
    <w:rsid w:val="003C03AB"/>
    <w:rsid w:val="003C56D5"/>
    <w:rsid w:val="003C67AE"/>
    <w:rsid w:val="003C786C"/>
    <w:rsid w:val="003E0D13"/>
    <w:rsid w:val="003E0EBE"/>
    <w:rsid w:val="003E3D6E"/>
    <w:rsid w:val="003F175A"/>
    <w:rsid w:val="003F3F0F"/>
    <w:rsid w:val="003F47BF"/>
    <w:rsid w:val="00402185"/>
    <w:rsid w:val="00404434"/>
    <w:rsid w:val="00413382"/>
    <w:rsid w:val="004179F8"/>
    <w:rsid w:val="00420CD3"/>
    <w:rsid w:val="0042536C"/>
    <w:rsid w:val="004323F2"/>
    <w:rsid w:val="0043425C"/>
    <w:rsid w:val="004365A4"/>
    <w:rsid w:val="00436AD4"/>
    <w:rsid w:val="00441218"/>
    <w:rsid w:val="00445954"/>
    <w:rsid w:val="0045229F"/>
    <w:rsid w:val="00461FF1"/>
    <w:rsid w:val="0047419C"/>
    <w:rsid w:val="00486C12"/>
    <w:rsid w:val="00497D98"/>
    <w:rsid w:val="004A4587"/>
    <w:rsid w:val="004A4D75"/>
    <w:rsid w:val="004A5088"/>
    <w:rsid w:val="004B2FBD"/>
    <w:rsid w:val="004C7F1F"/>
    <w:rsid w:val="004D4992"/>
    <w:rsid w:val="004D61C3"/>
    <w:rsid w:val="004E3FB2"/>
    <w:rsid w:val="004F00C8"/>
    <w:rsid w:val="004F46C2"/>
    <w:rsid w:val="004F52D5"/>
    <w:rsid w:val="004F5B7C"/>
    <w:rsid w:val="004F677C"/>
    <w:rsid w:val="005147B1"/>
    <w:rsid w:val="00521AF0"/>
    <w:rsid w:val="005300BE"/>
    <w:rsid w:val="0053109E"/>
    <w:rsid w:val="00531427"/>
    <w:rsid w:val="00534305"/>
    <w:rsid w:val="00537A6F"/>
    <w:rsid w:val="00540CAD"/>
    <w:rsid w:val="005427E8"/>
    <w:rsid w:val="00542872"/>
    <w:rsid w:val="00547165"/>
    <w:rsid w:val="005713C0"/>
    <w:rsid w:val="00584586"/>
    <w:rsid w:val="00596B75"/>
    <w:rsid w:val="005A006C"/>
    <w:rsid w:val="005A2C10"/>
    <w:rsid w:val="005A3612"/>
    <w:rsid w:val="005A6685"/>
    <w:rsid w:val="005A7483"/>
    <w:rsid w:val="005B3511"/>
    <w:rsid w:val="005B3F76"/>
    <w:rsid w:val="005C136F"/>
    <w:rsid w:val="005E60F2"/>
    <w:rsid w:val="005E6A32"/>
    <w:rsid w:val="005F4D00"/>
    <w:rsid w:val="006005BD"/>
    <w:rsid w:val="00621584"/>
    <w:rsid w:val="006278CF"/>
    <w:rsid w:val="00630CC4"/>
    <w:rsid w:val="006507CA"/>
    <w:rsid w:val="006547A1"/>
    <w:rsid w:val="00656F1B"/>
    <w:rsid w:val="0066328D"/>
    <w:rsid w:val="00664B87"/>
    <w:rsid w:val="00671C01"/>
    <w:rsid w:val="00672C03"/>
    <w:rsid w:val="00677C86"/>
    <w:rsid w:val="006839F3"/>
    <w:rsid w:val="00685036"/>
    <w:rsid w:val="006A013C"/>
    <w:rsid w:val="006A069E"/>
    <w:rsid w:val="006A2E96"/>
    <w:rsid w:val="006A37E7"/>
    <w:rsid w:val="006B6F52"/>
    <w:rsid w:val="006D29CA"/>
    <w:rsid w:val="006D39C6"/>
    <w:rsid w:val="006D44C6"/>
    <w:rsid w:val="006E1262"/>
    <w:rsid w:val="006E602D"/>
    <w:rsid w:val="006F148E"/>
    <w:rsid w:val="006F60D6"/>
    <w:rsid w:val="00700E67"/>
    <w:rsid w:val="007073F3"/>
    <w:rsid w:val="00707609"/>
    <w:rsid w:val="00710CFB"/>
    <w:rsid w:val="00713CD7"/>
    <w:rsid w:val="00713E1C"/>
    <w:rsid w:val="00721336"/>
    <w:rsid w:val="00726027"/>
    <w:rsid w:val="0072619F"/>
    <w:rsid w:val="00732075"/>
    <w:rsid w:val="00732FA2"/>
    <w:rsid w:val="007414F2"/>
    <w:rsid w:val="00744196"/>
    <w:rsid w:val="00752697"/>
    <w:rsid w:val="007559CE"/>
    <w:rsid w:val="0075778D"/>
    <w:rsid w:val="00757827"/>
    <w:rsid w:val="0076058F"/>
    <w:rsid w:val="007643E8"/>
    <w:rsid w:val="0077596E"/>
    <w:rsid w:val="007802D3"/>
    <w:rsid w:val="007814E0"/>
    <w:rsid w:val="00784CA9"/>
    <w:rsid w:val="00795AEE"/>
    <w:rsid w:val="007A5B3D"/>
    <w:rsid w:val="007A6CE0"/>
    <w:rsid w:val="007C2922"/>
    <w:rsid w:val="007D20B7"/>
    <w:rsid w:val="007D3172"/>
    <w:rsid w:val="007E634C"/>
    <w:rsid w:val="007E6D98"/>
    <w:rsid w:val="007F0BFF"/>
    <w:rsid w:val="00820525"/>
    <w:rsid w:val="00821E00"/>
    <w:rsid w:val="00822A94"/>
    <w:rsid w:val="00824B16"/>
    <w:rsid w:val="00832C4E"/>
    <w:rsid w:val="00833DCD"/>
    <w:rsid w:val="00835318"/>
    <w:rsid w:val="00835EF2"/>
    <w:rsid w:val="0083635C"/>
    <w:rsid w:val="008410EF"/>
    <w:rsid w:val="00842650"/>
    <w:rsid w:val="00843FB2"/>
    <w:rsid w:val="0084624B"/>
    <w:rsid w:val="00846BF2"/>
    <w:rsid w:val="00847818"/>
    <w:rsid w:val="0085143E"/>
    <w:rsid w:val="00851903"/>
    <w:rsid w:val="00853090"/>
    <w:rsid w:val="00855B35"/>
    <w:rsid w:val="0086076E"/>
    <w:rsid w:val="00863219"/>
    <w:rsid w:val="00865033"/>
    <w:rsid w:val="00866E56"/>
    <w:rsid w:val="00870DA4"/>
    <w:rsid w:val="008741D3"/>
    <w:rsid w:val="00882C81"/>
    <w:rsid w:val="00882F96"/>
    <w:rsid w:val="008864CC"/>
    <w:rsid w:val="008B6A5A"/>
    <w:rsid w:val="008D1020"/>
    <w:rsid w:val="008D25BE"/>
    <w:rsid w:val="008D46EF"/>
    <w:rsid w:val="008D7135"/>
    <w:rsid w:val="008E31F2"/>
    <w:rsid w:val="008F087D"/>
    <w:rsid w:val="008F2A73"/>
    <w:rsid w:val="00903947"/>
    <w:rsid w:val="009228CC"/>
    <w:rsid w:val="00925429"/>
    <w:rsid w:val="009272F9"/>
    <w:rsid w:val="00936DD7"/>
    <w:rsid w:val="009377A9"/>
    <w:rsid w:val="0093791D"/>
    <w:rsid w:val="00941A27"/>
    <w:rsid w:val="009423DA"/>
    <w:rsid w:val="00950F13"/>
    <w:rsid w:val="0095329F"/>
    <w:rsid w:val="00964803"/>
    <w:rsid w:val="0096576A"/>
    <w:rsid w:val="009662DC"/>
    <w:rsid w:val="00966D5E"/>
    <w:rsid w:val="0096705A"/>
    <w:rsid w:val="00971F33"/>
    <w:rsid w:val="00985F54"/>
    <w:rsid w:val="00995E26"/>
    <w:rsid w:val="009A7FDC"/>
    <w:rsid w:val="009B23D3"/>
    <w:rsid w:val="009B695D"/>
    <w:rsid w:val="009B76FF"/>
    <w:rsid w:val="009C2804"/>
    <w:rsid w:val="009C3E5D"/>
    <w:rsid w:val="009C40A7"/>
    <w:rsid w:val="009D578A"/>
    <w:rsid w:val="009E0FB1"/>
    <w:rsid w:val="009F22CD"/>
    <w:rsid w:val="009F24EB"/>
    <w:rsid w:val="009F63B7"/>
    <w:rsid w:val="009F7EF9"/>
    <w:rsid w:val="00A07154"/>
    <w:rsid w:val="00A121BF"/>
    <w:rsid w:val="00A135E5"/>
    <w:rsid w:val="00A16073"/>
    <w:rsid w:val="00A170B5"/>
    <w:rsid w:val="00A20961"/>
    <w:rsid w:val="00A21AAF"/>
    <w:rsid w:val="00A25C6F"/>
    <w:rsid w:val="00A3077D"/>
    <w:rsid w:val="00A355E4"/>
    <w:rsid w:val="00A420D7"/>
    <w:rsid w:val="00A43CDA"/>
    <w:rsid w:val="00A43EAA"/>
    <w:rsid w:val="00A441A5"/>
    <w:rsid w:val="00A46886"/>
    <w:rsid w:val="00A50D8C"/>
    <w:rsid w:val="00A51B8B"/>
    <w:rsid w:val="00A52019"/>
    <w:rsid w:val="00A617CA"/>
    <w:rsid w:val="00A63905"/>
    <w:rsid w:val="00A65A84"/>
    <w:rsid w:val="00A703D6"/>
    <w:rsid w:val="00A721B4"/>
    <w:rsid w:val="00A72A62"/>
    <w:rsid w:val="00A73ABA"/>
    <w:rsid w:val="00A8723E"/>
    <w:rsid w:val="00A90F38"/>
    <w:rsid w:val="00A9455D"/>
    <w:rsid w:val="00AA68CC"/>
    <w:rsid w:val="00AB12D7"/>
    <w:rsid w:val="00AB4B96"/>
    <w:rsid w:val="00AB53C6"/>
    <w:rsid w:val="00AB7248"/>
    <w:rsid w:val="00AC04CA"/>
    <w:rsid w:val="00AC18E0"/>
    <w:rsid w:val="00AC58E0"/>
    <w:rsid w:val="00AD2E41"/>
    <w:rsid w:val="00AD54D5"/>
    <w:rsid w:val="00AD58CC"/>
    <w:rsid w:val="00AD6AC5"/>
    <w:rsid w:val="00AE00EC"/>
    <w:rsid w:val="00B03398"/>
    <w:rsid w:val="00B03D97"/>
    <w:rsid w:val="00B131D3"/>
    <w:rsid w:val="00B1463F"/>
    <w:rsid w:val="00B20638"/>
    <w:rsid w:val="00B21DFA"/>
    <w:rsid w:val="00B22008"/>
    <w:rsid w:val="00B22BBC"/>
    <w:rsid w:val="00B2397C"/>
    <w:rsid w:val="00B26AA1"/>
    <w:rsid w:val="00B3313E"/>
    <w:rsid w:val="00B41E48"/>
    <w:rsid w:val="00B46972"/>
    <w:rsid w:val="00B556F9"/>
    <w:rsid w:val="00B57747"/>
    <w:rsid w:val="00B57B6D"/>
    <w:rsid w:val="00B6294E"/>
    <w:rsid w:val="00B707C1"/>
    <w:rsid w:val="00B70C6A"/>
    <w:rsid w:val="00B70E58"/>
    <w:rsid w:val="00B84C22"/>
    <w:rsid w:val="00B86751"/>
    <w:rsid w:val="00B86952"/>
    <w:rsid w:val="00B9362C"/>
    <w:rsid w:val="00B95A2E"/>
    <w:rsid w:val="00BA582F"/>
    <w:rsid w:val="00BC7B36"/>
    <w:rsid w:val="00BD153A"/>
    <w:rsid w:val="00BD3820"/>
    <w:rsid w:val="00BD67E3"/>
    <w:rsid w:val="00BE0A2D"/>
    <w:rsid w:val="00BE0D8F"/>
    <w:rsid w:val="00BE37D7"/>
    <w:rsid w:val="00BF3118"/>
    <w:rsid w:val="00BF364A"/>
    <w:rsid w:val="00BF6108"/>
    <w:rsid w:val="00C00A0B"/>
    <w:rsid w:val="00C03238"/>
    <w:rsid w:val="00C0416F"/>
    <w:rsid w:val="00C062A2"/>
    <w:rsid w:val="00C0699D"/>
    <w:rsid w:val="00C143C9"/>
    <w:rsid w:val="00C1485D"/>
    <w:rsid w:val="00C158F5"/>
    <w:rsid w:val="00C16770"/>
    <w:rsid w:val="00C21845"/>
    <w:rsid w:val="00C22516"/>
    <w:rsid w:val="00C23273"/>
    <w:rsid w:val="00C23AC3"/>
    <w:rsid w:val="00C2507E"/>
    <w:rsid w:val="00C2661F"/>
    <w:rsid w:val="00C31314"/>
    <w:rsid w:val="00C36883"/>
    <w:rsid w:val="00C42822"/>
    <w:rsid w:val="00C4379F"/>
    <w:rsid w:val="00C43996"/>
    <w:rsid w:val="00C43DDE"/>
    <w:rsid w:val="00C45742"/>
    <w:rsid w:val="00C547E2"/>
    <w:rsid w:val="00C579BB"/>
    <w:rsid w:val="00C62353"/>
    <w:rsid w:val="00C63D65"/>
    <w:rsid w:val="00C77F81"/>
    <w:rsid w:val="00C847D9"/>
    <w:rsid w:val="00C85989"/>
    <w:rsid w:val="00C87440"/>
    <w:rsid w:val="00C913E8"/>
    <w:rsid w:val="00CA4A5A"/>
    <w:rsid w:val="00CA62BC"/>
    <w:rsid w:val="00CB1413"/>
    <w:rsid w:val="00CC322E"/>
    <w:rsid w:val="00CD30D1"/>
    <w:rsid w:val="00D166B5"/>
    <w:rsid w:val="00D24DB0"/>
    <w:rsid w:val="00D36535"/>
    <w:rsid w:val="00D37CC5"/>
    <w:rsid w:val="00D47A47"/>
    <w:rsid w:val="00D5149D"/>
    <w:rsid w:val="00D55A3A"/>
    <w:rsid w:val="00D561CB"/>
    <w:rsid w:val="00D564F9"/>
    <w:rsid w:val="00D566A5"/>
    <w:rsid w:val="00D614A5"/>
    <w:rsid w:val="00D62313"/>
    <w:rsid w:val="00D74A02"/>
    <w:rsid w:val="00D80AB5"/>
    <w:rsid w:val="00D80D34"/>
    <w:rsid w:val="00D81264"/>
    <w:rsid w:val="00D83F8E"/>
    <w:rsid w:val="00D84CEF"/>
    <w:rsid w:val="00D87C9C"/>
    <w:rsid w:val="00D928F4"/>
    <w:rsid w:val="00D97D55"/>
    <w:rsid w:val="00DA04AE"/>
    <w:rsid w:val="00DA0FC7"/>
    <w:rsid w:val="00DA1AD7"/>
    <w:rsid w:val="00DA43E8"/>
    <w:rsid w:val="00DA6016"/>
    <w:rsid w:val="00DB0063"/>
    <w:rsid w:val="00DB3562"/>
    <w:rsid w:val="00DB48B8"/>
    <w:rsid w:val="00DC7E60"/>
    <w:rsid w:val="00DD57F7"/>
    <w:rsid w:val="00DE4622"/>
    <w:rsid w:val="00DF1F05"/>
    <w:rsid w:val="00E00575"/>
    <w:rsid w:val="00E011FB"/>
    <w:rsid w:val="00E014E5"/>
    <w:rsid w:val="00E06003"/>
    <w:rsid w:val="00E06240"/>
    <w:rsid w:val="00E11432"/>
    <w:rsid w:val="00E11572"/>
    <w:rsid w:val="00E1342B"/>
    <w:rsid w:val="00E17293"/>
    <w:rsid w:val="00E324DB"/>
    <w:rsid w:val="00E345A2"/>
    <w:rsid w:val="00E42BC8"/>
    <w:rsid w:val="00E42D8B"/>
    <w:rsid w:val="00E50722"/>
    <w:rsid w:val="00E51C5B"/>
    <w:rsid w:val="00E532DB"/>
    <w:rsid w:val="00E534F5"/>
    <w:rsid w:val="00E56994"/>
    <w:rsid w:val="00E621CE"/>
    <w:rsid w:val="00E629C1"/>
    <w:rsid w:val="00E66BD5"/>
    <w:rsid w:val="00E707FE"/>
    <w:rsid w:val="00E73E5D"/>
    <w:rsid w:val="00E76721"/>
    <w:rsid w:val="00E7686B"/>
    <w:rsid w:val="00E779B5"/>
    <w:rsid w:val="00E80A86"/>
    <w:rsid w:val="00E84617"/>
    <w:rsid w:val="00E851C3"/>
    <w:rsid w:val="00E86C98"/>
    <w:rsid w:val="00E86E11"/>
    <w:rsid w:val="00E908AC"/>
    <w:rsid w:val="00E91BFE"/>
    <w:rsid w:val="00E95E43"/>
    <w:rsid w:val="00E962B2"/>
    <w:rsid w:val="00E96F75"/>
    <w:rsid w:val="00EA1124"/>
    <w:rsid w:val="00EA7357"/>
    <w:rsid w:val="00EB0830"/>
    <w:rsid w:val="00EB1D9B"/>
    <w:rsid w:val="00EB2565"/>
    <w:rsid w:val="00EB2B33"/>
    <w:rsid w:val="00EB5B97"/>
    <w:rsid w:val="00EC12A3"/>
    <w:rsid w:val="00EC3E6C"/>
    <w:rsid w:val="00EC4409"/>
    <w:rsid w:val="00EC73F0"/>
    <w:rsid w:val="00ED1D58"/>
    <w:rsid w:val="00ED73B6"/>
    <w:rsid w:val="00EE225E"/>
    <w:rsid w:val="00EF1CC3"/>
    <w:rsid w:val="00EF3AAD"/>
    <w:rsid w:val="00F01BD4"/>
    <w:rsid w:val="00F029D7"/>
    <w:rsid w:val="00F04CB9"/>
    <w:rsid w:val="00F050E8"/>
    <w:rsid w:val="00F05D42"/>
    <w:rsid w:val="00F07AFD"/>
    <w:rsid w:val="00F101D3"/>
    <w:rsid w:val="00F11066"/>
    <w:rsid w:val="00F115F9"/>
    <w:rsid w:val="00F17C7C"/>
    <w:rsid w:val="00F23C27"/>
    <w:rsid w:val="00F260AB"/>
    <w:rsid w:val="00F27E5F"/>
    <w:rsid w:val="00F441B6"/>
    <w:rsid w:val="00F46E46"/>
    <w:rsid w:val="00F519DF"/>
    <w:rsid w:val="00F56A1B"/>
    <w:rsid w:val="00F56D78"/>
    <w:rsid w:val="00F65144"/>
    <w:rsid w:val="00F70887"/>
    <w:rsid w:val="00F712E8"/>
    <w:rsid w:val="00F732F0"/>
    <w:rsid w:val="00F831AF"/>
    <w:rsid w:val="00F85E6D"/>
    <w:rsid w:val="00F873E2"/>
    <w:rsid w:val="00F91CE9"/>
    <w:rsid w:val="00F9404E"/>
    <w:rsid w:val="00FA1DE3"/>
    <w:rsid w:val="00FB0303"/>
    <w:rsid w:val="00FB05ED"/>
    <w:rsid w:val="00FB4A3F"/>
    <w:rsid w:val="00FC038F"/>
    <w:rsid w:val="00FC6849"/>
    <w:rsid w:val="00FC6D7A"/>
    <w:rsid w:val="00FD0DE1"/>
    <w:rsid w:val="00FD3B33"/>
    <w:rsid w:val="00FD5F16"/>
    <w:rsid w:val="00FD650F"/>
    <w:rsid w:val="00FE10E7"/>
    <w:rsid w:val="00FE2328"/>
    <w:rsid w:val="201BE394"/>
    <w:rsid w:val="69D0BC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C52DE"/>
  <w15:docId w15:val="{2D3475D4-719D-3543-8D43-623D6EE13D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Liberation Serif" w:hAnsi="Liberation Serif" w:eastAsia="NSimSun" w:cs="Arial"/>
        <w:kern w:val="2"/>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2619F"/>
    <w:pPr>
      <w:suppressAutoHyphens w:val="0"/>
    </w:pPr>
    <w:rPr>
      <w:rFonts w:ascii="Times New Roman" w:hAnsi="Times New Roman" w:eastAsia="Times New Roman" w:cs="Times New Roman"/>
      <w:kern w:val="0"/>
      <w:lang w:eastAsia="pt-BR" w:bidi="ar-SA"/>
    </w:rPr>
  </w:style>
  <w:style w:type="paragraph" w:styleId="Ttulo1">
    <w:name w:val="heading 1"/>
    <w:basedOn w:val="Ttulo10"/>
    <w:next w:val="Corpodetexto"/>
    <w:qFormat/>
    <w:pPr>
      <w:outlineLvl w:val="0"/>
    </w:pPr>
    <w:rPr>
      <w:rFonts w:ascii="Liberation Serif" w:hAnsi="Liberation Serif" w:eastAsia="NSimSun" w:cs="Arial"/>
      <w:b/>
      <w:bCs/>
      <w:sz w:val="48"/>
      <w:szCs w:val="48"/>
    </w:rPr>
  </w:style>
  <w:style w:type="paragraph" w:styleId="Ttulo2">
    <w:name w:val="heading 2"/>
    <w:basedOn w:val="Normal"/>
    <w:link w:val="Ttulo2Char"/>
    <w:uiPriority w:val="9"/>
    <w:qFormat/>
    <w:rsid w:val="007C0842"/>
    <w:pPr>
      <w:spacing w:beforeAutospacing="1" w:afterAutospacing="1"/>
      <w:outlineLvl w:val="1"/>
    </w:pPr>
    <w:rPr>
      <w:b/>
      <w:bCs/>
      <w:sz w:val="36"/>
      <w:szCs w:val="36"/>
    </w:rPr>
  </w:style>
  <w:style w:type="paragraph" w:styleId="Ttulo5">
    <w:name w:val="heading 5"/>
    <w:basedOn w:val="Normal"/>
    <w:next w:val="Normal"/>
    <w:link w:val="Ttulo5Char"/>
    <w:uiPriority w:val="9"/>
    <w:semiHidden/>
    <w:unhideWhenUsed/>
    <w:qFormat/>
    <w:rsid w:val="00A9455D"/>
    <w:pPr>
      <w:keepNext/>
      <w:keepLines/>
      <w:spacing w:before="40"/>
      <w:outlineLvl w:val="4"/>
    </w:pPr>
    <w:rPr>
      <w:rFonts w:asciiTheme="majorHAnsi" w:hAnsiTheme="majorHAnsi" w:eastAsiaTheme="majorEastAsia" w:cstheme="majorBidi"/>
      <w:color w:val="117A02" w:themeColor="accent1" w:themeShade="BF"/>
    </w:rPr>
  </w:style>
  <w:style w:type="character" w:styleId="Fontepargpadro" w:default="1">
    <w:name w:val="Default Paragraph Font"/>
    <w:uiPriority w:val="1"/>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fui-styledtext" w:customStyle="1">
    <w:name w:val="fui-styledtext"/>
    <w:basedOn w:val="Fontepargpadro"/>
    <w:qFormat/>
  </w:style>
  <w:style w:type="character" w:styleId="Ttulo2Char" w:customStyle="1">
    <w:name w:val="Título 2 Char"/>
    <w:basedOn w:val="Fontepargpadro"/>
    <w:link w:val="Ttulo2"/>
    <w:uiPriority w:val="9"/>
    <w:qFormat/>
    <w:rsid w:val="007C0842"/>
    <w:rPr>
      <w:rFonts w:ascii="Times New Roman" w:hAnsi="Times New Roman" w:eastAsia="Times New Roman" w:cs="Times New Roman"/>
      <w:b/>
      <w:bCs/>
      <w:kern w:val="0"/>
      <w:sz w:val="36"/>
      <w:szCs w:val="36"/>
      <w:lang w:eastAsia="pt-BR" w:bidi="ar-SA"/>
    </w:rPr>
  </w:style>
  <w:style w:type="character" w:styleId="apple-converted-space" w:customStyle="1">
    <w:name w:val="apple-converted-space"/>
    <w:basedOn w:val="Fontepargpadro"/>
    <w:qFormat/>
    <w:rsid w:val="007C0842"/>
  </w:style>
  <w:style w:type="character" w:styleId="Forte">
    <w:name w:val="Strong"/>
    <w:basedOn w:val="Fontepargpadro"/>
    <w:uiPriority w:val="22"/>
    <w:qFormat/>
    <w:rsid w:val="007C0842"/>
    <w:rPr>
      <w:b/>
      <w:bCs/>
    </w:rPr>
  </w:style>
  <w:style w:type="character" w:styleId="Refdecomentrio">
    <w:name w:val="annotation reference"/>
    <w:basedOn w:val="Fontepargpadro"/>
    <w:uiPriority w:val="99"/>
    <w:semiHidden/>
    <w:unhideWhenUsed/>
    <w:qFormat/>
    <w:rsid w:val="00C237FC"/>
    <w:rPr>
      <w:sz w:val="16"/>
      <w:szCs w:val="16"/>
    </w:rPr>
  </w:style>
  <w:style w:type="character" w:styleId="TextodecomentrioChar" w:customStyle="1">
    <w:name w:val="Texto de comentário Char"/>
    <w:basedOn w:val="Fontepargpadro"/>
    <w:link w:val="Textodecomentrio"/>
    <w:uiPriority w:val="99"/>
    <w:qFormat/>
    <w:rsid w:val="00C237FC"/>
    <w:rPr>
      <w:rFonts w:ascii="Times New Roman" w:hAnsi="Times New Roman" w:eastAsia="Times New Roman" w:cs="Times New Roman"/>
      <w:kern w:val="0"/>
      <w:sz w:val="20"/>
      <w:szCs w:val="20"/>
      <w:lang w:eastAsia="pt-BR" w:bidi="ar-SA"/>
    </w:rPr>
  </w:style>
  <w:style w:type="character" w:styleId="AssuntodocomentrioChar" w:customStyle="1">
    <w:name w:val="Assunto do comentário Char"/>
    <w:basedOn w:val="TextodecomentrioChar"/>
    <w:link w:val="Assuntodocomentrio"/>
    <w:uiPriority w:val="99"/>
    <w:semiHidden/>
    <w:qFormat/>
    <w:rsid w:val="00C237FC"/>
    <w:rPr>
      <w:rFonts w:ascii="Times New Roman" w:hAnsi="Times New Roman" w:eastAsia="Times New Roman" w:cs="Times New Roman"/>
      <w:b/>
      <w:bCs/>
      <w:kern w:val="0"/>
      <w:sz w:val="20"/>
      <w:szCs w:val="20"/>
      <w:lang w:eastAsia="pt-BR" w:bidi="ar-SA"/>
    </w:rPr>
  </w:style>
  <w:style w:type="character" w:styleId="Marcadoresuser" w:customStyle="1">
    <w:name w:val="Marcadores (user)"/>
    <w:qFormat/>
    <w:rPr>
      <w:rFonts w:ascii="OpenSymbol" w:hAnsi="OpenSymbol" w:eastAsia="OpenSymbol" w:cs="OpenSymbol"/>
    </w:rPr>
  </w:style>
  <w:style w:type="character" w:styleId="Hyperlink">
    <w:name w:val="Hyperlink"/>
    <w:rPr>
      <w:color w:val="000080"/>
      <w:u w:val="single"/>
    </w:rPr>
  </w:style>
  <w:style w:type="paragraph" w:styleId="Ttulo10" w:customStyle="1">
    <w:name w:val="Título1"/>
    <w:basedOn w:val="Normal"/>
    <w:next w:val="Corpodetexto"/>
    <w:qFormat/>
    <w:pPr>
      <w:keepNext/>
      <w:spacing w:before="240" w:after="120"/>
    </w:pPr>
    <w:rPr>
      <w:rFonts w:ascii="Liberation Sans" w:hAnsi="Liberation Sans" w:eastAsia="Microsoft YaHei"/>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styleId="ndice" w:customStyle="1">
    <w:name w:val="Índice"/>
    <w:basedOn w:val="Normal"/>
    <w:qFormat/>
    <w:pPr>
      <w:suppressLineNumbers/>
    </w:pPr>
  </w:style>
  <w:style w:type="paragraph" w:styleId="Ttulouser" w:customStyle="1">
    <w:name w:val="Título (user)"/>
    <w:basedOn w:val="Normal"/>
    <w:next w:val="Corpodetexto"/>
    <w:qFormat/>
    <w:pPr>
      <w:keepNext/>
      <w:spacing w:before="240" w:after="120"/>
    </w:pPr>
    <w:rPr>
      <w:rFonts w:ascii="Liberation Sans" w:hAnsi="Liberation Sans" w:eastAsia="Microsoft YaHei" w:cs="Arial"/>
      <w:sz w:val="28"/>
      <w:szCs w:val="28"/>
    </w:rPr>
  </w:style>
  <w:style w:type="paragraph" w:styleId="ndiceuser" w:customStyle="1">
    <w:name w:val="Índice (user)"/>
    <w:basedOn w:val="Normal"/>
    <w:qFormat/>
    <w:pPr>
      <w:suppressLineNumbers/>
    </w:pPr>
  </w:style>
  <w:style w:type="paragraph" w:styleId="Ttulo">
    <w:name w:val="Title"/>
    <w:basedOn w:val="Normal"/>
    <w:next w:val="Corpodetexto"/>
    <w:uiPriority w:val="10"/>
    <w:qFormat/>
    <w:pPr>
      <w:keepNext/>
      <w:spacing w:before="240" w:after="120"/>
    </w:pPr>
    <w:rPr>
      <w:rFonts w:ascii="Liberation Sans" w:hAnsi="Liberation Sans" w:eastAsia="Microsoft YaHei"/>
      <w:sz w:val="28"/>
      <w:szCs w:val="28"/>
    </w:rPr>
  </w:style>
  <w:style w:type="paragraph" w:styleId="Normal1" w:customStyle="1">
    <w:name w:val="Normal1"/>
    <w:qFormat/>
    <w:pPr>
      <w:widowControl w:val="0"/>
      <w:textAlignment w:val="baseline"/>
    </w:pPr>
  </w:style>
  <w:style w:type="paragraph" w:styleId="Cabealhoerodapuser" w:customStyle="1">
    <w:name w:val="Cabeçalho e rodapé (user)"/>
    <w:basedOn w:val="Normal"/>
    <w:qFormat/>
  </w:style>
  <w:style w:type="paragraph" w:styleId="Cabealhoerodap" w:customStyle="1">
    <w:name w:val="Cabeçalho e rodapé"/>
    <w:basedOn w:val="Normal"/>
    <w:qFormat/>
    <w:pPr>
      <w:suppressLineNumbers/>
      <w:tabs>
        <w:tab w:val="center" w:pos="4819"/>
        <w:tab w:val="right" w:pos="9638"/>
      </w:tabs>
    </w:pPr>
  </w:style>
  <w:style w:type="paragraph" w:styleId="Cabealho1" w:customStyle="1">
    <w:name w:val="Cabeçalho1"/>
    <w:basedOn w:val="Normal2"/>
    <w:qFormat/>
    <w:pPr>
      <w:tabs>
        <w:tab w:val="center" w:pos="4680"/>
        <w:tab w:val="right" w:pos="9360"/>
      </w:tabs>
    </w:pPr>
  </w:style>
  <w:style w:type="paragraph" w:styleId="Rodap">
    <w:name w:val="footer"/>
    <w:basedOn w:val="Cabealhoerodap"/>
  </w:style>
  <w:style w:type="paragraph" w:styleId="Normal2" w:customStyle="1">
    <w:name w:val="Normal2"/>
    <w:qFormat/>
    <w:pPr>
      <w:widowControl w:val="0"/>
      <w:textAlignment w:val="baseline"/>
    </w:pPr>
  </w:style>
  <w:style w:type="paragraph" w:styleId="PargrafodaLista">
    <w:name w:val="List Paragraph"/>
    <w:basedOn w:val="Normal"/>
    <w:uiPriority w:val="34"/>
    <w:qFormat/>
    <w:rsid w:val="00B61182"/>
    <w:pPr>
      <w:ind w:left="720"/>
      <w:contextualSpacing/>
    </w:pPr>
    <w:rPr>
      <w:rFonts w:cs="Mangal"/>
      <w:szCs w:val="21"/>
    </w:rPr>
  </w:style>
  <w:style w:type="paragraph" w:styleId="my-2" w:customStyle="1">
    <w:name w:val="my-2"/>
    <w:basedOn w:val="Normal"/>
    <w:qFormat/>
    <w:rsid w:val="007C0842"/>
    <w:pPr>
      <w:spacing w:beforeAutospacing="1" w:afterAutospacing="1"/>
    </w:pPr>
  </w:style>
  <w:style w:type="paragraph" w:styleId="p1" w:customStyle="1">
    <w:name w:val="p1"/>
    <w:basedOn w:val="Normal"/>
    <w:qFormat/>
    <w:rsid w:val="00BC3A86"/>
    <w:rPr>
      <w:rFonts w:ascii="Arial" w:hAnsi="Arial"/>
      <w:color w:val="000000"/>
      <w:sz w:val="18"/>
      <w:szCs w:val="18"/>
    </w:rPr>
  </w:style>
  <w:style w:type="paragraph" w:styleId="p2" w:customStyle="1">
    <w:name w:val="p2"/>
    <w:basedOn w:val="Normal"/>
    <w:qFormat/>
    <w:rsid w:val="00BC3A86"/>
    <w:rPr>
      <w:rFonts w:ascii="Arial" w:hAnsi="Arial"/>
      <w:color w:val="000000"/>
      <w:sz w:val="15"/>
      <w:szCs w:val="15"/>
    </w:rPr>
  </w:style>
  <w:style w:type="paragraph" w:styleId="Textodecomentrio">
    <w:name w:val="annotation text"/>
    <w:basedOn w:val="Normal"/>
    <w:link w:val="TextodecomentrioChar"/>
    <w:uiPriority w:val="99"/>
    <w:unhideWhenUsed/>
    <w:rsid w:val="00C237FC"/>
    <w:rPr>
      <w:sz w:val="20"/>
      <w:szCs w:val="20"/>
    </w:rPr>
  </w:style>
  <w:style w:type="paragraph" w:styleId="Assuntodocomentrio">
    <w:name w:val="annotation subject"/>
    <w:basedOn w:val="Textodecomentrio"/>
    <w:next w:val="Textodecomentrio"/>
    <w:link w:val="AssuntodocomentrioChar"/>
    <w:uiPriority w:val="99"/>
    <w:semiHidden/>
    <w:unhideWhenUsed/>
    <w:qFormat/>
    <w:rsid w:val="00C237FC"/>
    <w:rPr>
      <w:b/>
      <w:bCs/>
    </w:rPr>
  </w:style>
  <w:style w:type="paragraph" w:styleId="Textodebalo">
    <w:name w:val="Balloon Text"/>
    <w:basedOn w:val="Normal"/>
    <w:link w:val="TextodebaloChar"/>
    <w:uiPriority w:val="99"/>
    <w:semiHidden/>
    <w:unhideWhenUsed/>
    <w:rsid w:val="00033DDA"/>
    <w:rPr>
      <w:rFonts w:ascii="Tahoma" w:hAnsi="Tahoma" w:cs="Tahoma"/>
      <w:sz w:val="16"/>
      <w:szCs w:val="16"/>
    </w:rPr>
  </w:style>
  <w:style w:type="character" w:styleId="TextodebaloChar" w:customStyle="1">
    <w:name w:val="Texto de balão Char"/>
    <w:basedOn w:val="Fontepargpadro"/>
    <w:link w:val="Textodebalo"/>
    <w:uiPriority w:val="99"/>
    <w:semiHidden/>
    <w:rsid w:val="00033DDA"/>
    <w:rPr>
      <w:rFonts w:ascii="Tahoma" w:hAnsi="Tahoma" w:eastAsia="Times New Roman" w:cs="Tahoma"/>
      <w:kern w:val="0"/>
      <w:sz w:val="16"/>
      <w:szCs w:val="16"/>
      <w:lang w:eastAsia="pt-BR" w:bidi="ar-SA"/>
    </w:rPr>
  </w:style>
  <w:style w:type="character" w:styleId="HiperlinkVisitado">
    <w:name w:val="FollowedHyperlink"/>
    <w:basedOn w:val="Fontepargpadro"/>
    <w:uiPriority w:val="99"/>
    <w:semiHidden/>
    <w:unhideWhenUsed/>
    <w:rsid w:val="00C143C9"/>
    <w:rPr>
      <w:color w:val="551A8B" w:themeColor="followedHyperlink"/>
      <w:u w:val="single"/>
    </w:rPr>
  </w:style>
  <w:style w:type="character" w:styleId="MenoPendente">
    <w:name w:val="Unresolved Mention"/>
    <w:basedOn w:val="Fontepargpadro"/>
    <w:uiPriority w:val="99"/>
    <w:semiHidden/>
    <w:unhideWhenUsed/>
    <w:rsid w:val="00C42822"/>
    <w:rPr>
      <w:color w:val="605E5C"/>
      <w:shd w:val="clear" w:color="auto" w:fill="E1DFDD"/>
    </w:rPr>
  </w:style>
  <w:style w:type="character" w:styleId="Ttulo5Char" w:customStyle="1">
    <w:name w:val="Título 5 Char"/>
    <w:basedOn w:val="Fontepargpadro"/>
    <w:link w:val="Ttulo5"/>
    <w:uiPriority w:val="9"/>
    <w:semiHidden/>
    <w:rsid w:val="00A9455D"/>
    <w:rPr>
      <w:rFonts w:asciiTheme="majorHAnsi" w:hAnsiTheme="majorHAnsi" w:eastAsiaTheme="majorEastAsia" w:cstheme="majorBidi"/>
      <w:color w:val="117A02" w:themeColor="accent1" w:themeShade="BF"/>
      <w:kern w:val="0"/>
      <w:lang w:eastAsia="pt-BR" w:bidi="ar-SA"/>
    </w:rPr>
  </w:style>
  <w:style w:type="paragraph" w:styleId="Cabealho">
    <w:name w:val="header"/>
    <w:basedOn w:val="Normal"/>
    <w:link w:val="CabealhoChar"/>
    <w:uiPriority w:val="99"/>
    <w:unhideWhenUsed/>
    <w:rsid w:val="0086076E"/>
    <w:pPr>
      <w:tabs>
        <w:tab w:val="center" w:pos="4252"/>
        <w:tab w:val="right" w:pos="8504"/>
      </w:tabs>
    </w:pPr>
  </w:style>
  <w:style w:type="character" w:styleId="CabealhoChar" w:customStyle="1">
    <w:name w:val="Cabeçalho Char"/>
    <w:basedOn w:val="Fontepargpadro"/>
    <w:link w:val="Cabealho"/>
    <w:uiPriority w:val="99"/>
    <w:rsid w:val="0086076E"/>
    <w:rPr>
      <w:rFonts w:ascii="Times New Roman" w:hAnsi="Times New Roman" w:eastAsia="Times New Roman" w:cs="Times New Roman"/>
      <w:kern w:val="0"/>
      <w:lang w:eastAsia="pt-BR" w:bidi="ar-SA"/>
    </w:rPr>
  </w:style>
  <w:style w:type="paragraph" w:styleId="Pr-formataoHTML">
    <w:name w:val="HTML Preformatted"/>
    <w:basedOn w:val="Normal"/>
    <w:link w:val="Pr-formataoHTMLChar"/>
    <w:uiPriority w:val="99"/>
    <w:semiHidden/>
    <w:unhideWhenUsed/>
    <w:rsid w:val="00E91BFE"/>
    <w:rPr>
      <w:rFonts w:ascii="Consolas" w:hAnsi="Consolas"/>
      <w:sz w:val="20"/>
      <w:szCs w:val="20"/>
    </w:rPr>
  </w:style>
  <w:style w:type="character" w:styleId="Pr-formataoHTMLChar" w:customStyle="1">
    <w:name w:val="Pré-formatação HTML Char"/>
    <w:basedOn w:val="Fontepargpadro"/>
    <w:link w:val="Pr-formataoHTML"/>
    <w:uiPriority w:val="99"/>
    <w:semiHidden/>
    <w:rsid w:val="00E91BFE"/>
    <w:rPr>
      <w:rFonts w:ascii="Consolas" w:hAnsi="Consolas" w:eastAsia="Times New Roman" w:cs="Times New Roman"/>
      <w:kern w:val="0"/>
      <w:sz w:val="20"/>
      <w:szCs w:val="20"/>
      <w:lang w:eastAsia="pt-BR" w:bidi="ar-SA"/>
    </w:rPr>
  </w:style>
  <w:style w:type="paragraph" w:styleId="Reviso">
    <w:name w:val="Revision"/>
    <w:hidden/>
    <w:uiPriority w:val="99"/>
    <w:semiHidden/>
    <w:rsid w:val="005B3511"/>
    <w:pPr>
      <w:suppressAutoHyphens w:val="0"/>
    </w:pPr>
    <w:rPr>
      <w:rFonts w:ascii="Times New Roman" w:hAnsi="Times New Roman" w:eastAsia="Times New Roman" w:cs="Times New Roman"/>
      <w:kern w:val="0"/>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https://www.adufpb.org.br/site/artigo-fome-coletiva-pandemia-e-genocidio/" TargetMode="External" Id="rId117" /><Relationship Type="http://schemas.openxmlformats.org/officeDocument/2006/relationships/hyperlink" Target="https://revistas.marilia.unesp.br/index.php/aurora/article/download/2353/1914/41725" TargetMode="External" Id="rId21" /><Relationship Type="http://schemas.openxmlformats.org/officeDocument/2006/relationships/hyperlink" Target="https://alimentacaoescolar.org.br/wp-content/uploads/2024/08/2019_DIALOGOS-SOBRE-DHAA_UFJF.pdf" TargetMode="External" Id="rId42" /><Relationship Type="http://schemas.openxmlformats.org/officeDocument/2006/relationships/hyperlink" Target="https://books.scielo.org/id/v6rkd/pdf/canesqui-9788575413876-04.pdf" TargetMode="External" Id="rId63" /><Relationship Type="http://schemas.openxmlformats.org/officeDocument/2006/relationships/hyperlink" Target="https://www.saude.sp.gov.br/resources/instituto-de-saude/homepage/pdfs/temassaudecoletiva25.pdf" TargetMode="External" Id="rId84" /><Relationship Type="http://schemas.openxmlformats.org/officeDocument/2006/relationships/hyperlink" Target="https://www.who.int/news/item/22-08-2025-famine-confirmed-for-first-time-in-gaza" TargetMode="External" Id="rId138" /><Relationship Type="http://schemas.openxmlformats.org/officeDocument/2006/relationships/hyperlink" Target="https://www.planalto.gov.br/ccivil_03/decreto/1990-1994/d0849.htm" TargetMode="External" Id="rId159" /><Relationship Type="http://schemas.openxmlformats.org/officeDocument/2006/relationships/hyperlink" Target="https://yplus.ps/wp-content/uploads/2021/01/Said-Edward-The-Question-of-Palestine.pdf" TargetMode="External" Id="rId170" /><Relationship Type="http://schemas.openxmlformats.org/officeDocument/2006/relationships/hyperlink" Target="https://www.mpsp.mp.br/portal/page/portal/documentacao_e_divulgacao/doc_biblioteca/bibli_servicos_produtos/BibliotecaDigital/BibDigitalLivros/TodosOsLivros/Direito-humano-a-alimentacao-desafios-e-conquistas.pdf" TargetMode="External" Id="rId191" /><Relationship Type="http://schemas.openxmlformats.org/officeDocument/2006/relationships/hyperlink" Target="https://ipisresearch.be/" TargetMode="External" Id="rId107" /><Relationship Type="http://schemas.openxmlformats.org/officeDocument/2006/relationships/hyperlink" Target="https://history.state.gov/milestones/1993-2000/oslo" TargetMode="External" Id="rId11" /><Relationship Type="http://schemas.openxmlformats.org/officeDocument/2006/relationships/hyperlink" Target="https://www.planalto.gov.br/ccivil_03/decreto/2003/d4582.htm" TargetMode="External" Id="rId32" /><Relationship Type="http://schemas.openxmlformats.org/officeDocument/2006/relationships/hyperlink" Target="https://researchrepository.ilo.org/esploro/outputs/journalArticle/The-United-Nations-conference-on-food/995319197902676" TargetMode="External" Id="rId53" /><Relationship Type="http://schemas.openxmlformats.org/officeDocument/2006/relationships/hyperlink" Target="https://www.planalto.gov.br/ccivil_03/decreto/2002/d4388.htm" TargetMode="External" Id="rId74" /><Relationship Type="http://schemas.openxmlformats.org/officeDocument/2006/relationships/hyperlink" Target="https://revistas.usp.br/extraprensa/article/view/220408" TargetMode="External" Id="rId128" /><Relationship Type="http://schemas.openxmlformats.org/officeDocument/2006/relationships/hyperlink" Target="https://openstax.org/books/introduction-anthropology/pages/14-3-food-and-cultural-identity" TargetMode="External" Id="rId149" /><Relationship Type="http://schemas.openxmlformats.org/officeDocument/2006/relationships/webSettings" Target="webSettings.xml" Id="rId5" /><Relationship Type="http://schemas.openxmlformats.org/officeDocument/2006/relationships/hyperlink" Target="https://unicef.studio.crasman.fi/pub/public/pdf/HRBA_manuaali_FINAL_pdf_small2.pdf" TargetMode="External" Id="rId95" /><Relationship Type="http://schemas.openxmlformats.org/officeDocument/2006/relationships/hyperlink" Target="https://ri.ucsal.br/server/api/core/bitstreams/dac7787c-ddfe-43ad-b2da-6d8b6b50a019/content" TargetMode="External" Id="rId160" /><Relationship Type="http://schemas.openxmlformats.org/officeDocument/2006/relationships/hyperlink" Target="https://www.periodicos.unc.br/index.php/acaddir/article/view/4427" TargetMode="External" Id="rId181" /><Relationship Type="http://schemas.openxmlformats.org/officeDocument/2006/relationships/hyperlink" Target="https://www.researchgate.net/publication/335130554_A_fome_e_o_sistema_alimentar_a_violacao_da_dignidade_humana" TargetMode="External" Id="rId22" /><Relationship Type="http://schemas.openxmlformats.org/officeDocument/2006/relationships/hyperlink" Target="https://culinariac5.wordpress.com/wp-content/uploads/2014/02/henrique-carneiro-comida-e-sociedadesignificados-sociais-na-histc3b3ria-da-alimentac3a7c3a3o.pdf" TargetMode="External" Id="rId43" /><Relationship Type="http://schemas.openxmlformats.org/officeDocument/2006/relationships/hyperlink" Target="https://chicagounbound.uchicago.edu/cgi/viewcontent.cgi?article=1814&amp;context=cjil" TargetMode="External" Id="rId64" /><Relationship Type="http://schemas.openxmlformats.org/officeDocument/2006/relationships/hyperlink" Target="http://www.waldemarguimaraes.com.br/2011/06/12/" TargetMode="External" Id="rId118" /><Relationship Type="http://schemas.openxmlformats.org/officeDocument/2006/relationships/hyperlink" Target="https://agenciabrasil.ebc.com.br/internacional/noticia/2024-10/onu-alerta-para-agravamento-da-fome-em-gaza-no-sudao-e-mali" TargetMode="External" Id="rId139" /><Relationship Type="http://schemas.openxmlformats.org/officeDocument/2006/relationships/hyperlink" Target="https://outraspalavras.net/crise-civilizatoria/para-desvendar-a-cilada-do-realismo-capitalista/" TargetMode="External" Id="rId85" /><Relationship Type="http://schemas.openxmlformats.org/officeDocument/2006/relationships/hyperlink" Target="https://www.academia.edu/94797066/CURSO_COMPLETO_DE_DIREITO_AGRA_RIO" TargetMode="External" Id="rId150" /><Relationship Type="http://schemas.openxmlformats.org/officeDocument/2006/relationships/hyperlink" Target="https://revistas.udesc.br/index.php/tempo/article/view/2175180313322021e0107" TargetMode="External" Id="rId171" /><Relationship Type="http://schemas.openxmlformats.org/officeDocument/2006/relationships/hyperlink" Target="https://nyeleni.org/en/declaracao-de-nyeleny-foro-mundial-pela-soberania-alimentar/" TargetMode="External" Id="rId192" /><Relationship Type="http://schemas.openxmlformats.org/officeDocument/2006/relationships/hyperlink" Target="https://www.actioncontrelafaim.org/en/news/press/yemen-starvation-may-have-been-used-as-a-method-of-warfare/" TargetMode="External" Id="rId12" /><Relationship Type="http://schemas.openxmlformats.org/officeDocument/2006/relationships/hyperlink" Target="https://www.planalto.gov.br/ccivil_03/constituicao/emendas/emc/emc64.htm" TargetMode="External" Id="rId33" /><Relationship Type="http://schemas.openxmlformats.org/officeDocument/2006/relationships/hyperlink" Target="https://www.ifpri.org/" TargetMode="External" Id="rId108" /><Relationship Type="http://schemas.openxmlformats.org/officeDocument/2006/relationships/hyperlink" Target="https://www.gepec.ufscar.br/publicacoes/livros-e-colecoes/marx-e-engels/o-capital-livro-1.pdf" TargetMode="External" Id="rId129" /><Relationship Type="http://schemas.openxmlformats.org/officeDocument/2006/relationships/hyperlink" Target="http://crmm.nepp-dh.ufrj.br/onu2-11-4.html" TargetMode="External" Id="rId54" /><Relationship Type="http://schemas.openxmlformats.org/officeDocument/2006/relationships/hyperlink" Target="https://afrocentricidade.wordpress.com/wp-content/uploads/2012/06/os-condenados-da-terra-frantz-fanon.pdf" TargetMode="External" Id="rId75" /><Relationship Type="http://schemas.openxmlformats.org/officeDocument/2006/relationships/hyperlink" Target="https://undocs.org/A/HRC/46/54" TargetMode="External" Id="rId96" /><Relationship Type="http://schemas.openxmlformats.org/officeDocument/2006/relationships/hyperlink" Target="https://agenciabrasil.ebc.com.br/internacional/noticia/2024-10/onu-alerta-para-agravamento-da-fome-em-gaza-no-sudao-e-mali-em-2025" TargetMode="External" Id="rId140" /><Relationship Type="http://schemas.openxmlformats.org/officeDocument/2006/relationships/hyperlink" Target="http://www2.senado.leg.br/bdsf/bitstream/handle/id/377/r138-16.pdf?sequence=4&amp;isAllowed=y" TargetMode="External" Id="rId161" /><Relationship Type="http://schemas.openxmlformats.org/officeDocument/2006/relationships/hyperlink" Target="https://www.cnnbrasil.com.br/internacional/libano-acusa-israel-de-destruir-terras-agricolas-em-ataques/" TargetMode="External" Id="rId182" /><Relationship Type="http://schemas.openxmlformats.org/officeDocument/2006/relationships/footnotes" Target="footnotes.xml" Id="rId6" /><Relationship Type="http://schemas.openxmlformats.org/officeDocument/2006/relationships/hyperlink" Target="https://periodicos.unb.br/index.php/rbb/article/download/7663/6323/13291" TargetMode="External" Id="rId23" /><Relationship Type="http://schemas.openxmlformats.org/officeDocument/2006/relationships/hyperlink" Target="https://litci.org/pt/2023/11/21/historia-os-partidos-politicos-na-luta-palestina/" TargetMode="External" Id="rId119" /><Relationship Type="http://schemas.openxmlformats.org/officeDocument/2006/relationships/hyperlink" Target="https://bdor.sibi.ufrj.br/bitstream/doc/370/1/323%20PDF%20-%20OCR%20-%20RED.pdf" TargetMode="External" Id="rId44" /><Relationship Type="http://schemas.openxmlformats.org/officeDocument/2006/relationships/hyperlink" Target="https://www.scielo.br/j/sssoc/a/7GNQn7tYqWL6wYZncbLRnSN/" TargetMode="External" Id="rId65" /><Relationship Type="http://schemas.openxmlformats.org/officeDocument/2006/relationships/hyperlink" Target="https://www.livrariaunesp.com.br/israel-e-palestina-a-historia-de-um-conflito-sem-vencedores-do-seculo-xix-aos-nossos-dias-jeanpierre-filiu-editora-vozes-9788532671356/p" TargetMode="External" Id="rId86" /><Relationship Type="http://schemas.openxmlformats.org/officeDocument/2006/relationships/hyperlink" Target="https://www.scielo.br/j/ha/a/CkxcntW87JwfkN8PbMJMNcH/?format=pdf&amp;lang=pt" TargetMode="External" Id="rId130" /><Relationship Type="http://schemas.openxmlformats.org/officeDocument/2006/relationships/hyperlink" Target="https://www.oxfam.org/en/press-releases/people-northern-gaza-forced-survive-245-calories-day-less-can-beans-oxfam" TargetMode="External" Id="rId151" /><Relationship Type="http://schemas.openxmlformats.org/officeDocument/2006/relationships/hyperlink" Target="https://jornalocasarao.uff.br/2025/10/11/fome-como-arma-de-gaza-ao-brasil-o-exterminio-silencioso-de-um-povo/" TargetMode="External" Id="rId172" /><Relationship Type="http://schemas.openxmlformats.org/officeDocument/2006/relationships/hyperlink" Target="https://archive.org/details/politicsofhunger00cpau_0" TargetMode="External" Id="rId193" /><Relationship Type="http://schemas.openxmlformats.org/officeDocument/2006/relationships/hyperlink" Target="https://pdfcoffee.com/nutricidepdf-pdf-free.html" TargetMode="External" Id="rId13" /><Relationship Type="http://schemas.openxmlformats.org/officeDocument/2006/relationships/hyperlink" Target="https://www.un.org/unispal/document/gaza-strip-ipc-report-sep24-apr25/" TargetMode="External" Id="rId109" /><Relationship Type="http://schemas.openxmlformats.org/officeDocument/2006/relationships/hyperlink" Target="https://brasilescola.uol.com.br/geografia/o-conflito-na-palestina-faixa-gaza-1990-aos-dias-atuais.htm" TargetMode="External" Id="rId34" /><Relationship Type="http://schemas.openxmlformats.org/officeDocument/2006/relationships/hyperlink" Target="https://www.ipea.gov.br/participacao/images/pdfs/conferencias/Seguranca_Alimentar_II/textos_referencia_2_conferencia_seguranca_alimentar.pdf" TargetMode="External" Id="rId55" /><Relationship Type="http://schemas.openxmlformats.org/officeDocument/2006/relationships/hyperlink" Target="https://openknowledge.fao.org/server/api/core/bitstreams/b4db4b8d-c32e-4eef-82ca-fb9fe633f29e/content" TargetMode="External" Id="rId76" /><Relationship Type="http://schemas.openxmlformats.org/officeDocument/2006/relationships/hyperlink" Target="https://www.hrw.org/report/2021/04/27/threshold-crossed/israeli-authorities-and-crimes-apartheid-and-persecution" TargetMode="External" Id="rId97" /><Relationship Type="http://schemas.openxmlformats.org/officeDocument/2006/relationships/hyperlink" Target="https://litci.org/pt/2023/11/21/historia-os-partidos-politicos-na-luta-palestina/" TargetMode="External" Id="rId120" /><Relationship Type="http://schemas.openxmlformats.org/officeDocument/2006/relationships/hyperlink" Target="https://www.planalto.gov.br/ccivil_03/atos/decretos/1952/d30822.html" TargetMode="External" Id="rId141" /><Relationship Type="http://schemas.openxmlformats.org/officeDocument/2006/relationships/endnotes" Target="endnotes.xml" Id="rId7" /><Relationship Type="http://schemas.openxmlformats.org/officeDocument/2006/relationships/hyperlink" Target="https://metodos.wordpress.com/wp-content/uploads/2008/02/reckwitz_toward_a_theory_of_social_practices.pdf" TargetMode="External" Id="rId162" /><Relationship Type="http://schemas.openxmlformats.org/officeDocument/2006/relationships/hyperlink" Target="https://www.jstor.org/stable/2500600" TargetMode="External" Id="rId183" /><Relationship Type="http://schemas.openxmlformats.org/officeDocument/2006/relationships/numbering" Target="numbering.xml" Id="rId2" /><Relationship Type="http://schemas.openxmlformats.org/officeDocument/2006/relationships/hyperlink" Target="https://www.planalto.gov.br/ccivil_03/constituicao/constituicaocompilado.htm" TargetMode="External" Id="rId29" /><Relationship Type="http://schemas.openxmlformats.org/officeDocument/2006/relationships/hyperlink" Target="https://www.infomoney.com.br/mundo/israel-amplia-cerco-a-gaza-e-onu-alerta-para-colapso-humanitario-alem-do-desumano/" TargetMode="External" Id="rId24" /><Relationship Type="http://schemas.openxmlformats.org/officeDocument/2006/relationships/hyperlink" Target="https://revistas.usp.br/sausoc/pt_BR/article/view/228353/206680" TargetMode="External" Id="rId40" /><Relationship Type="http://schemas.openxmlformats.org/officeDocument/2006/relationships/hyperlink" Target="https://files.cercomp.ufg.br/weby/up/473/o/CASTRO__Josu%C3%A9_de_-_Geografia_da_Fome.pdf" TargetMode="External" Id="rId45" /><Relationship Type="http://schemas.openxmlformats.org/officeDocument/2006/relationships/hyperlink" Target="https://israeled.org/a-declaracao-balfour/" TargetMode="External" Id="rId66" /><Relationship Type="http://schemas.openxmlformats.org/officeDocument/2006/relationships/hyperlink" Target="https://ppl-ai-file-upload.s3.amazonaws.com/web/direct-files/attachments/39522267/586869d7-43d7-48c6-8360-b43a1a4c9143/paste.txt" TargetMode="External" Id="rId87" /><Relationship Type="http://schemas.openxmlformats.org/officeDocument/2006/relationships/hyperlink" Target="https://revistas.ufpr.br/cejur/article/view/16750" TargetMode="External" Id="rId110" /><Relationship Type="http://schemas.openxmlformats.org/officeDocument/2006/relationships/hyperlink" Target="https://petarquiteturaufmg.wordpress.com/wp-content/uploads/2013/04/laraia-cultura-um-conceito-antropolc3b3gico.pdf" TargetMode="External" Id="rId115" /><Relationship Type="http://schemas.openxmlformats.org/officeDocument/2006/relationships/hyperlink" Target="https://is.muni.cz/el/1423/jaro2017/SAN106/_Sidney_W._Mintz__Sweetness_and_Power.pdf" TargetMode="External" Id="rId131" /><Relationship Type="http://schemas.openxmlformats.org/officeDocument/2006/relationships/hyperlink" Target="https://indexlaw.org/index.php/rdaa/article/view/1262/1697" TargetMode="External" Id="rId136" /><Relationship Type="http://schemas.openxmlformats.org/officeDocument/2006/relationships/hyperlink" Target="https://www.indexlaw.org/index.php/rdb/article/view/8400/6781" TargetMode="External" Id="rId157" /><Relationship Type="http://schemas.openxmlformats.org/officeDocument/2006/relationships/hyperlink" Target="https://pt.scribd.com/document/141545901/Georg-Simmel-Sociologia-da-Refeicao" TargetMode="External" Id="rId178" /><Relationship Type="http://schemas.openxmlformats.org/officeDocument/2006/relationships/hyperlink" Target="https://www.scielo.br/j/rbh/a/FmYs48dr3PBSQ9JxhrG5ckK/?lang=pt" TargetMode="External" Id="rId61" /><Relationship Type="http://schemas.openxmlformats.org/officeDocument/2006/relationships/hyperlink" Target="https://ifz.org.br/global-report-on-food-crises-2025/" TargetMode="External" Id="rId82" /><Relationship Type="http://schemas.openxmlformats.org/officeDocument/2006/relationships/hyperlink" Target="https://pactocontrafome.org/apartheid-alimentar-a-fome-tem-cor-cep-e-classe/" TargetMode="External" Id="rId152" /><Relationship Type="http://schemas.openxmlformats.org/officeDocument/2006/relationships/hyperlink" Target="https://www.dw.com/pt-br/fome-um-crime-de-guerra-que-permanece-impune/a-73679013" TargetMode="External" Id="rId173" /><Relationship Type="http://schemas.openxmlformats.org/officeDocument/2006/relationships/hyperlink" Target="https://www.nytimes.com/2026/04/09/world/middleeast/lebanon-israel-iran-war-airstrikes.html" TargetMode="External" Id="rId194" /><Relationship Type="http://schemas.openxmlformats.org/officeDocument/2006/relationships/hyperlink" Target="https://www.wfp.org/" TargetMode="External" Id="rId199" /><Relationship Type="http://schemas.openxmlformats.org/officeDocument/2006/relationships/fontTable" Target="fontTable.xml" Id="rId203" /><Relationship Type="http://schemas.openxmlformats.org/officeDocument/2006/relationships/hyperlink" Target="https://psicanalisepolitica.wordpress.com/wp-content/uploads/2014/10/homo-sacer-o-poder-soberano-e-a-vida-nua-agambem.pdf" TargetMode="External" Id="rId19" /><Relationship Type="http://schemas.openxmlformats.org/officeDocument/2006/relationships/hyperlink" Target="https://www.scielo.br/j/rn/a/K8QycNXpRNRs8GxWhFCmDBP/abstract/?lang=pt" TargetMode="External" Id="rId14" /><Relationship Type="http://schemas.openxmlformats.org/officeDocument/2006/relationships/hyperlink" Target="https://www.planalto.gov.br/ccivil_03/decreto/1990-1994/d0591.htm" TargetMode="External" Id="rId30" /><Relationship Type="http://schemas.openxmlformats.org/officeDocument/2006/relationships/hyperlink" Target="https://brasilescola.uol.com.br/geografia/o-conflito-na-palestina-faixa-gaza-1990-aos-dias-atuais.htm" TargetMode="External" Id="rId35" /><Relationship Type="http://schemas.openxmlformats.org/officeDocument/2006/relationships/hyperlink" Target="https://pt.scribd.com/document/553298465/Alimentac-a-o-Sociedade-e-Cultura-Jesu-s-Contreras-e-Mabel-Gracia" TargetMode="External" Id="rId56" /><Relationship Type="http://schemas.openxmlformats.org/officeDocument/2006/relationships/hyperlink" Target="https://www.fao.org/director-general/speeches/details/Briefing-to-the-UN-Security-Council-on-conflict-and-hunger/en" TargetMode="External" Id="rId77" /><Relationship Type="http://schemas.openxmlformats.org/officeDocument/2006/relationships/hyperlink" Target="https://biblioteca.hegoa.ehu.eus/downloads/21518/%2Fsystem%2Fpdf%2F4680%2FD-2801.pdf" TargetMode="External" Id="rId100" /><Relationship Type="http://schemas.openxmlformats.org/officeDocument/2006/relationships/hyperlink" Target="https://www.ipcglobalplatform.org/" TargetMode="External" Id="rId105" /><Relationship Type="http://schemas.openxmlformats.org/officeDocument/2006/relationships/hyperlink" Target="https://static.scielo.org/scielobooks/s3vn9/pdf/maniglia-9788579830143.pdf" TargetMode="External" Id="rId126" /><Relationship Type="http://schemas.openxmlformats.org/officeDocument/2006/relationships/hyperlink" Target="https://api.pageplace.de/preview/DT0400.9781135771287_A24507051/preview-9781135771287_A24507051.pdf" TargetMode="External" Id="rId147" /><Relationship Type="http://schemas.openxmlformats.org/officeDocument/2006/relationships/hyperlink" Target="https://doi.org/10.1016/j.foodpol.2020.101835" TargetMode="External" Id="rId168" /><Relationship Type="http://schemas.openxmlformats.org/officeDocument/2006/relationships/image" Target="media/image1.png" Id="rId8" /><Relationship Type="http://schemas.openxmlformats.org/officeDocument/2006/relationships/hyperlink" Target="https://www.companhiadasletras.com.br/trechos/12253.pdf" TargetMode="External" Id="rId51" /><Relationship Type="http://schemas.openxmlformats.org/officeDocument/2006/relationships/hyperlink" Target="https://favaretoufabc.wordpress.com/wp-content/uploads/2014/03/elias-norbert-o-processo-civilizador-vol-i.pdf" TargetMode="External" Id="rId72" /><Relationship Type="http://schemas.openxmlformats.org/officeDocument/2006/relationships/hyperlink" Target="https://www.hurriyetdailynews.com/israel-calculates-its-restrictions-on-gaza-32672" TargetMode="External" Id="rId93" /><Relationship Type="http://schemas.openxmlformats.org/officeDocument/2006/relationships/hyperlink" Target="https://www.hrw.org/news/2023/12/18/israel-starvation-used-weapon-war-gaza" TargetMode="External" Id="rId98" /><Relationship Type="http://schemas.openxmlformats.org/officeDocument/2006/relationships/hyperlink" Target="https://www.publico.pt/2022/04/15/mundo/noticia/mariupol-morrese-fome-alerta-director-programa-alimentar-mundial-2002673" TargetMode="External" Id="rId121" /><Relationship Type="http://schemas.openxmlformats.org/officeDocument/2006/relationships/hyperlink" Target="https://www.refworld.org/docid/4538838c11.html" TargetMode="External" Id="rId142" /><Relationship Type="http://schemas.openxmlformats.org/officeDocument/2006/relationships/hyperlink" Target="https://www.brasildefato.com.br/podcast/brasil-de-fato-entrevista/2026/03/27/israel-destroi-e-se-apropria-da-cultura-alimentar-palestina/" TargetMode="External" Id="rId163" /><Relationship Type="http://schemas.openxmlformats.org/officeDocument/2006/relationships/hyperlink" Target="https://periodicos-des.cecom.ufmg.br/index.php/temporalidades/article/download/38282/39009" TargetMode="External" Id="rId184" /><Relationship Type="http://schemas.openxmlformats.org/officeDocument/2006/relationships/hyperlink" Target="https://www.jstor.org/stable/48581918" TargetMode="External" Id="rId189" /><Relationship Type="http://schemas.openxmlformats.org/officeDocument/2006/relationships/styles" Target="styles.xml" Id="rId3" /><Relationship Type="http://schemas.openxmlformats.org/officeDocument/2006/relationships/hyperlink" Target="https://www.bbc.com/portuguese/articles/ckgn7w97l48o" TargetMode="External" Id="rId25" /><Relationship Type="http://schemas.openxmlformats.org/officeDocument/2006/relationships/hyperlink" Target="https://cese.org.br/blog/soberania-alimentar-seguranca-e-justica-para-todos/" TargetMode="External" Id="rId46" /><Relationship Type="http://schemas.openxmlformats.org/officeDocument/2006/relationships/hyperlink" Target="https://www.ohchr.org/en/instruments-mechanisms/instruments/universal-declaration-eradication-hunger-and-malnutrition" TargetMode="External" Id="rId67" /><Relationship Type="http://schemas.openxmlformats.org/officeDocument/2006/relationships/hyperlink" Target="https://www.lawandisrael.org/wp-content/uploads/Topics/Holocaust/Genocide/Lemkin-Axis-Rule-Genocide.pdf" TargetMode="External" Id="rId116" /><Relationship Type="http://schemas.openxmlformats.org/officeDocument/2006/relationships/hyperlink" Target="https://www.who.int/news/item/22-08-2025-famine-confirmed-for-first-time-in-gaza" TargetMode="External" Id="rId137" /><Relationship Type="http://schemas.openxmlformats.org/officeDocument/2006/relationships/hyperlink" Target="https://www2.ufjf.br/direito/wp-content/uploads/sites/397/2024/01/Anais-Sempex-VI-Erica.pdf" TargetMode="External" Id="rId158" /><Relationship Type="http://schemas.openxmlformats.org/officeDocument/2006/relationships/hyperlink" Target="https://academic.oup.com/edited-volume/34515/chapter/292847213" TargetMode="External" Id="rId20" /><Relationship Type="http://schemas.openxmlformats.org/officeDocument/2006/relationships/hyperlink" Target="https://www.mds.gov.br/webarquivos/arquivo/seguranca_alimentar/caisan/Publicacao/Caisan_Nacional/exigibilidade_direito_humano_alimentacao_adequada.pdf" TargetMode="External" Id="rId41" /><Relationship Type="http://schemas.openxmlformats.org/officeDocument/2006/relationships/hyperlink" Target="https://doceru.com/doc/ssces10" TargetMode="External" Id="rId62" /><Relationship Type="http://schemas.openxmlformats.org/officeDocument/2006/relationships/hyperlink" Target="https://ifz.org.br/global-report-on-food-crises-2025/" TargetMode="External" Id="rId83" /><Relationship Type="http://schemas.openxmlformats.org/officeDocument/2006/relationships/hyperlink" Target="https://www.livrosabertos.abcd.usp.br/portaldelivrosUSP/catalog/book/567" TargetMode="External" Id="rId88" /><Relationship Type="http://schemas.openxmlformats.org/officeDocument/2006/relationships/hyperlink" Target="https://books.google.com.br/books?id=nYkrTWDj5twC&amp;printsec=copyright" TargetMode="External" Id="rId111" /><Relationship Type="http://schemas.openxmlformats.org/officeDocument/2006/relationships/hyperlink" Target="https://revista.unicuritiba.edu.br/index.php/RIMA/article/download/979/674" TargetMode="External" Id="rId132" /><Relationship Type="http://schemas.openxmlformats.org/officeDocument/2006/relationships/hyperlink" Target="https://yplus.ps/wp-content/uploads/2021/01/Pappe-Ilan-The-Ethnic-Cleansing-of-Palestine.pdf" TargetMode="External" Id="rId153" /><Relationship Type="http://schemas.openxmlformats.org/officeDocument/2006/relationships/hyperlink" Target="https://dagobah.com.br/wp-content/uploads/2024/11/SEN-Amartya-Desenvolvimento-como-liberdade.pdf" TargetMode="External" Id="rId174" /><Relationship Type="http://schemas.openxmlformats.org/officeDocument/2006/relationships/hyperlink" Target="https://repositorio.unb.br/bitstream/10482/53539/1/2024_TeresaLabrunieCalmonSoares_DISSERT.pdf" TargetMode="External" Id="rId179" /><Relationship Type="http://schemas.openxmlformats.org/officeDocument/2006/relationships/hyperlink" Target="https://theconversation.com/starvation-as-a-weapon-of-war-how-ethiopia-created-a-famine-in-tigray-268395" TargetMode="External" Id="rId195" /><Relationship Type="http://schemas.openxmlformats.org/officeDocument/2006/relationships/hyperlink" Target="https://reliefweb.int/report/syrian-arab-republic/humanitarian-access-syria-2016" TargetMode="External" Id="rId190" /><Relationship Type="http://schemas.openxmlformats.org/officeDocument/2006/relationships/theme" Target="theme/theme1.xml" Id="rId204" /><Relationship Type="http://schemas.openxmlformats.org/officeDocument/2006/relationships/hyperlink" Target="https://digitalcommons.law.uga.edu/cgi/viewcontent.cgi?article=1691&amp;context=gjicl" TargetMode="External" Id="rId15" /><Relationship Type="http://schemas.openxmlformats.org/officeDocument/2006/relationships/hyperlink" Target="https://portal.mec.gov.br/seb/arquivos/pdf/profunc/aliment.pdf" TargetMode="External" Id="rId36" /><Relationship Type="http://schemas.openxmlformats.org/officeDocument/2006/relationships/hyperlink" Target="https://fernandonogueiracosta.wordpress.com/wp-content/uploads/2025/08/fernando-nogueira-da-costa-resistencia-antifascista-ago-2025.pdf" TargetMode="External" Id="rId57" /><Relationship Type="http://schemas.openxmlformats.org/officeDocument/2006/relationships/hyperlink" Target="https://ihl-databases.icrc.org/en/national-practice/judgment-against-19-soldiers-tried-absentia-war-crimes-zadar-district-court-24" TargetMode="External" Id="rId106" /><Relationship Type="http://schemas.openxmlformats.org/officeDocument/2006/relationships/hyperlink" Target="https://www.kufunda.net/publicdocs/Direito_Agrario_Brasileiro_-_Benedito_Ferreira_Marques.pdf" TargetMode="External" Id="rId127" /><Relationship Type="http://schemas.openxmlformats.org/officeDocument/2006/relationships/header" Target="header2.xml" Id="rId10" /><Relationship Type="http://schemas.openxmlformats.org/officeDocument/2006/relationships/hyperlink" Target="https://www.planalto.gov.br/ccivil_03/decreto/1990-1994/d0807.htm" TargetMode="External" Id="rId31" /><Relationship Type="http://schemas.openxmlformats.org/officeDocument/2006/relationships/hyperlink" Target="https://www.concern.net/news/hunger-as-a-weapon-of-war-timeline" TargetMode="External" Id="rId52" /><Relationship Type="http://schemas.openxmlformats.org/officeDocument/2006/relationships/hyperlink" Target="https://www.embrapa.br/vii-plano-diretor/a-agricultura-brasileira" TargetMode="External" Id="rId73" /><Relationship Type="http://schemas.openxmlformats.org/officeDocument/2006/relationships/hyperlink" Target="https://www.fao.org/4/w3613e/w3613e00.htm" TargetMode="External" Id="rId78" /><Relationship Type="http://schemas.openxmlformats.org/officeDocument/2006/relationships/hyperlink" Target="https://www.jmphc.com.br/jmphc/article/view/1378" TargetMode="External" Id="rId94" /><Relationship Type="http://schemas.openxmlformats.org/officeDocument/2006/relationships/hyperlink" Target="https://www.hrw.org/news/2016/01/07/syria-give-besieged-areas-urgent-aid-access" TargetMode="External" Id="rId99" /><Relationship Type="http://schemas.openxmlformats.org/officeDocument/2006/relationships/hyperlink" Target="https://www.ihrc.org.uk/economic-sanctions-as-human-rights-violations-international-law-and-the-right-to-life/" TargetMode="External" Id="rId101" /><Relationship Type="http://schemas.openxmlformats.org/officeDocument/2006/relationships/hyperlink" Target="https://www.planalto.gov.br/ccivil_03/_ato2004-2006/2006/lei/l11346.htm" TargetMode="External" Id="rId122" /><Relationship Type="http://schemas.openxmlformats.org/officeDocument/2006/relationships/hyperlink" Target="https://www.unicef.org/brazil/declaracao-universal-dos-direitos-humanos" TargetMode="External" Id="rId143" /><Relationship Type="http://schemas.openxmlformats.org/officeDocument/2006/relationships/hyperlink" Target="https://www.scielo.br/j/ln/a/RsxcYvdnQXgxkfjCjTGRxYp/?lang=pt" TargetMode="External" Id="rId148" /><Relationship Type="http://schemas.openxmlformats.org/officeDocument/2006/relationships/hyperlink" Target="https://repositorio.unesp.br/server/api/core/bitstreams/ab532a99-f666-4c8e-9bf2-9ab31228aa66/content" TargetMode="External" Id="rId164" /><Relationship Type="http://schemas.openxmlformats.org/officeDocument/2006/relationships/hyperlink" Target="https://cadernos.ensp.fiocruz.br/ojs/index.php/csp/article/view/7841" TargetMode="External" Id="rId169" /><Relationship Type="http://schemas.openxmlformats.org/officeDocument/2006/relationships/hyperlink" Target="https://ppl-ai-file-upload.s3.amazonaws.com/web/direct-files/attachments/39522267/586869d7-43d7-48c6-8360-b43a1a4c9143/paste.txt" TargetMode="External" Id="rId185"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yperlink" Target="https://extra.globo.com/noticias/rio/garimpo-contra-fome-sem-comida-moradores-do-rio-recorrem-restos-de-ossos-carne-rejeitados-por-supermercados-25216735.html" TargetMode="External" Id="rId180" /><Relationship Type="http://schemas.openxmlformats.org/officeDocument/2006/relationships/hyperlink" Target="https://veja.abril.com.br/coluna/radar/fila-do-osso-continua-alimentando-pessoas-carentes-em-cuiaba/" TargetMode="External" Id="rId26" /><Relationship Type="http://schemas.openxmlformats.org/officeDocument/2006/relationships/hyperlink" Target="https://www.icrc.org/sites/default/files/topic/file_plus_list/direito_internacional_humanitario_consuetudinario.pdf" TargetMode="External" Id="rId47" /><Relationship Type="http://schemas.openxmlformats.org/officeDocument/2006/relationships/hyperlink" Target="https://revistaconsinter.com/index.php/ojs/article/view/171" TargetMode="External" Id="rId68" /><Relationship Type="http://schemas.openxmlformats.org/officeDocument/2006/relationships/hyperlink" Target="https://g1.globo.com/economia/agronegocios/video/entenda-a-campanha-agro-e-tech-agro-e-pop-agro-e-tudo-5343997.ghtml" TargetMode="External" Id="rId89" /><Relationship Type="http://schemas.openxmlformats.org/officeDocument/2006/relationships/hyperlink" Target="https://www.ijhpm.com/article_4477.html" TargetMode="External" Id="rId112" /><Relationship Type="http://schemas.openxmlformats.org/officeDocument/2006/relationships/hyperlink" Target="http://teses.usp.br/teses/disponiveis/2/2137/tde-14122010-152102/publico/Tese_de_doutorado_FDUSP_Jose_Rubens_de_Moraes_3633415_versao_completa.pdf" TargetMode="External" Id="rId133" /><Relationship Type="http://schemas.openxmlformats.org/officeDocument/2006/relationships/hyperlink" Target="https://fase.org.br/pt/artigos/apartheid-alimentar-e-o-privilegio-de-comer-no-brasil/" TargetMode="External" Id="rId154" /><Relationship Type="http://schemas.openxmlformats.org/officeDocument/2006/relationships/hyperlink" Target="https://appoa.org.br/correio/edicao/277/alimento_memoria_e_afeto/587" TargetMode="External" Id="rId175" /><Relationship Type="http://schemas.openxmlformats.org/officeDocument/2006/relationships/hyperlink" Target="https://www.mpsp.mp.br/portal/page/portal/documentacao_e_divulgacao/doc_biblioteca/bibli_servicos_produtos/bibli_boletim/bibli_bol_2006/RTrib_n.969.06.PDF" TargetMode="External" Id="rId196" /><Relationship Type="http://schemas.openxmlformats.org/officeDocument/2006/relationships/hyperlink" Target="https://radis.ensp.fiocruz.br/reportagem/racismo-alimentar/a-cor-da-fome/" TargetMode="External" Id="rId200" /><Relationship Type="http://schemas.openxmlformats.org/officeDocument/2006/relationships/hyperlink" Target="https://www.amnesty.org/en/location/middle-east-and-north-africa/middle-east/israel-and-the-occupied-palestinian-territory/" TargetMode="External" Id="rId16" /><Relationship Type="http://schemas.openxmlformats.org/officeDocument/2006/relationships/hyperlink" Target="https://editoraelefante.com.br/a-fome-e-um-fenomeno-politico/" TargetMode="External" Id="rId37" /><Relationship Type="http://schemas.openxmlformats.org/officeDocument/2006/relationships/hyperlink" Target="https://pt.scribd.com/document/993693489/Food-and-Culture-A-Reader-4th-Edition-Carole-Counihan-Editor-full" TargetMode="External" Id="rId58" /><Relationship Type="http://schemas.openxmlformats.org/officeDocument/2006/relationships/hyperlink" Target="https://www.fao.org/4/i3434e/i3434e.pdf" TargetMode="External" Id="rId79" /><Relationship Type="http://schemas.openxmlformats.org/officeDocument/2006/relationships/hyperlink" Target="https://ihu.unisinos.br/" TargetMode="External" Id="rId102" /><Relationship Type="http://schemas.openxmlformats.org/officeDocument/2006/relationships/hyperlink" Target="https://holodomormuseum.org.ua/en/the-history-of-the-holodomor/" TargetMode="External" Id="rId123" /><Relationship Type="http://schemas.openxmlformats.org/officeDocument/2006/relationships/hyperlink" Target="https://www.oas.org/dil/port/1966%20Pacto%20Internacional%20sobre%20os%20Direitos%20Econ%C3%B3micos,%20Sociais%20e%20Culturais.pdf" TargetMode="External" Id="rId144" /><Relationship Type="http://schemas.openxmlformats.org/officeDocument/2006/relationships/hyperlink" Target="http://bivicce.corteconstitucional.gob.ec/bases/biblo/texto/La_justicia_frente_al_gobierno_3/La_justicia_frente_al_gobierno_3.pdf" TargetMode="External" Id="rId90" /><Relationship Type="http://schemas.openxmlformats.org/officeDocument/2006/relationships/hyperlink" Target="https://atenaeditora.com.br/catalogo/post/genocidio-historia-conceito-e-tratamento-juridico" TargetMode="External" Id="rId165" /><Relationship Type="http://schemas.openxmlformats.org/officeDocument/2006/relationships/hyperlink" Target="https://www.newarab.com/" TargetMode="External" Id="rId186" /><Relationship Type="http://schemas.openxmlformats.org/officeDocument/2006/relationships/hyperlink" Target="https://www.uel.br/grupo-pesquisa/socreligioes/pages/arquivos/fabio_lanza/Textos_Soc.%20Relig/3.Mod_BOURDIEU%20P.%20O%20Poder%20Simbolico.pdf" TargetMode="External" Id="rId27" /><Relationship Type="http://schemas.openxmlformats.org/officeDocument/2006/relationships/hyperlink" Target="https://www.icrc.org/pt/document/seguranca-alimentar-conflito-armado-voce-precisa-saber" TargetMode="External" Id="rId48" /><Relationship Type="http://schemas.openxmlformats.org/officeDocument/2006/relationships/hyperlink" Target="https://books.google.it/books?id=_15CDwAAQBAJ&amp;printsec=frontcover&amp;hl=it" TargetMode="External" Id="rId69" /><Relationship Type="http://schemas.openxmlformats.org/officeDocument/2006/relationships/hyperlink" Target="https://www.taylorfrancis.com/books/mono/10.4324/9780203790885/genocide-resistance-southeast-asia-ben-kiernan" TargetMode="External" Id="rId113" /><Relationship Type="http://schemas.openxmlformats.org/officeDocument/2006/relationships/hyperlink" Target="https://relacoesexteriores.com.br/19-livros-sobre-as-relacoes-entre-israel-palestina-para-alem-das-manchetes/" TargetMode="External" Id="rId134" /><Relationship Type="http://schemas.openxmlformats.org/officeDocument/2006/relationships/hyperlink" Target="https://www.enfpt.org.br/wp-content/uploads/2018/02/Relatorio-FAO-Brasil.pdf" TargetMode="External" Id="rId80" /><Relationship Type="http://schemas.openxmlformats.org/officeDocument/2006/relationships/hyperlink" Target="https://diplomatique.org.br/genocidio-dimensoes-e-limites/" TargetMode="External" Id="rId155" /><Relationship Type="http://schemas.openxmlformats.org/officeDocument/2006/relationships/hyperlink" Target="https://content.e-bookshelf.de/media/reading/L-421711-679d052a34.pdf" TargetMode="External" Id="rId176" /><Relationship Type="http://schemas.openxmlformats.org/officeDocument/2006/relationships/hyperlink" Target="https://www.forumjustica.com.br/wp-content/uploads/2013/02/Antonio-Carlos-Wolkmer-Pluralismo-juridico.pdf" TargetMode="External" Id="rId197" /><Relationship Type="http://schemas.openxmlformats.org/officeDocument/2006/relationships/hyperlink" Target="https://www.nytimes.com/1969/08/24/archives/death-rate-from-starvation-is-reported-rising-again-in-biafra.html" TargetMode="External" Id="rId201" /><Relationship Type="http://schemas.openxmlformats.org/officeDocument/2006/relationships/hyperlink" Target="https://revistas.ufg.br/fcs/article/view/4467/3867" TargetMode="External" Id="rId17" /><Relationship Type="http://schemas.openxmlformats.org/officeDocument/2006/relationships/hyperlink" Target="https://www.nytimes.com/2023/10/10/world/middleeast/gaza-strip-israel-egypt.html" TargetMode="External" Id="rId38" /><Relationship Type="http://schemas.openxmlformats.org/officeDocument/2006/relationships/hyperlink" Target="https://docs.un.org/en/S/res/2417(2018)" TargetMode="External" Id="rId59" /><Relationship Type="http://schemas.openxmlformats.org/officeDocument/2006/relationships/hyperlink" Target="https://www.ihu.unisinos.br/categorias/637984-memorias-de-64-o-capitulo-do-genocidio-indigena" TargetMode="External" Id="rId103" /><Relationship Type="http://schemas.openxmlformats.org/officeDocument/2006/relationships/hyperlink" Target="file:///C:/Users/lucas/Desktop/TCC%20mo/referencias%20mo/Identidade_cultural_e_alimentacao.pdf" TargetMode="External" Id="rId124" /><Relationship Type="http://schemas.openxmlformats.org/officeDocument/2006/relationships/hyperlink" Target="https://www.academia.edu/129454972/The_Politics_of_Famine_in_European_History_and_Memory" TargetMode="External" Id="rId70" /><Relationship Type="http://schemas.openxmlformats.org/officeDocument/2006/relationships/hyperlink" Target="https://irp.cdn-website.com/959e7c95/files/uploaded/201-satalowubivusu.pdf" TargetMode="External" Id="rId91" /><Relationship Type="http://schemas.openxmlformats.org/officeDocument/2006/relationships/hyperlink" Target="https://news.un.org/en/story/2025/08/1165702" TargetMode="External" Id="rId145" /><Relationship Type="http://schemas.openxmlformats.org/officeDocument/2006/relationships/hyperlink" Target="https://www3.sp.senac.br/hotsites/blogs/revistacontextos/wp-content/uploads/2020/11/contexto_nov_2020.pdf" TargetMode="External" Id="rId166" /><Relationship Type="http://schemas.openxmlformats.org/officeDocument/2006/relationships/hyperlink" Target="https://ppl-ai-file-upload.s3.amazonaws.com/web/direct-files/attachments/39522267/586869d7-43d7-48c6-8360-b43a1a4c9143/paste.txt" TargetMode="External" Id="rId187" /><Relationship Type="http://schemas.openxmlformats.org/officeDocument/2006/relationships/customXml" Target="../customXml/item1.xml" Id="rId1" /><Relationship Type="http://schemas.openxmlformats.org/officeDocument/2006/relationships/hyperlink" Target="https://www.revistas.una.ac.cr/index.php/derechoshumanos/article/view/195" TargetMode="External" Id="rId28" /><Relationship Type="http://schemas.openxmlformats.org/officeDocument/2006/relationships/hyperlink" Target="https://www.dhnet.org.br/direitos/anthist/hamurabi.htm" TargetMode="External" Id="rId49" /><Relationship Type="http://schemas.openxmlformats.org/officeDocument/2006/relationships/hyperlink" Target="https://palestinalivre.com.br/download/palestina-uma-biografia/" TargetMode="External" Id="rId114" /><Relationship Type="http://schemas.openxmlformats.org/officeDocument/2006/relationships/hyperlink" Target="https://www.fao.org/4/w3613p/w3613p00.htm" TargetMode="External" Id="rId60" /><Relationship Type="http://schemas.openxmlformats.org/officeDocument/2006/relationships/hyperlink" Target="https://www.fao.org/4/y7937e/y7937e00.htm" TargetMode="External" Id="rId81" /><Relationship Type="http://schemas.openxmlformats.org/officeDocument/2006/relationships/hyperlink" Target="https://ppl-ai-file-upload.s3.amazonaws.com/web/direct-files/attachments/39522267/586869d7-43d7-48c6-8360-b43a1a4c9143/paste.txt" TargetMode="External" Id="rId135" /><Relationship Type="http://schemas.openxmlformats.org/officeDocument/2006/relationships/hyperlink" Target="https://www.memoria.fahce.unlp.edu.ar/art_revistas/pr.12661/pr.12661.pdf" TargetMode="External" Id="rId156" /><Relationship Type="http://schemas.openxmlformats.org/officeDocument/2006/relationships/hyperlink" Target="https://teses.usp.br/teses/disponiveis/11/0/tde-20240301-151740/publico/725827.pdf" TargetMode="External" Id="rId177" /><Relationship Type="http://schemas.openxmlformats.org/officeDocument/2006/relationships/hyperlink" Target="https://documents1.worldbank.org/curated/en/166331467990005748/pdf/multi-page.pdf" TargetMode="External" Id="rId198" /><Relationship Type="http://schemas.openxmlformats.org/officeDocument/2006/relationships/header" Target="header3.xml" Id="rId202" /><Relationship Type="http://schemas.openxmlformats.org/officeDocument/2006/relationships/hyperlink" Target="https://anistia.org.br/informe/o-apartheid-de-israel-contra-palestinos-um-sistema-cruel-de-dominacao-e-um-crime-contra-a-humanidade" TargetMode="External" Id="rId18" /><Relationship Type="http://schemas.openxmlformats.org/officeDocument/2006/relationships/hyperlink" Target="https://fiocruz.br/sites/fiocruz.br/files/documentos_2/cadernos_cris-fiocruz_-_informe_08-24_sobre_saude_global_e_diplomacia_da_saude_0.pdf" TargetMode="External" Id="rId39" /><Relationship Type="http://schemas.openxmlformats.org/officeDocument/2006/relationships/hyperlink" Target="https://ariadnaediciones.cl/images/pdf/historia.do.capilalismo.II.pdf" TargetMode="External" Id="rId50" /><Relationship Type="http://schemas.openxmlformats.org/officeDocument/2006/relationships/hyperlink" Target="https://ijdjl.journals.ekb.eg/article_452258_291c58b5b4294cb86159ead26a49e7ba.pdf" TargetMode="External" Id="rId104" /><Relationship Type="http://schemas.openxmlformats.org/officeDocument/2006/relationships/hyperlink" Target="https://www.scielo.br/j/csp/" TargetMode="External" Id="rId125" /><Relationship Type="http://schemas.openxmlformats.org/officeDocument/2006/relationships/hyperlink" Target="https://www.britannica.com/topic/United-Nations-Resolution-181" TargetMode="External" Id="rId146" /><Relationship Type="http://schemas.openxmlformats.org/officeDocument/2006/relationships/hyperlink" Target="https://www.hrw.org/pt/world-report/country-chapters/syria" TargetMode="External" Id="rId167" /><Relationship Type="http://schemas.openxmlformats.org/officeDocument/2006/relationships/hyperlink" Target="https://ibdh.org.br/wp-content/uploads/2016/02/44600-Portugu%C3%AAs-Direitos-humanos-e-meio-ambiente.indd_.pdf" TargetMode="External" Id="rId188" /><Relationship Type="http://schemas.openxmlformats.org/officeDocument/2006/relationships/hyperlink" Target="https://jacobin.com.br/2024/04/israel-tem-uma-longa-historia-de-sufocamento-alimentar-em-gaza/" TargetMode="External" Id="rId71" /><Relationship Type="http://schemas.openxmlformats.org/officeDocument/2006/relationships/hyperlink" Target="https://www.hurriyetdailynews.com/israel-calculates-its-restrictions-on-gaza-32672" TargetMode="External" Id="rId92"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E0885-0503-4BA1-AF5B-A51D9450690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MIRIAM MOEMA DE CASTRO MACHADO RORIZ</dc:creator>
  <lastModifiedBy>GIOVANNA SANTOS CARDOSO VALENTE</lastModifiedBy>
  <revision>31</revision>
  <lastPrinted>2026-06-03T02:41:00.0000000Z</lastPrinted>
  <dcterms:created xsi:type="dcterms:W3CDTF">2026-06-03T01:10:00.0000000Z</dcterms:created>
  <dcterms:modified xsi:type="dcterms:W3CDTF">2026-06-07T20:26:38.3035350Z</dcterms:modified>
</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2025-11-12T13:32:37Z</dcterms:created>
  <dc:creator/>
  <dc:description/>
  <dc:language>pt-BR</dc:language>
  <cp:lastModifiedBy/>
  <dcterms:modified xsi:type="dcterms:W3CDTF">2025-12-01T14:13:03Z</dcterms:modified>
  <cp:revision>6</cp:revision>
  <dc:subject/>
  <dc:title/>
</cp:coreProperties>
</file>