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0C33" w:rsidP="00CE559B" w:rsidRDefault="004F0000" w14:paraId="575C0E35" w14:textId="4E1E60DA">
      <w:pPr>
        <w:pStyle w:val="Pargrafo"/>
        <w:ind w:firstLine="0"/>
        <w:jc w:val="center"/>
        <w:rPr>
          <w:b/>
        </w:rPr>
      </w:pPr>
      <w:r>
        <w:rPr>
          <w:b/>
        </w:rPr>
        <w:t xml:space="preserve">  </w:t>
      </w:r>
      <w:r>
        <w:rPr>
          <w:b/>
        </w:rPr>
        <w:pict w14:anchorId="611BFA5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78.8pt;height:105pt" type="#_x0000_t75">
            <v:imagedata o:title="" r:id="rId8"/>
          </v:shape>
        </w:pict>
      </w:r>
    </w:p>
    <w:p w:rsidR="00EA0C33" w:rsidP="00EA0C33" w:rsidRDefault="00EA0C33" w14:paraId="17B0FE61" w14:textId="77777777">
      <w:pPr>
        <w:pStyle w:val="Pargrafo"/>
        <w:ind w:firstLine="0"/>
        <w:jc w:val="center"/>
        <w:rPr>
          <w:b/>
        </w:rPr>
      </w:pPr>
    </w:p>
    <w:p w:rsidRPr="007758BB" w:rsidR="006C760E" w:rsidP="00B2028E" w:rsidRDefault="007758BB" w14:paraId="3ABB187C" w14:textId="709F838B">
      <w:pPr>
        <w:pStyle w:val="Pargrafo"/>
        <w:ind w:firstLine="0"/>
        <w:jc w:val="center"/>
        <w:rPr>
          <w:bCs/>
        </w:rPr>
      </w:pPr>
      <w:r w:rsidRPr="007758BB">
        <w:rPr>
          <w:bCs/>
        </w:rPr>
        <w:t>PONTIFÍCIA UNIVERSIDADE CATÓLICA DE GOIÁS</w:t>
      </w:r>
    </w:p>
    <w:p w:rsidRPr="007758BB" w:rsidR="003B774D" w:rsidP="002F5A86" w:rsidRDefault="007758BB" w14:paraId="7DF17D34" w14:textId="670A245D">
      <w:pPr>
        <w:ind w:firstLine="0"/>
        <w:jc w:val="center"/>
        <w:rPr>
          <w:bCs/>
        </w:rPr>
      </w:pPr>
      <w:r w:rsidRPr="007758BB">
        <w:rPr>
          <w:bCs/>
        </w:rPr>
        <w:t>ESCOLA DE DIREITO, NEGÓCIOS E COMUNICAÇÃO</w:t>
      </w:r>
    </w:p>
    <w:p w:rsidRPr="007758BB" w:rsidR="002F5A86" w:rsidP="002F5A86" w:rsidRDefault="007758BB" w14:paraId="683A601C" w14:textId="2EA1A4E4">
      <w:pPr>
        <w:ind w:firstLine="0"/>
        <w:jc w:val="center"/>
        <w:rPr>
          <w:bCs/>
        </w:rPr>
      </w:pPr>
      <w:r w:rsidRPr="007758BB">
        <w:rPr>
          <w:bCs/>
        </w:rPr>
        <w:t xml:space="preserve">NÚCLEO DE PRÁTICA JURÍDICA </w:t>
      </w:r>
    </w:p>
    <w:p w:rsidRPr="002F5A86" w:rsidR="002F5A86" w:rsidP="002F5A86" w:rsidRDefault="007758BB" w14:paraId="22860484" w14:textId="438618AA">
      <w:pPr>
        <w:ind w:firstLine="0"/>
        <w:jc w:val="center"/>
        <w:rPr>
          <w:bCs/>
        </w:rPr>
      </w:pPr>
      <w:r w:rsidRPr="007758BB">
        <w:rPr>
          <w:bCs/>
        </w:rPr>
        <w:t xml:space="preserve">COORDENAÇÃO ADJUNTA DE TRABALHO DE CONCLUSÃO DE CURSO </w:t>
      </w:r>
    </w:p>
    <w:p w:rsidRPr="007758BB" w:rsidR="006C760E" w:rsidP="002F5A86" w:rsidRDefault="001F45A0" w14:paraId="44A2CE9D" w14:textId="0D7ADA89">
      <w:pPr>
        <w:ind w:firstLine="0"/>
        <w:jc w:val="center"/>
        <w:rPr>
          <w:bCs/>
        </w:rPr>
      </w:pPr>
      <w:r w:rsidRPr="001F45A0">
        <w:rPr>
          <w:bCs/>
        </w:rPr>
        <w:t>ARTIGO CIENTÍFICO</w:t>
      </w:r>
    </w:p>
    <w:p w:rsidRPr="007758BB" w:rsidR="006C760E" w:rsidP="006C760E" w:rsidRDefault="006C760E" w14:paraId="34DD2AF6" w14:textId="77777777">
      <w:pPr>
        <w:ind w:firstLine="0"/>
        <w:jc w:val="center"/>
        <w:rPr>
          <w:rFonts w:cs="Arial"/>
          <w:bCs/>
          <w:szCs w:val="24"/>
        </w:rPr>
      </w:pPr>
    </w:p>
    <w:p w:rsidRPr="007758BB" w:rsidR="007C2C28" w:rsidP="14269F47" w:rsidRDefault="007C2C28" w14:paraId="49523472" w14:textId="3CCF0FDF">
      <w:pPr>
        <w:pStyle w:val="Normal"/>
        <w:ind w:firstLine="0"/>
        <w:rPr>
          <w:rFonts w:cs="Arial"/>
          <w:color w:val="FF0000"/>
        </w:rPr>
      </w:pPr>
    </w:p>
    <w:p w:rsidR="14269F47" w:rsidP="14269F47" w:rsidRDefault="14269F47" w14:paraId="59BC4AF0" w14:textId="49B54E7B">
      <w:pPr>
        <w:pStyle w:val="Normal"/>
        <w:ind w:firstLine="0"/>
        <w:rPr>
          <w:rFonts w:cs="Arial"/>
          <w:color w:val="FF0000"/>
        </w:rPr>
      </w:pPr>
    </w:p>
    <w:p w:rsidRPr="007758BB" w:rsidR="002B7D41" w:rsidP="006C760E" w:rsidRDefault="002B7D41" w14:paraId="58706191" w14:textId="77777777">
      <w:pPr>
        <w:ind w:firstLine="0"/>
        <w:jc w:val="center"/>
        <w:rPr>
          <w:rFonts w:cs="Arial"/>
          <w:bCs/>
          <w:szCs w:val="24"/>
        </w:rPr>
      </w:pPr>
    </w:p>
    <w:p w:rsidRPr="007758BB" w:rsidR="002B7D41" w:rsidP="006C760E" w:rsidRDefault="002B7D41" w14:paraId="120044F9" w14:textId="77777777">
      <w:pPr>
        <w:ind w:firstLine="0"/>
        <w:jc w:val="center"/>
        <w:rPr>
          <w:rFonts w:cs="Arial"/>
          <w:bCs/>
          <w:szCs w:val="24"/>
        </w:rPr>
      </w:pPr>
    </w:p>
    <w:p w:rsidRPr="00A82CAA" w:rsidR="004E7F1B" w:rsidP="007C2C28" w:rsidRDefault="002E0FC5" w14:paraId="48795560" w14:textId="620D5DED">
      <w:pPr>
        <w:ind w:firstLine="0"/>
        <w:jc w:val="center"/>
        <w:rPr>
          <w:rFonts w:cs="Arial"/>
          <w:b/>
          <w:szCs w:val="24"/>
        </w:rPr>
      </w:pPr>
      <w:r w:rsidRPr="002E0FC5">
        <w:rPr>
          <w:b/>
        </w:rPr>
        <w:t>CONTROLE DE CONSTITUCIONALIDADE E SEUS ASPECTOS ESTRUTURAIS NO ORDENAMENTO JURÍDICO BRASILEIRO</w:t>
      </w:r>
    </w:p>
    <w:p w:rsidRPr="007758BB" w:rsidR="007C2C28" w:rsidP="007C2C28" w:rsidRDefault="007C2C28" w14:paraId="72990428" w14:textId="77777777">
      <w:pPr>
        <w:ind w:firstLine="0"/>
        <w:jc w:val="center"/>
        <w:rPr>
          <w:rFonts w:cs="Arial"/>
          <w:bCs/>
          <w:szCs w:val="24"/>
        </w:rPr>
      </w:pPr>
    </w:p>
    <w:p w:rsidRPr="007758BB" w:rsidR="007C2C28" w:rsidP="007C2C28" w:rsidRDefault="007C2C28" w14:paraId="2FE7131D" w14:textId="77777777">
      <w:pPr>
        <w:ind w:firstLine="0"/>
        <w:jc w:val="center"/>
        <w:rPr>
          <w:rFonts w:cs="Arial"/>
          <w:bCs/>
          <w:szCs w:val="24"/>
        </w:rPr>
      </w:pPr>
    </w:p>
    <w:p w:rsidR="007C2C28" w:rsidP="007C2C28" w:rsidRDefault="007C2C28" w14:paraId="5D446BB0" w14:textId="77777777">
      <w:pPr>
        <w:ind w:firstLine="0"/>
        <w:jc w:val="center"/>
        <w:rPr>
          <w:rFonts w:cs="Arial"/>
          <w:bCs/>
          <w:szCs w:val="24"/>
        </w:rPr>
      </w:pPr>
    </w:p>
    <w:p w:rsidR="00A82CAA" w:rsidP="007C2C28" w:rsidRDefault="00A82CAA" w14:paraId="535BE32E" w14:textId="77777777">
      <w:pPr>
        <w:ind w:firstLine="0"/>
        <w:jc w:val="center"/>
        <w:rPr>
          <w:rFonts w:cs="Arial"/>
          <w:bCs/>
          <w:szCs w:val="24"/>
        </w:rPr>
      </w:pPr>
    </w:p>
    <w:p w:rsidRPr="007758BB" w:rsidR="00F73AF6" w:rsidP="007C2C28" w:rsidRDefault="00F73AF6" w14:paraId="3CF81A5F" w14:textId="77777777">
      <w:pPr>
        <w:ind w:firstLine="0"/>
        <w:jc w:val="center"/>
        <w:rPr>
          <w:rFonts w:cs="Arial"/>
          <w:bCs/>
          <w:szCs w:val="24"/>
        </w:rPr>
      </w:pPr>
    </w:p>
    <w:p w:rsidRPr="007758BB" w:rsidR="006C760E" w:rsidP="4648AFAB" w:rsidRDefault="007758BB" w14:paraId="7BE619C1" w14:textId="7A622C43">
      <w:pPr>
        <w:ind w:firstLine="0"/>
        <w:jc w:val="center"/>
        <w:rPr>
          <w:rFonts w:cs="Arial"/>
        </w:rPr>
      </w:pPr>
      <w:r w:rsidRPr="4648AFAB" w:rsidR="007758BB">
        <w:rPr>
          <w:rFonts w:cs="Arial"/>
        </w:rPr>
        <w:t>ORIENTAND</w:t>
      </w:r>
      <w:r w:rsidRPr="4648AFAB" w:rsidR="002E0FC5">
        <w:rPr>
          <w:rFonts w:cs="Arial"/>
        </w:rPr>
        <w:t>A</w:t>
      </w:r>
      <w:r w:rsidRPr="4648AFAB" w:rsidR="00194E5A">
        <w:rPr>
          <w:rFonts w:cs="Arial"/>
        </w:rPr>
        <w:t>:</w:t>
      </w:r>
      <w:r w:rsidRPr="4648AFAB" w:rsidR="007758BB">
        <w:rPr>
          <w:rFonts w:cs="Arial"/>
        </w:rPr>
        <w:t xml:space="preserve"> </w:t>
      </w:r>
      <w:r w:rsidRPr="4648AFAB" w:rsidR="002E0FC5">
        <w:rPr>
          <w:rFonts w:cs="Arial"/>
        </w:rPr>
        <w:t xml:space="preserve">CLARA COSTA DE OLIVEIRA </w:t>
      </w:r>
      <w:r w:rsidRPr="4648AFAB" w:rsidR="007758BB">
        <w:rPr>
          <w:rFonts w:cs="Arial"/>
        </w:rPr>
        <w:t>ORIENTADOR</w:t>
      </w:r>
      <w:r w:rsidRPr="4648AFAB" w:rsidR="000D55B3">
        <w:rPr>
          <w:rFonts w:cs="Arial"/>
        </w:rPr>
        <w:t>A</w:t>
      </w:r>
    </w:p>
    <w:p w:rsidRPr="007758BB" w:rsidR="006C760E" w:rsidP="4648AFAB" w:rsidRDefault="007758BB" w14:paraId="7AE0663E" w14:textId="6D1FC3A6">
      <w:pPr>
        <w:ind w:firstLine="0"/>
        <w:jc w:val="center"/>
        <w:rPr>
          <w:rFonts w:cs="Arial"/>
        </w:rPr>
      </w:pPr>
      <w:r w:rsidRPr="4648AFAB" w:rsidR="007758BB">
        <w:rPr>
          <w:rFonts w:cs="Arial"/>
        </w:rPr>
        <w:t>PROF</w:t>
      </w:r>
      <w:r w:rsidRPr="4648AFAB" w:rsidR="00BD306D">
        <w:rPr>
          <w:rFonts w:cs="Arial"/>
        </w:rPr>
        <w:t>A</w:t>
      </w:r>
      <w:r w:rsidRPr="4648AFAB" w:rsidR="007758BB">
        <w:rPr>
          <w:rFonts w:cs="Arial"/>
        </w:rPr>
        <w:t>.</w:t>
      </w:r>
      <w:r w:rsidRPr="4648AFAB" w:rsidR="2BFF1BCA">
        <w:rPr>
          <w:rFonts w:cs="Arial"/>
        </w:rPr>
        <w:t xml:space="preserve"> MESTRE</w:t>
      </w:r>
      <w:bookmarkStart w:name="_Toc261858403" w:id="0"/>
      <w:r w:rsidRPr="4648AFAB" w:rsidR="00BD306D">
        <w:rPr>
          <w:rFonts w:cs="Arial"/>
        </w:rPr>
        <w:t xml:space="preserve"> </w:t>
      </w:r>
      <w:r w:rsidRPr="4648AFAB" w:rsidR="002E0FC5">
        <w:rPr>
          <w:rFonts w:cs="Arial"/>
        </w:rPr>
        <w:t>MIRIAM MOEMA DE CASTRO MACHADO RORIZ</w:t>
      </w:r>
    </w:p>
    <w:p w:rsidRPr="007758BB" w:rsidR="00815DE4" w:rsidP="006C760E" w:rsidRDefault="00815DE4" w14:paraId="6049D53B" w14:textId="77777777">
      <w:pPr>
        <w:pStyle w:val="PPGEClinhaembranco"/>
        <w:ind w:firstLine="0"/>
        <w:jc w:val="center"/>
        <w:rPr>
          <w:rFonts w:cs="Arial"/>
          <w:bCs/>
          <w:szCs w:val="24"/>
        </w:rPr>
      </w:pPr>
    </w:p>
    <w:p w:rsidRPr="007758BB" w:rsidR="00730494" w:rsidP="006C760E" w:rsidRDefault="00730494" w14:paraId="260158C9" w14:textId="77777777">
      <w:pPr>
        <w:pStyle w:val="PPGEClinhaembranco"/>
        <w:ind w:firstLine="0"/>
        <w:jc w:val="center"/>
        <w:rPr>
          <w:rFonts w:cs="Arial"/>
          <w:bCs/>
          <w:szCs w:val="24"/>
        </w:rPr>
      </w:pPr>
    </w:p>
    <w:p w:rsidRPr="007758BB" w:rsidR="002B7D41" w:rsidP="006C760E" w:rsidRDefault="002B7D41" w14:paraId="733E1F9B" w14:textId="77777777">
      <w:pPr>
        <w:pStyle w:val="PPGEClinhaembranco"/>
        <w:ind w:firstLine="0"/>
        <w:jc w:val="center"/>
        <w:rPr>
          <w:rFonts w:cs="Arial"/>
          <w:bCs/>
          <w:szCs w:val="24"/>
        </w:rPr>
      </w:pPr>
    </w:p>
    <w:p w:rsidRPr="007758BB" w:rsidR="00B80B35" w:rsidP="006C760E" w:rsidRDefault="00B80B35" w14:paraId="5ABFD3E0" w14:textId="77777777">
      <w:pPr>
        <w:pStyle w:val="PPGEClinhaembranco"/>
        <w:ind w:firstLine="0"/>
        <w:jc w:val="center"/>
        <w:rPr>
          <w:rFonts w:cs="Arial"/>
          <w:bCs/>
          <w:szCs w:val="24"/>
        </w:rPr>
      </w:pPr>
    </w:p>
    <w:p w:rsidRPr="007758BB" w:rsidR="0040103F" w:rsidP="00B80B35" w:rsidRDefault="0040103F" w14:paraId="1C29938D" w14:textId="77777777">
      <w:pPr>
        <w:pStyle w:val="PPGEClinhaembranco"/>
        <w:ind w:firstLine="0"/>
        <w:rPr>
          <w:rFonts w:cs="Arial"/>
          <w:bCs/>
          <w:szCs w:val="24"/>
        </w:rPr>
      </w:pPr>
    </w:p>
    <w:bookmarkEnd w:id="0"/>
    <w:p w:rsidRPr="007758BB" w:rsidR="001D3DB6" w:rsidP="006C760E" w:rsidRDefault="007758BB" w14:paraId="1E191109" w14:textId="44B7ABE4">
      <w:pPr>
        <w:ind w:firstLine="0"/>
        <w:jc w:val="center"/>
        <w:rPr>
          <w:bCs/>
        </w:rPr>
      </w:pPr>
      <w:r w:rsidRPr="007758BB">
        <w:rPr>
          <w:bCs/>
        </w:rPr>
        <w:t>GOIÂNIA-GO</w:t>
      </w:r>
    </w:p>
    <w:p w:rsidRPr="00B80B35" w:rsidR="006C760E" w:rsidP="006C760E" w:rsidRDefault="007758BB" w14:paraId="42AF4E33" w14:textId="35BEFDD3">
      <w:pPr>
        <w:ind w:firstLine="0"/>
        <w:jc w:val="center"/>
        <w:rPr>
          <w:bCs/>
        </w:rPr>
        <w:sectPr w:rsidRPr="00B80B35" w:rsidR="006C760E" w:rsidSect="00505F14">
          <w:headerReference w:type="default" r:id="rId9"/>
          <w:headerReference w:type="first" r:id="rId10"/>
          <w:footnotePr>
            <w:numRestart w:val="eachSect"/>
          </w:footnotePr>
          <w:pgSz w:w="11906" w:h="16838" w:orient="portrait" w:code="9"/>
          <w:pgMar w:top="1701" w:right="1134" w:bottom="1134" w:left="1701" w:header="1134" w:footer="709" w:gutter="0"/>
          <w:pgNumType w:start="0"/>
          <w:cols w:space="708"/>
          <w:titlePg/>
          <w:docGrid w:linePitch="360"/>
        </w:sectPr>
      </w:pPr>
      <w:r w:rsidRPr="007758BB">
        <w:rPr>
          <w:bCs/>
        </w:rPr>
        <w:t>202</w:t>
      </w:r>
      <w:r w:rsidR="0069180C">
        <w:rPr>
          <w:bCs/>
        </w:rPr>
        <w:t>6</w:t>
      </w:r>
    </w:p>
    <w:p w:rsidRPr="00043744" w:rsidR="006C760E" w:rsidP="00F73AF6" w:rsidRDefault="002E0FC5" w14:paraId="6D1023DE" w14:textId="0E6072EE">
      <w:pPr>
        <w:ind w:firstLine="0"/>
        <w:jc w:val="center"/>
        <w:rPr>
          <w:rFonts w:cs="Arial"/>
          <w:szCs w:val="24"/>
        </w:rPr>
      </w:pPr>
      <w:r w:rsidRPr="002E0FC5">
        <w:rPr>
          <w:rFonts w:cs="Arial"/>
          <w:szCs w:val="24"/>
        </w:rPr>
        <w:t>CLARA COSTA DE OLIVEIR</w:t>
      </w:r>
      <w:r w:rsidR="002F5344">
        <w:rPr>
          <w:rFonts w:cs="Arial"/>
          <w:szCs w:val="24"/>
        </w:rPr>
        <w:t>A</w:t>
      </w:r>
    </w:p>
    <w:p w:rsidR="006C760E" w:rsidP="006C760E" w:rsidRDefault="006C760E" w14:paraId="1F3CFF60" w14:textId="77777777">
      <w:pPr>
        <w:ind w:firstLine="0"/>
        <w:jc w:val="center"/>
        <w:rPr>
          <w:rFonts w:cs="Arial"/>
          <w:szCs w:val="24"/>
        </w:rPr>
      </w:pPr>
    </w:p>
    <w:p w:rsidR="00F73AF6" w:rsidP="006C760E" w:rsidRDefault="00F73AF6" w14:paraId="5D3F500F" w14:textId="77777777">
      <w:pPr>
        <w:ind w:firstLine="0"/>
        <w:jc w:val="center"/>
        <w:rPr>
          <w:rFonts w:cs="Arial"/>
          <w:szCs w:val="24"/>
        </w:rPr>
      </w:pPr>
    </w:p>
    <w:p w:rsidR="00F73AF6" w:rsidP="006C760E" w:rsidRDefault="00F73AF6" w14:paraId="523B029E" w14:textId="77777777">
      <w:pPr>
        <w:ind w:firstLine="0"/>
        <w:jc w:val="center"/>
        <w:rPr>
          <w:rFonts w:cs="Arial"/>
          <w:szCs w:val="24"/>
        </w:rPr>
      </w:pPr>
    </w:p>
    <w:p w:rsidR="00F73AF6" w:rsidP="006C760E" w:rsidRDefault="00F73AF6" w14:paraId="03028986" w14:textId="77777777">
      <w:pPr>
        <w:ind w:firstLine="0"/>
        <w:jc w:val="center"/>
        <w:rPr>
          <w:rFonts w:cs="Arial"/>
          <w:szCs w:val="24"/>
        </w:rPr>
      </w:pPr>
    </w:p>
    <w:p w:rsidR="00F73AF6" w:rsidP="006C760E" w:rsidRDefault="00F73AF6" w14:paraId="77739175" w14:textId="77777777">
      <w:pPr>
        <w:ind w:firstLine="0"/>
        <w:jc w:val="center"/>
        <w:rPr>
          <w:rFonts w:cs="Arial"/>
          <w:szCs w:val="24"/>
        </w:rPr>
      </w:pPr>
    </w:p>
    <w:p w:rsidR="00F73AF6" w:rsidP="006C760E" w:rsidRDefault="00F73AF6" w14:paraId="4633C9C7" w14:textId="77777777">
      <w:pPr>
        <w:ind w:firstLine="0"/>
        <w:jc w:val="center"/>
        <w:rPr>
          <w:rFonts w:cs="Arial"/>
          <w:szCs w:val="24"/>
        </w:rPr>
      </w:pPr>
    </w:p>
    <w:p w:rsidR="00F73AF6" w:rsidP="006C760E" w:rsidRDefault="00F73AF6" w14:paraId="2310B588" w14:textId="77777777">
      <w:pPr>
        <w:ind w:firstLine="0"/>
        <w:jc w:val="center"/>
        <w:rPr>
          <w:rFonts w:cs="Arial"/>
          <w:szCs w:val="24"/>
        </w:rPr>
      </w:pPr>
    </w:p>
    <w:p w:rsidR="00F73AF6" w:rsidP="006C760E" w:rsidRDefault="00F73AF6" w14:paraId="48DE65C8" w14:textId="77777777">
      <w:pPr>
        <w:ind w:firstLine="0"/>
        <w:jc w:val="center"/>
        <w:rPr>
          <w:rFonts w:cs="Arial"/>
          <w:szCs w:val="24"/>
        </w:rPr>
      </w:pPr>
    </w:p>
    <w:p w:rsidR="00F73AF6" w:rsidP="006C760E" w:rsidRDefault="00F73AF6" w14:paraId="16369A41" w14:textId="77777777">
      <w:pPr>
        <w:ind w:firstLine="0"/>
        <w:jc w:val="center"/>
        <w:rPr>
          <w:rFonts w:cs="Arial"/>
          <w:szCs w:val="24"/>
        </w:rPr>
      </w:pPr>
    </w:p>
    <w:p w:rsidR="00F73AF6" w:rsidP="006C760E" w:rsidRDefault="00F73AF6" w14:paraId="6C942647" w14:textId="77777777">
      <w:pPr>
        <w:ind w:firstLine="0"/>
        <w:jc w:val="center"/>
        <w:rPr>
          <w:rFonts w:cs="Arial"/>
          <w:szCs w:val="24"/>
        </w:rPr>
      </w:pPr>
    </w:p>
    <w:p w:rsidR="00F73AF6" w:rsidP="006C760E" w:rsidRDefault="00F73AF6" w14:paraId="6B86E18E" w14:textId="77777777">
      <w:pPr>
        <w:ind w:firstLine="0"/>
        <w:jc w:val="center"/>
        <w:rPr>
          <w:rFonts w:cs="Arial"/>
          <w:szCs w:val="24"/>
        </w:rPr>
      </w:pPr>
    </w:p>
    <w:p w:rsidR="00F73AF6" w:rsidP="006C760E" w:rsidRDefault="00F73AF6" w14:paraId="6D12AC5E" w14:textId="77777777">
      <w:pPr>
        <w:ind w:firstLine="0"/>
        <w:jc w:val="center"/>
        <w:rPr>
          <w:rFonts w:cs="Arial"/>
          <w:szCs w:val="24"/>
        </w:rPr>
      </w:pPr>
    </w:p>
    <w:p w:rsidR="00F73AF6" w:rsidP="006C760E" w:rsidRDefault="00F73AF6" w14:paraId="35EF25A7" w14:textId="77777777">
      <w:pPr>
        <w:ind w:firstLine="0"/>
        <w:jc w:val="center"/>
        <w:rPr>
          <w:rFonts w:cs="Arial"/>
          <w:szCs w:val="24"/>
        </w:rPr>
      </w:pPr>
    </w:p>
    <w:p w:rsidR="00F73AF6" w:rsidP="006C760E" w:rsidRDefault="00F73AF6" w14:paraId="184EEFD7" w14:textId="77777777">
      <w:pPr>
        <w:ind w:firstLine="0"/>
        <w:jc w:val="center"/>
        <w:rPr>
          <w:rFonts w:cs="Arial"/>
          <w:szCs w:val="24"/>
        </w:rPr>
      </w:pPr>
    </w:p>
    <w:p w:rsidR="00F73AF6" w:rsidP="006C760E" w:rsidRDefault="00F73AF6" w14:paraId="55864BFC" w14:textId="77777777">
      <w:pPr>
        <w:ind w:firstLine="0"/>
        <w:jc w:val="center"/>
        <w:rPr>
          <w:rFonts w:cs="Arial"/>
          <w:szCs w:val="24"/>
        </w:rPr>
      </w:pPr>
    </w:p>
    <w:p w:rsidR="00F73AF6" w:rsidP="006C760E" w:rsidRDefault="00F73AF6" w14:paraId="36631BEE" w14:textId="77777777">
      <w:pPr>
        <w:ind w:firstLine="0"/>
        <w:jc w:val="center"/>
        <w:rPr>
          <w:rFonts w:cs="Arial"/>
          <w:szCs w:val="24"/>
        </w:rPr>
      </w:pPr>
    </w:p>
    <w:p w:rsidR="00F73AF6" w:rsidP="006C760E" w:rsidRDefault="002E0FC5" w14:paraId="4843B865" w14:textId="750E5259">
      <w:pPr>
        <w:ind w:firstLine="0"/>
        <w:jc w:val="center"/>
        <w:rPr>
          <w:rFonts w:cs="Arial"/>
          <w:szCs w:val="24"/>
        </w:rPr>
      </w:pPr>
      <w:r w:rsidRPr="002E0FC5">
        <w:rPr>
          <w:b/>
        </w:rPr>
        <w:t>CONTROLE DE CONSTITUCIONALIDADE E SEUS ASPECTOS ESTRUTURAIS DO NO ORDENAMENTO JURÍDICO BRASILEIRO</w:t>
      </w:r>
    </w:p>
    <w:p w:rsidR="00F73AF6" w:rsidP="006C760E" w:rsidRDefault="00F73AF6" w14:paraId="1D8C700A" w14:textId="77777777">
      <w:pPr>
        <w:ind w:firstLine="0"/>
        <w:jc w:val="center"/>
        <w:rPr>
          <w:rFonts w:cs="Arial"/>
          <w:szCs w:val="24"/>
        </w:rPr>
      </w:pPr>
    </w:p>
    <w:p w:rsidR="00FD7CEA" w:rsidP="006C760E" w:rsidRDefault="00FD7CEA" w14:paraId="5546F786" w14:textId="77777777">
      <w:pPr>
        <w:ind w:firstLine="0"/>
        <w:jc w:val="center"/>
        <w:rPr>
          <w:rFonts w:cs="Arial"/>
          <w:szCs w:val="24"/>
        </w:rPr>
      </w:pPr>
    </w:p>
    <w:p w:rsidRPr="00D95474" w:rsidR="00D95474" w:rsidP="00FD7CEA" w:rsidRDefault="00D95474" w14:paraId="43295564" w14:textId="5CED3671">
      <w:pPr>
        <w:ind w:left="2124" w:firstLine="0"/>
        <w:rPr>
          <w:rFonts w:cs="Arial"/>
          <w:szCs w:val="24"/>
        </w:rPr>
      </w:pPr>
      <w:r w:rsidRPr="00D95474">
        <w:rPr>
          <w:rFonts w:cs="Arial"/>
          <w:szCs w:val="24"/>
        </w:rPr>
        <w:t>Artigo Científico apresentado à disciplina Trabalho de Curso, da Escola de Direito, Negócios e Comunicação da Pontifícia Universidade Católica de Goiás</w:t>
      </w:r>
      <w:r w:rsidR="00C55050">
        <w:rPr>
          <w:rFonts w:cs="Arial"/>
          <w:szCs w:val="24"/>
        </w:rPr>
        <w:t xml:space="preserve"> </w:t>
      </w:r>
      <w:r w:rsidRPr="00D95474">
        <w:rPr>
          <w:rFonts w:cs="Arial"/>
          <w:szCs w:val="24"/>
        </w:rPr>
        <w:t>(PUCGOIÁS).</w:t>
      </w:r>
    </w:p>
    <w:p w:rsidRPr="00043744" w:rsidR="00F73AF6" w:rsidP="00FD7CEA" w:rsidRDefault="00D95474" w14:paraId="00E42B20" w14:textId="1D560250">
      <w:pPr>
        <w:ind w:left="2124" w:firstLine="0"/>
        <w:rPr>
          <w:rFonts w:cs="Arial"/>
          <w:highlight w:val="yellow"/>
        </w:rPr>
      </w:pPr>
      <w:r w:rsidRPr="14269F47" w:rsidR="14269F47">
        <w:rPr>
          <w:rFonts w:cs="Arial"/>
        </w:rPr>
        <w:t>Profa. Orientadora: Mestre Miriam Moema de Castro Machado Roriz.</w:t>
      </w:r>
    </w:p>
    <w:p w:rsidR="006C760E" w:rsidP="7CE94689" w:rsidRDefault="006C760E" w14:paraId="3DB78A0B" w14:textId="4611D82A">
      <w:pPr>
        <w:ind w:firstLine="0"/>
        <w:jc w:val="center"/>
        <w:rPr>
          <w:rFonts w:cs="Arial"/>
        </w:rPr>
      </w:pPr>
    </w:p>
    <w:p w:rsidR="005B29B7" w:rsidP="0040103F" w:rsidRDefault="005B29B7" w14:paraId="43052943" w14:textId="77777777">
      <w:pPr>
        <w:ind w:firstLine="0"/>
        <w:rPr>
          <w:rFonts w:cs="Arial"/>
          <w:b/>
        </w:rPr>
      </w:pPr>
    </w:p>
    <w:p w:rsidRPr="0040295E" w:rsidR="001D067A" w:rsidP="006C760E" w:rsidRDefault="001D067A" w14:paraId="380CBFBD" w14:textId="77777777">
      <w:pPr>
        <w:ind w:firstLine="0"/>
        <w:jc w:val="center"/>
        <w:rPr>
          <w:rFonts w:cs="Arial"/>
          <w:b/>
          <w:szCs w:val="24"/>
        </w:rPr>
      </w:pPr>
    </w:p>
    <w:p w:rsidR="00F37FB3" w:rsidP="00B8306B" w:rsidRDefault="00F37FB3" w14:paraId="010F59C6" w14:textId="77777777">
      <w:pPr>
        <w:ind w:firstLine="0"/>
        <w:rPr>
          <w:rFonts w:cs="Arial"/>
          <w:b/>
          <w:szCs w:val="24"/>
        </w:rPr>
      </w:pPr>
    </w:p>
    <w:p w:rsidR="0040103F" w:rsidP="0040103F" w:rsidRDefault="0040103F" w14:paraId="3E4CFB51" w14:textId="77777777">
      <w:pPr>
        <w:ind w:firstLine="0"/>
        <w:rPr>
          <w:rFonts w:cs="Arial"/>
          <w:b/>
        </w:rPr>
      </w:pPr>
    </w:p>
    <w:p w:rsidR="001D3DB6" w:rsidP="006C760E" w:rsidRDefault="00EA0C33" w14:paraId="75B4EED9" w14:textId="3DCB0D17">
      <w:pPr>
        <w:ind w:firstLine="0"/>
        <w:jc w:val="center"/>
      </w:pPr>
      <w:r>
        <w:t>GOIÂNIA</w:t>
      </w:r>
    </w:p>
    <w:p w:rsidR="006C760E" w:rsidP="006C760E" w:rsidRDefault="00EA0C33" w14:paraId="393BF3B1" w14:textId="7A1064EC">
      <w:pPr>
        <w:ind w:firstLine="0"/>
        <w:jc w:val="center"/>
        <w:sectPr w:rsidR="006C760E" w:rsidSect="00505F14">
          <w:footnotePr>
            <w:numRestart w:val="eachSect"/>
          </w:footnotePr>
          <w:pgSz w:w="11906" w:h="16838" w:orient="portrait" w:code="9"/>
          <w:pgMar w:top="1701" w:right="1134" w:bottom="1134" w:left="1701" w:header="1134" w:footer="709" w:gutter="0"/>
          <w:cols w:space="708"/>
          <w:titlePg/>
          <w:docGrid w:linePitch="360"/>
        </w:sectPr>
      </w:pPr>
      <w:r>
        <w:t>202</w:t>
      </w:r>
      <w:r w:rsidR="004C3A42">
        <w:t>6</w:t>
      </w:r>
    </w:p>
    <w:p w:rsidRPr="00043744" w:rsidR="002A28DC" w:rsidP="002A28DC" w:rsidRDefault="000C61B0" w14:paraId="1E782445" w14:textId="47959795">
      <w:pPr>
        <w:ind w:firstLine="0"/>
        <w:jc w:val="center"/>
        <w:rPr>
          <w:rFonts w:cs="Arial"/>
          <w:szCs w:val="24"/>
        </w:rPr>
      </w:pPr>
      <w:r>
        <w:rPr>
          <w:rFonts w:cs="Arial"/>
          <w:szCs w:val="24"/>
        </w:rPr>
        <w:t>CLARA COSTA DE OLIVEIRA</w:t>
      </w:r>
    </w:p>
    <w:p w:rsidR="002A28DC" w:rsidP="002A28DC" w:rsidRDefault="002A28DC" w14:paraId="0214377F" w14:textId="77777777">
      <w:pPr>
        <w:ind w:firstLine="0"/>
        <w:jc w:val="center"/>
        <w:rPr>
          <w:rFonts w:cs="Arial"/>
          <w:szCs w:val="24"/>
        </w:rPr>
      </w:pPr>
    </w:p>
    <w:p w:rsidR="002A28DC" w:rsidP="002A28DC" w:rsidRDefault="002A28DC" w14:paraId="5CA1C11A" w14:textId="77777777">
      <w:pPr>
        <w:ind w:firstLine="0"/>
        <w:jc w:val="center"/>
        <w:rPr>
          <w:rFonts w:cs="Arial"/>
          <w:szCs w:val="24"/>
        </w:rPr>
      </w:pPr>
    </w:p>
    <w:p w:rsidR="002A28DC" w:rsidP="002A28DC" w:rsidRDefault="002A28DC" w14:paraId="4479E49B" w14:textId="77777777">
      <w:pPr>
        <w:ind w:firstLine="0"/>
        <w:jc w:val="center"/>
        <w:rPr>
          <w:rFonts w:cs="Arial"/>
          <w:szCs w:val="24"/>
        </w:rPr>
      </w:pPr>
    </w:p>
    <w:p w:rsidR="002A28DC" w:rsidP="002A28DC" w:rsidRDefault="002A28DC" w14:paraId="1343D6D8" w14:textId="77777777">
      <w:pPr>
        <w:ind w:firstLine="0"/>
        <w:jc w:val="center"/>
        <w:rPr>
          <w:rFonts w:cs="Arial"/>
          <w:szCs w:val="24"/>
        </w:rPr>
      </w:pPr>
    </w:p>
    <w:p w:rsidR="002A28DC" w:rsidP="002A28DC" w:rsidRDefault="002A28DC" w14:paraId="2C95C95A" w14:textId="77777777">
      <w:pPr>
        <w:ind w:firstLine="0"/>
        <w:jc w:val="center"/>
        <w:rPr>
          <w:rFonts w:cs="Arial"/>
          <w:szCs w:val="24"/>
        </w:rPr>
      </w:pPr>
    </w:p>
    <w:p w:rsidR="002A28DC" w:rsidP="002A28DC" w:rsidRDefault="002A28DC" w14:paraId="095A53F8" w14:textId="77777777">
      <w:pPr>
        <w:ind w:firstLine="0"/>
        <w:jc w:val="center"/>
        <w:rPr>
          <w:rFonts w:cs="Arial"/>
          <w:szCs w:val="24"/>
        </w:rPr>
      </w:pPr>
    </w:p>
    <w:p w:rsidR="002A28DC" w:rsidP="002A28DC" w:rsidRDefault="002A28DC" w14:paraId="69541580" w14:textId="77777777">
      <w:pPr>
        <w:ind w:firstLine="0"/>
        <w:jc w:val="center"/>
        <w:rPr>
          <w:rFonts w:cs="Arial"/>
          <w:szCs w:val="24"/>
        </w:rPr>
      </w:pPr>
    </w:p>
    <w:p w:rsidR="002A28DC" w:rsidP="002A28DC" w:rsidRDefault="002A28DC" w14:paraId="59C9C97B" w14:textId="77777777">
      <w:pPr>
        <w:ind w:firstLine="0"/>
        <w:jc w:val="center"/>
        <w:rPr>
          <w:rFonts w:cs="Arial"/>
          <w:szCs w:val="24"/>
        </w:rPr>
      </w:pPr>
    </w:p>
    <w:p w:rsidR="002A28DC" w:rsidP="008F23F3" w:rsidRDefault="002A28DC" w14:paraId="48ABC368" w14:textId="77777777">
      <w:pPr>
        <w:ind w:firstLine="0"/>
        <w:rPr>
          <w:rFonts w:cs="Arial"/>
          <w:szCs w:val="24"/>
        </w:rPr>
      </w:pPr>
    </w:p>
    <w:p w:rsidR="002A28DC" w:rsidP="002A28DC" w:rsidRDefault="000C61B0" w14:paraId="0074541D" w14:textId="087838B6">
      <w:pPr>
        <w:ind w:firstLine="0"/>
        <w:jc w:val="center"/>
        <w:rPr>
          <w:rFonts w:cs="Arial"/>
          <w:b/>
          <w:szCs w:val="24"/>
        </w:rPr>
      </w:pPr>
      <w:r w:rsidRPr="000C61B0">
        <w:rPr>
          <w:b/>
        </w:rPr>
        <w:t>CONTROLE DE CONSTITUCIONALIDADE E SEUS ASPECTOS ESTRUTURAIS DO NO ORDENAMENTO JURÍDICO BRASILEIRO</w:t>
      </w:r>
    </w:p>
    <w:p w:rsidR="002A28DC" w:rsidP="002A28DC" w:rsidRDefault="002A28DC" w14:paraId="130E33A6" w14:textId="77777777">
      <w:pPr>
        <w:ind w:firstLine="0"/>
        <w:jc w:val="center"/>
        <w:rPr>
          <w:rFonts w:cs="Arial"/>
          <w:b/>
          <w:szCs w:val="24"/>
        </w:rPr>
      </w:pPr>
    </w:p>
    <w:p w:rsidR="002A28DC" w:rsidP="002A28DC" w:rsidRDefault="002A28DC" w14:paraId="0A987A85" w14:textId="77777777">
      <w:pPr>
        <w:ind w:firstLine="0"/>
        <w:jc w:val="center"/>
        <w:rPr>
          <w:rFonts w:cs="Arial"/>
          <w:b/>
          <w:szCs w:val="24"/>
        </w:rPr>
      </w:pPr>
    </w:p>
    <w:p w:rsidR="002A28DC" w:rsidP="006023A1" w:rsidRDefault="002A28DC" w14:paraId="2C0748DA" w14:textId="77777777">
      <w:pPr>
        <w:ind w:firstLine="0"/>
        <w:rPr>
          <w:rFonts w:cs="Arial"/>
          <w:b/>
          <w:szCs w:val="24"/>
        </w:rPr>
      </w:pPr>
    </w:p>
    <w:p w:rsidR="00F50A34" w:rsidP="00F50A34" w:rsidRDefault="00F32D2B" w14:paraId="7759A542" w14:textId="00CA8566">
      <w:pPr>
        <w:ind w:firstLine="0"/>
        <w:jc w:val="center"/>
        <w:rPr>
          <w:rFonts w:cs="Arial"/>
          <w:bCs/>
          <w:szCs w:val="24"/>
        </w:rPr>
      </w:pPr>
      <w:r w:rsidRPr="00F32D2B">
        <w:rPr>
          <w:rFonts w:cs="Arial"/>
          <w:bCs/>
          <w:szCs w:val="24"/>
        </w:rPr>
        <w:t>Data da Defesa: _____ de ________ de _____</w:t>
      </w:r>
    </w:p>
    <w:p w:rsidR="00F50A34" w:rsidP="00F50A34" w:rsidRDefault="00F50A34" w14:paraId="78A53A90" w14:textId="77777777">
      <w:pPr>
        <w:ind w:firstLine="0"/>
        <w:jc w:val="center"/>
        <w:rPr>
          <w:rFonts w:cs="Arial"/>
          <w:bCs/>
          <w:szCs w:val="24"/>
        </w:rPr>
      </w:pPr>
    </w:p>
    <w:p w:rsidR="00F50A34" w:rsidP="00F50A34" w:rsidRDefault="00F50A34" w14:paraId="104C94B5" w14:textId="77777777">
      <w:pPr>
        <w:ind w:firstLine="0"/>
        <w:jc w:val="center"/>
        <w:rPr>
          <w:rFonts w:cs="Arial"/>
          <w:bCs/>
          <w:szCs w:val="24"/>
        </w:rPr>
      </w:pPr>
    </w:p>
    <w:p w:rsidR="00F50A34" w:rsidP="00F50A34" w:rsidRDefault="00F50A34" w14:paraId="1F554157" w14:textId="77777777">
      <w:pPr>
        <w:ind w:firstLine="0"/>
        <w:rPr>
          <w:rFonts w:cs="Arial"/>
          <w:bCs/>
          <w:szCs w:val="24"/>
        </w:rPr>
      </w:pPr>
    </w:p>
    <w:p w:rsidR="00F32D2B" w:rsidP="002A28DC" w:rsidRDefault="00C61B53" w14:paraId="0C68D6DC" w14:textId="636968F0">
      <w:pPr>
        <w:ind w:firstLine="0"/>
        <w:jc w:val="center"/>
        <w:rPr>
          <w:rFonts w:cs="Arial"/>
          <w:bCs/>
          <w:szCs w:val="24"/>
        </w:rPr>
      </w:pPr>
      <w:r w:rsidRPr="00C61B53">
        <w:rPr>
          <w:rFonts w:cs="Arial"/>
          <w:bCs/>
          <w:szCs w:val="24"/>
        </w:rPr>
        <w:t>BANCA EXAMINADORA</w:t>
      </w:r>
    </w:p>
    <w:p w:rsidR="006023A1" w:rsidP="002A28DC" w:rsidRDefault="006023A1" w14:paraId="39EDDF2C" w14:textId="77777777">
      <w:pPr>
        <w:ind w:firstLine="0"/>
        <w:jc w:val="center"/>
        <w:rPr>
          <w:rFonts w:cs="Arial"/>
          <w:bCs/>
          <w:szCs w:val="24"/>
        </w:rPr>
      </w:pPr>
    </w:p>
    <w:p w:rsidR="00C61B53" w:rsidP="002A28DC" w:rsidRDefault="00C61B53" w14:paraId="50DDC017" w14:textId="77777777">
      <w:pPr>
        <w:ind w:firstLine="0"/>
        <w:jc w:val="center"/>
        <w:rPr>
          <w:rFonts w:cs="Arial"/>
          <w:bCs/>
          <w:szCs w:val="24"/>
        </w:rPr>
      </w:pPr>
    </w:p>
    <w:p w:rsidR="00C61B53" w:rsidP="002A28DC" w:rsidRDefault="00C61B53" w14:paraId="53AD2319" w14:textId="77777777">
      <w:pPr>
        <w:ind w:firstLine="0"/>
        <w:jc w:val="center"/>
        <w:rPr>
          <w:rFonts w:cs="Arial"/>
          <w:bCs/>
          <w:szCs w:val="24"/>
        </w:rPr>
      </w:pPr>
    </w:p>
    <w:p w:rsidR="00C61B53" w:rsidP="002A28DC" w:rsidRDefault="00F50A34" w14:paraId="0A6C3874" w14:textId="5AA975E3">
      <w:pPr>
        <w:ind w:firstLine="0"/>
        <w:jc w:val="center"/>
        <w:rPr>
          <w:rFonts w:cs="Arial"/>
          <w:bCs/>
          <w:szCs w:val="24"/>
        </w:rPr>
      </w:pPr>
      <w:r>
        <w:rPr>
          <w:rFonts w:cs="Arial"/>
          <w:bCs/>
          <w:szCs w:val="24"/>
        </w:rPr>
        <w:t>__________________________________________</w:t>
      </w:r>
      <w:r w:rsidR="003E3712">
        <w:rPr>
          <w:rFonts w:cs="Arial"/>
          <w:bCs/>
          <w:szCs w:val="24"/>
        </w:rPr>
        <w:t>__</w:t>
      </w:r>
    </w:p>
    <w:p w:rsidR="00C61B53" w:rsidP="4648AFAB" w:rsidRDefault="00F50A34" w14:paraId="46DF4AD3" w14:textId="1AAA9701">
      <w:pPr>
        <w:ind w:firstLine="0"/>
        <w:jc w:val="center"/>
        <w:rPr>
          <w:rFonts w:cs="Arial"/>
        </w:rPr>
      </w:pPr>
      <w:r w:rsidRPr="14269F47" w:rsidR="14269F47">
        <w:rPr>
          <w:rFonts w:cs="Arial"/>
        </w:rPr>
        <w:t>Orientadora: Profa. Mestre Miriam Moema de Castro Machado Roriz   |   Nota: ____</w:t>
      </w:r>
    </w:p>
    <w:p w:rsidR="00FD3004" w:rsidP="002A28DC" w:rsidRDefault="00FD3004" w14:paraId="686D0778" w14:textId="77777777">
      <w:pPr>
        <w:ind w:firstLine="0"/>
        <w:jc w:val="center"/>
        <w:rPr>
          <w:rFonts w:cs="Arial"/>
          <w:bCs/>
          <w:szCs w:val="24"/>
        </w:rPr>
      </w:pPr>
    </w:p>
    <w:p w:rsidR="006023A1" w:rsidP="002A28DC" w:rsidRDefault="006023A1" w14:paraId="4C784AB2" w14:textId="77777777">
      <w:pPr>
        <w:ind w:firstLine="0"/>
        <w:jc w:val="center"/>
        <w:rPr>
          <w:rFonts w:cs="Arial"/>
          <w:bCs/>
          <w:szCs w:val="24"/>
        </w:rPr>
      </w:pPr>
    </w:p>
    <w:p w:rsidR="006023A1" w:rsidP="002A28DC" w:rsidRDefault="006023A1" w14:paraId="6ADF7769" w14:textId="77777777">
      <w:pPr>
        <w:ind w:firstLine="0"/>
        <w:jc w:val="center"/>
        <w:rPr>
          <w:rFonts w:cs="Arial"/>
          <w:bCs/>
          <w:szCs w:val="24"/>
        </w:rPr>
      </w:pPr>
    </w:p>
    <w:p w:rsidR="00FD3004" w:rsidP="003E3712" w:rsidRDefault="003E3712" w14:paraId="3FB3FCFA" w14:textId="1D19B771">
      <w:pPr>
        <w:ind w:firstLine="0"/>
        <w:jc w:val="center"/>
        <w:rPr>
          <w:rFonts w:cs="Arial"/>
          <w:bCs/>
          <w:szCs w:val="24"/>
        </w:rPr>
      </w:pPr>
      <w:r>
        <w:rPr>
          <w:rFonts w:cs="Arial"/>
          <w:bCs/>
          <w:szCs w:val="24"/>
        </w:rPr>
        <w:t>____________________________________________</w:t>
      </w:r>
    </w:p>
    <w:p w:rsidR="00FD3004" w:rsidP="002A28DC" w:rsidRDefault="00FD3004" w14:paraId="5CE699DC" w14:textId="5E00B0B4">
      <w:pPr>
        <w:ind w:firstLine="0"/>
        <w:jc w:val="center"/>
        <w:rPr>
          <w:rFonts w:cs="Arial"/>
          <w:bCs/>
          <w:szCs w:val="24"/>
        </w:rPr>
      </w:pPr>
      <w:r w:rsidRPr="00FD3004">
        <w:rPr>
          <w:rFonts w:cs="Arial"/>
          <w:bCs/>
          <w:szCs w:val="24"/>
        </w:rPr>
        <w:t>Examinador (a) Convidado (a): Prof. (a): Titulação e Nome Completo</w:t>
      </w:r>
      <w:r>
        <w:rPr>
          <w:rFonts w:cs="Arial"/>
          <w:bCs/>
          <w:szCs w:val="24"/>
        </w:rPr>
        <w:t xml:space="preserve">   |   </w:t>
      </w:r>
      <w:r w:rsidRPr="00C61B53">
        <w:rPr>
          <w:rFonts w:cs="Arial"/>
          <w:bCs/>
          <w:szCs w:val="24"/>
        </w:rPr>
        <w:t>Nota</w:t>
      </w:r>
      <w:r>
        <w:rPr>
          <w:rFonts w:cs="Arial"/>
          <w:bCs/>
          <w:szCs w:val="24"/>
        </w:rPr>
        <w:t>: ____</w:t>
      </w:r>
    </w:p>
    <w:p w:rsidR="008F23F3" w:rsidP="008F23F3" w:rsidRDefault="001A7C8F" w14:paraId="41501E3C" w14:textId="48546E95">
      <w:pPr>
        <w:ind w:firstLine="0"/>
        <w:jc w:val="center"/>
        <w:rPr>
          <w:rFonts w:cs="Arial"/>
          <w:b/>
          <w:szCs w:val="24"/>
        </w:rPr>
      </w:pPr>
      <w:r>
        <w:rPr>
          <w:rFonts w:cs="Arial"/>
          <w:bCs/>
          <w:szCs w:val="24"/>
        </w:rPr>
        <w:br w:type="page"/>
      </w:r>
      <w:r w:rsidRPr="000C61B0" w:rsidR="000C61B0">
        <w:rPr>
          <w:b/>
        </w:rPr>
        <w:t>CONTROLE DE CONSTITUCIONALIDADE E SEUS ASPECTOS ESTRUTURAIS DO NO ORDENAMENTO JURÍDICO BRASILEIRO</w:t>
      </w:r>
    </w:p>
    <w:p w:rsidR="008F23F3" w:rsidP="00271901" w:rsidRDefault="008F23F3" w14:paraId="6C19CA99" w14:textId="77777777">
      <w:pPr>
        <w:spacing w:line="240" w:lineRule="auto"/>
        <w:ind w:firstLine="0"/>
        <w:jc w:val="center"/>
        <w:rPr>
          <w:rFonts w:cs="Arial"/>
          <w:b/>
          <w:szCs w:val="24"/>
        </w:rPr>
      </w:pPr>
    </w:p>
    <w:p w:rsidR="008F23F3" w:rsidP="00271901" w:rsidRDefault="008F23F3" w14:paraId="6BED2D98" w14:textId="77777777">
      <w:pPr>
        <w:spacing w:line="240" w:lineRule="auto"/>
        <w:ind w:firstLine="0"/>
        <w:jc w:val="center"/>
        <w:rPr>
          <w:rFonts w:cs="Arial"/>
          <w:b/>
          <w:szCs w:val="24"/>
        </w:rPr>
      </w:pPr>
    </w:p>
    <w:p w:rsidR="008F23F3" w:rsidP="00271901" w:rsidRDefault="008F23F3" w14:paraId="2D436D28" w14:textId="77777777">
      <w:pPr>
        <w:spacing w:line="240" w:lineRule="auto"/>
        <w:ind w:firstLine="0"/>
        <w:jc w:val="center"/>
        <w:rPr>
          <w:rFonts w:cs="Arial"/>
          <w:b/>
          <w:szCs w:val="24"/>
        </w:rPr>
      </w:pPr>
    </w:p>
    <w:p w:rsidR="008F23F3" w:rsidP="00271901" w:rsidRDefault="000C61B0" w14:paraId="61533C59" w14:textId="2878EEF1">
      <w:pPr>
        <w:spacing w:line="240" w:lineRule="auto"/>
        <w:ind w:firstLine="0"/>
        <w:jc w:val="right"/>
        <w:rPr>
          <w:rFonts w:cs="Arial"/>
          <w:bCs/>
          <w:szCs w:val="24"/>
        </w:rPr>
      </w:pPr>
      <w:r>
        <w:rPr>
          <w:rFonts w:cs="Arial"/>
          <w:bCs/>
          <w:szCs w:val="24"/>
        </w:rPr>
        <w:t>Clara Costa de Oliveira</w:t>
      </w:r>
      <w:r w:rsidR="00271901">
        <w:rPr>
          <w:rStyle w:val="Refdenotaderodap"/>
          <w:rFonts w:cs="Arial"/>
          <w:bCs/>
          <w:szCs w:val="24"/>
        </w:rPr>
        <w:footnoteReference w:id="1"/>
      </w:r>
    </w:p>
    <w:p w:rsidR="008F23F3" w:rsidP="00271901" w:rsidRDefault="008F23F3" w14:paraId="4C859CFE" w14:textId="77777777">
      <w:pPr>
        <w:spacing w:line="240" w:lineRule="auto"/>
        <w:ind w:firstLine="0"/>
        <w:jc w:val="right"/>
        <w:rPr>
          <w:rFonts w:cs="Arial"/>
          <w:bCs/>
          <w:szCs w:val="24"/>
        </w:rPr>
      </w:pPr>
    </w:p>
    <w:p w:rsidR="008F23F3" w:rsidP="14269F47" w:rsidRDefault="008F23F3" w14:paraId="290F0052" w14:textId="6E57BE94">
      <w:pPr>
        <w:spacing w:line="240" w:lineRule="auto"/>
        <w:ind w:firstLine="0"/>
        <w:jc w:val="left"/>
        <w:rPr>
          <w:rFonts w:ascii="Arial" w:hAnsi="Arial" w:eastAsia="Arial" w:cs="Arial"/>
          <w:b w:val="1"/>
          <w:bCs w:val="1"/>
        </w:rPr>
      </w:pPr>
      <w:r w:rsidRPr="14269F47" w:rsidR="14269F47">
        <w:rPr>
          <w:rFonts w:ascii="Arial" w:hAnsi="Arial" w:eastAsia="Arial" w:cs="Arial"/>
          <w:b w:val="1"/>
          <w:bCs w:val="1"/>
        </w:rPr>
        <w:t>RESUMO</w:t>
      </w:r>
    </w:p>
    <w:p w:rsidRPr="008F23F3" w:rsidR="00720639" w:rsidP="00271901" w:rsidRDefault="00720639" w14:paraId="2F125920" w14:textId="77777777">
      <w:pPr>
        <w:spacing w:line="240" w:lineRule="auto"/>
        <w:ind w:firstLine="0"/>
        <w:jc w:val="right"/>
        <w:rPr>
          <w:rFonts w:cs="Arial"/>
          <w:bCs/>
          <w:szCs w:val="24"/>
        </w:rPr>
      </w:pPr>
    </w:p>
    <w:p w:rsidRPr="00864F94" w:rsidR="00864F94" w:rsidP="00864F94" w:rsidRDefault="00864F94" w14:paraId="50C910A3" w14:textId="333B28C9">
      <w:pPr>
        <w:spacing w:line="240" w:lineRule="auto"/>
        <w:ind w:firstLine="0"/>
        <w:rPr>
          <w:rFonts w:cs="Arial"/>
          <w:bCs/>
          <w:szCs w:val="24"/>
        </w:rPr>
      </w:pPr>
      <w:r w:rsidRPr="00864F94">
        <w:rPr>
          <w:rFonts w:cs="Arial"/>
          <w:bCs/>
          <w:szCs w:val="24"/>
        </w:rPr>
        <w:t xml:space="preserve">O presente artigo analisa o controle de constitucionalidade no ordenamento jurídico brasileiro, destacando seus fundamentos teóricos, conceitos e naturezas. O estudo examina a supremacia e a rigidez constitucional como premissas essenciais para a manutenção do Estado Democrático de Direito e da harmonia do sistema normativo. Utilizou-se o método dedutivo por meio de revisão doutrinária e normativa para descrever as modalidades de fiscalização vigentes no país. Investigaram-se as particularidades do controle difuso, marcado pela universalidade e acessoriedade no juízo monocrático, bem como a observância da cláusula de reserva de plenário nos tribunais. Adicionalmente, abordou-se o controle concentrado, detalhando o funcionamento da Ação Direta de Inconstitucionalidade e da Ação Declaratória de Constitucionalidade perante o Supremo Tribunal Federal. Os resultados indicam que o sistema brasileiro, ao adotar um modelo </w:t>
      </w:r>
      <w:r w:rsidR="001F537F">
        <w:rPr>
          <w:rFonts w:cs="Arial"/>
          <w:bCs/>
          <w:szCs w:val="24"/>
        </w:rPr>
        <w:t>misto</w:t>
      </w:r>
      <w:r w:rsidRPr="00864F94">
        <w:rPr>
          <w:rFonts w:cs="Arial"/>
          <w:bCs/>
          <w:szCs w:val="24"/>
        </w:rPr>
        <w:t>, confere ao Poder Judiciário o papel de fiscal</w:t>
      </w:r>
      <w:r w:rsidR="001F537F">
        <w:rPr>
          <w:rFonts w:cs="Arial"/>
          <w:bCs/>
          <w:szCs w:val="24"/>
        </w:rPr>
        <w:t xml:space="preserve"> </w:t>
      </w:r>
      <w:r w:rsidRPr="00864F94">
        <w:rPr>
          <w:rFonts w:cs="Arial"/>
          <w:bCs/>
          <w:szCs w:val="24"/>
        </w:rPr>
        <w:t xml:space="preserve">da Constituição, garantindo </w:t>
      </w:r>
      <w:r w:rsidR="001F537F">
        <w:rPr>
          <w:rFonts w:cs="Arial"/>
          <w:bCs/>
          <w:szCs w:val="24"/>
        </w:rPr>
        <w:t>que as</w:t>
      </w:r>
      <w:r w:rsidRPr="00864F94">
        <w:rPr>
          <w:rFonts w:cs="Arial"/>
          <w:bCs/>
          <w:szCs w:val="24"/>
        </w:rPr>
        <w:t xml:space="preserve"> normas incompatíveis</w:t>
      </w:r>
      <w:r w:rsidR="001F537F">
        <w:rPr>
          <w:rFonts w:cs="Arial"/>
          <w:bCs/>
          <w:szCs w:val="24"/>
        </w:rPr>
        <w:t xml:space="preserve"> não tenham eficácia</w:t>
      </w:r>
      <w:r w:rsidRPr="00864F94">
        <w:rPr>
          <w:rFonts w:cs="Arial"/>
          <w:bCs/>
          <w:szCs w:val="24"/>
        </w:rPr>
        <w:t xml:space="preserve"> e a segurança jurídica. Conclui-se que o aprimoramento das técnicas de decisão, como a interpretação conforme a Constituição e a modulação de efeitos, é fundamental para preservar </w:t>
      </w:r>
      <w:r w:rsidR="001F537F">
        <w:rPr>
          <w:rFonts w:cs="Arial"/>
          <w:bCs/>
          <w:szCs w:val="24"/>
        </w:rPr>
        <w:t>o status quo da Constituição</w:t>
      </w:r>
      <w:r w:rsidRPr="00864F94">
        <w:rPr>
          <w:rFonts w:cs="Arial"/>
          <w:bCs/>
          <w:szCs w:val="24"/>
        </w:rPr>
        <w:t>.</w:t>
      </w:r>
    </w:p>
    <w:p w:rsidRPr="00720639" w:rsidR="00720639" w:rsidP="00864F94" w:rsidRDefault="00720639" w14:paraId="15A9CDCC" w14:textId="35FF9086">
      <w:pPr>
        <w:spacing w:line="240" w:lineRule="auto"/>
        <w:ind w:firstLine="0"/>
        <w:rPr>
          <w:rFonts w:cs="Arial"/>
          <w:bCs/>
          <w:szCs w:val="24"/>
        </w:rPr>
      </w:pPr>
      <w:r w:rsidRPr="00720639">
        <w:rPr>
          <w:rFonts w:cs="Arial"/>
          <w:bCs/>
          <w:szCs w:val="24"/>
        </w:rPr>
        <w:t xml:space="preserve"> </w:t>
      </w:r>
    </w:p>
    <w:p w:rsidR="006D2265" w:rsidP="00864F94" w:rsidRDefault="00720639" w14:paraId="021636FA" w14:textId="21D64BA4">
      <w:pPr>
        <w:spacing w:line="240" w:lineRule="auto"/>
        <w:ind w:firstLine="0"/>
        <w:rPr>
          <w:b/>
        </w:rPr>
      </w:pPr>
      <w:r w:rsidRPr="00720639">
        <w:rPr>
          <w:rFonts w:cs="Arial"/>
          <w:b/>
          <w:bCs/>
          <w:szCs w:val="24"/>
        </w:rPr>
        <w:t>Palavras-chave</w:t>
      </w:r>
      <w:r w:rsidRPr="00720639">
        <w:rPr>
          <w:rFonts w:cs="Arial"/>
          <w:bCs/>
          <w:szCs w:val="24"/>
        </w:rPr>
        <w:t xml:space="preserve">: </w:t>
      </w:r>
      <w:r w:rsidRPr="00864F94" w:rsidR="00864F94">
        <w:rPr>
          <w:rFonts w:cs="Arial"/>
          <w:bCs/>
          <w:szCs w:val="24"/>
        </w:rPr>
        <w:t>Controle de Constitucionalidade; Supremacia Constitucional; Supremo Tribunal Federal; Direito Constitucional; Segurança Jurídica</w:t>
      </w:r>
    </w:p>
    <w:p w:rsidR="00271901" w:rsidP="00271901" w:rsidRDefault="00271901" w14:paraId="66E4CABF" w14:textId="77777777">
      <w:pPr>
        <w:spacing w:after="360" w:line="240" w:lineRule="auto"/>
        <w:ind w:firstLine="0"/>
        <w:rPr>
          <w:b/>
        </w:rPr>
      </w:pPr>
    </w:p>
    <w:p w:rsidR="00271901" w:rsidP="00271901" w:rsidRDefault="00271901" w14:paraId="0B34427C" w14:textId="77777777">
      <w:pPr>
        <w:spacing w:after="360" w:line="240" w:lineRule="auto"/>
        <w:ind w:firstLine="0"/>
        <w:rPr>
          <w:b/>
        </w:rPr>
      </w:pPr>
    </w:p>
    <w:p w:rsidR="00271901" w:rsidP="00271901" w:rsidRDefault="00271901" w14:paraId="78E30415" w14:textId="77777777">
      <w:pPr>
        <w:spacing w:after="360" w:line="240" w:lineRule="auto"/>
        <w:ind w:firstLine="0"/>
        <w:jc w:val="center"/>
        <w:rPr>
          <w:b/>
          <w:bCs/>
        </w:rPr>
      </w:pPr>
    </w:p>
    <w:p w:rsidRPr="00271901" w:rsidR="00271901" w:rsidP="00271901" w:rsidRDefault="00271901" w14:paraId="2127D486" w14:textId="77777777">
      <w:pPr>
        <w:spacing w:after="360" w:line="240" w:lineRule="auto"/>
        <w:ind w:firstLine="0"/>
        <w:rPr>
          <w:b/>
        </w:rPr>
      </w:pPr>
    </w:p>
    <w:p w:rsidR="00271901" w:rsidP="4648AFAB" w:rsidRDefault="00271901" w14:paraId="022F527C" w14:textId="5976FE96">
      <w:pPr>
        <w:spacing w:after="360" w:line="240" w:lineRule="auto"/>
        <w:ind w:firstLine="0"/>
        <w:rPr>
          <w:b w:val="1"/>
          <w:bCs w:val="1"/>
          <w:i w:val="1"/>
          <w:iCs w:val="1"/>
        </w:rPr>
      </w:pPr>
      <w:r w:rsidRPr="4648AFAB" w:rsidR="00271901">
        <w:rPr>
          <w:b w:val="1"/>
          <w:bCs w:val="1"/>
          <w:i w:val="1"/>
          <w:iCs w:val="1"/>
        </w:rPr>
        <w:t>ABSTRACT</w:t>
      </w:r>
    </w:p>
    <w:p w:rsidRPr="00864F94" w:rsidR="00864F94" w:rsidP="4648AFAB" w:rsidRDefault="00864F94" w14:paraId="64FFB323" w14:textId="3FD5DB38">
      <w:pPr>
        <w:spacing w:after="360" w:line="240" w:lineRule="auto"/>
        <w:ind w:firstLine="0"/>
        <w:rPr>
          <w:i w:val="1"/>
          <w:iCs w:val="1"/>
          <w:lang w:val="en-US"/>
        </w:rPr>
      </w:pPr>
      <w:r w:rsidRPr="4648AFAB" w:rsidR="00864F94">
        <w:rPr>
          <w:i w:val="1"/>
          <w:iCs w:val="1"/>
          <w:lang w:val="en-US"/>
        </w:rPr>
        <w:t xml:space="preserve">This article analyzes the constitutionality control within the Brazilian legal system, highlighting its theoretical foundations, concepts, and nature. The study examines constitutional supremacy and rigidity as essential premises for maintaining the Democratic Rule of Law and the harmony of the normative system. A deductive method was used through a doctrinal and normative review to describe the types of judicial review active in the country. The particularities of diffuse control were </w:t>
      </w:r>
      <w:r w:rsidRPr="4648AFAB" w:rsidR="00864F94">
        <w:rPr>
          <w:i w:val="1"/>
          <w:iCs w:val="1"/>
          <w:lang w:val="en-US"/>
        </w:rPr>
        <w:t>investigated, characterized by universality and accessoriness in monocratic courts, as well as compliance with the full bench reservation clause in superior court</w:t>
      </w:r>
      <w:r w:rsidRPr="4648AFAB" w:rsidR="00864F94">
        <w:rPr>
          <w:lang w:val="en-US"/>
        </w:rPr>
        <w:t xml:space="preserve">s. </w:t>
      </w:r>
      <w:r w:rsidRPr="4648AFAB" w:rsidR="00864F94">
        <w:rPr>
          <w:i w:val="1"/>
          <w:iCs w:val="1"/>
          <w:lang w:val="en-US"/>
        </w:rPr>
        <w:t>Additionally, concentrated control was addressed, detailing the functioning of the Direct Action of Unconstitutionality (ADI) and the Declaratory Action of Constitutionality (ADC) before the Supreme Federal Court. The results indicate that the Brazilian system, by adopting a hybrid model, grants the Judiciary the role of indispensable guardian of the Constitution, ensuring the removal of incompatible norms and legal certainty. It is concluded that the improvement of decision-making techniques, such as interpretation in accordance with the Constitution and the modulation of effects, is fundamental to preserving institutional stability and fundamental rights.</w:t>
      </w:r>
    </w:p>
    <w:p w:rsidRPr="00864F94" w:rsidR="00271901" w:rsidP="4648AFAB" w:rsidRDefault="00271901" w14:paraId="7C90612D" w14:textId="7C8C58CA">
      <w:pPr>
        <w:spacing w:after="360" w:line="240" w:lineRule="auto"/>
        <w:ind w:firstLine="0"/>
        <w:rPr>
          <w:b w:val="1"/>
          <w:bCs w:val="1"/>
          <w:i w:val="1"/>
          <w:iCs w:val="1"/>
          <w:lang w:val="en-US"/>
        </w:rPr>
      </w:pPr>
      <w:r w:rsidRPr="4648AFAB" w:rsidR="00271901">
        <w:rPr>
          <w:b w:val="1"/>
          <w:bCs w:val="1"/>
          <w:i w:val="1"/>
          <w:iCs w:val="1"/>
          <w:lang w:val="en-US"/>
        </w:rPr>
        <w:t>Keywords:</w:t>
      </w:r>
      <w:r w:rsidRPr="4648AFAB" w:rsidR="00864F94">
        <w:rPr>
          <w:b w:val="1"/>
          <w:bCs w:val="1"/>
          <w:i w:val="1"/>
          <w:iCs w:val="1"/>
          <w:lang w:val="en-US"/>
        </w:rPr>
        <w:t xml:space="preserve"> </w:t>
      </w:r>
      <w:r w:rsidRPr="4648AFAB" w:rsidR="00864F94">
        <w:rPr>
          <w:i w:val="1"/>
          <w:iCs w:val="1"/>
          <w:lang w:val="en-US"/>
        </w:rPr>
        <w:t>Constitutionality Control; Constitutional Supremacy; Supreme Federal Court; Constitutional Law; Legal Certainty</w:t>
      </w:r>
    </w:p>
    <w:p w:rsidRPr="00864F94" w:rsidR="00180FAE" w:rsidP="001159AC" w:rsidRDefault="006D2265" w14:paraId="7BB04EF7" w14:textId="77777777">
      <w:pPr>
        <w:spacing w:after="360"/>
        <w:ind w:firstLine="0"/>
        <w:jc w:val="center"/>
        <w:rPr>
          <w:lang w:val="en-US"/>
        </w:rPr>
      </w:pPr>
      <w:r w:rsidRPr="00864F94">
        <w:rPr>
          <w:lang w:val="en-US"/>
        </w:rPr>
        <w:br w:type="page"/>
      </w:r>
    </w:p>
    <w:p w:rsidRPr="00864F94" w:rsidR="00180FAE" w:rsidP="377DE7A3" w:rsidRDefault="001368A6" w14:paraId="35D2591C" w14:textId="7BDE739C">
      <w:pPr>
        <w:pStyle w:val="CabealhodoSumrio"/>
        <w:jc w:val="center"/>
        <w:rPr>
          <w:rFonts w:ascii="Arial" w:hAnsi="Arial" w:cs="Arial"/>
          <w:b w:val="1"/>
          <w:bCs w:val="1"/>
          <w:color w:val="000000"/>
          <w:sz w:val="24"/>
          <w:szCs w:val="24"/>
          <w:lang w:val="en-US"/>
        </w:rPr>
      </w:pPr>
      <w:r w:rsidRPr="377DE7A3" w:rsidR="377DE7A3">
        <w:rPr>
          <w:rFonts w:ascii="Arial" w:hAnsi="Arial" w:cs="Arial"/>
          <w:b w:val="1"/>
          <w:bCs w:val="1"/>
          <w:color w:val="000000" w:themeColor="text1" w:themeTint="FF" w:themeShade="FF"/>
          <w:sz w:val="24"/>
          <w:szCs w:val="24"/>
          <w:lang w:val="en-US"/>
        </w:rPr>
        <w:t>SUMÁRIO</w:t>
      </w:r>
    </w:p>
    <w:p w:rsidR="00647C01" w:rsidP="377DE7A3" w:rsidRDefault="005F22F9" w14:paraId="7DDBFA23" w14:textId="68FAEACD">
      <w:pPr>
        <w:pStyle w:val="Sumrio1"/>
        <w:tabs>
          <w:tab w:val="right" w:leader="dot" w:pos="9060"/>
        </w:tabs>
        <w:rPr>
          <w:rFonts w:ascii="Calibri" w:hAnsi="Calibri" w:eastAsia="Yu Mincho" w:cs="Arial"/>
          <w:b w:val="0"/>
          <w:bCs w:val="0"/>
          <w:caps w:val="0"/>
          <w:smallCaps w:val="0"/>
          <w:noProof/>
        </w:rPr>
      </w:pPr>
      <w:r>
        <w:fldChar w:fldCharType="begin"/>
      </w:r>
      <w:r>
        <w:instrText xml:space="preserve">TOC \o "1-3" \z \u \h</w:instrText>
      </w:r>
      <w:r>
        <w:fldChar w:fldCharType="separate"/>
      </w:r>
      <w:hyperlink w:anchor="_Toc489366397">
        <w:r w:rsidRPr="377DE7A3" w:rsidR="377DE7A3">
          <w:rPr>
            <w:rStyle w:val="Hyperlink"/>
          </w:rPr>
          <w:t>INTRODUÇÃO</w:t>
        </w:r>
        <w:r>
          <w:tab/>
        </w:r>
        <w:r>
          <w:fldChar w:fldCharType="begin"/>
        </w:r>
        <w:r>
          <w:instrText xml:space="preserve">PAGEREF _Toc489366397 \h</w:instrText>
        </w:r>
        <w:r>
          <w:fldChar w:fldCharType="separate"/>
        </w:r>
        <w:r w:rsidRPr="377DE7A3" w:rsidR="377DE7A3">
          <w:rPr>
            <w:rStyle w:val="Hyperlink"/>
          </w:rPr>
          <w:t>6</w:t>
        </w:r>
        <w:r>
          <w:fldChar w:fldCharType="end"/>
        </w:r>
      </w:hyperlink>
    </w:p>
    <w:p w:rsidR="00647C01" w:rsidP="377DE7A3" w:rsidRDefault="00647C01" w14:paraId="7B1801A1" w14:textId="4828C880">
      <w:pPr>
        <w:pStyle w:val="Sumrio1"/>
        <w:tabs>
          <w:tab w:val="right" w:leader="dot" w:pos="9060"/>
        </w:tabs>
        <w:rPr>
          <w:rFonts w:ascii="Calibri" w:hAnsi="Calibri" w:eastAsia="Yu Mincho" w:cs="Arial"/>
          <w:b w:val="0"/>
          <w:bCs w:val="0"/>
          <w:caps w:val="0"/>
          <w:smallCaps w:val="0"/>
          <w:noProof/>
        </w:rPr>
      </w:pPr>
      <w:hyperlink w:anchor="_Toc1957361035">
        <w:r w:rsidRPr="377DE7A3" w:rsidR="377DE7A3">
          <w:rPr>
            <w:rStyle w:val="Hyperlink"/>
          </w:rPr>
          <w:t>1. fundamentos, conceitos e natureza do controle de constitucionalidade</w:t>
        </w:r>
        <w:r>
          <w:tab/>
        </w:r>
        <w:r>
          <w:fldChar w:fldCharType="begin"/>
        </w:r>
        <w:r>
          <w:instrText xml:space="preserve">PAGEREF _Toc1957361035 \h</w:instrText>
        </w:r>
        <w:r>
          <w:fldChar w:fldCharType="separate"/>
        </w:r>
        <w:r w:rsidRPr="377DE7A3" w:rsidR="377DE7A3">
          <w:rPr>
            <w:rStyle w:val="Hyperlink"/>
          </w:rPr>
          <w:t>6</w:t>
        </w:r>
        <w:r>
          <w:fldChar w:fldCharType="end"/>
        </w:r>
      </w:hyperlink>
    </w:p>
    <w:p w:rsidR="00647C01" w:rsidP="377DE7A3" w:rsidRDefault="00647C01" w14:paraId="63037380" w14:textId="0361C725">
      <w:pPr>
        <w:pStyle w:val="Sumrio2"/>
        <w:tabs>
          <w:tab w:val="right" w:leader="dot" w:pos="9060"/>
        </w:tabs>
        <w:rPr>
          <w:rFonts w:ascii="Calibri" w:hAnsi="Calibri" w:eastAsia="Yu Mincho" w:cs="Arial"/>
          <w:caps w:val="0"/>
          <w:smallCaps w:val="0"/>
          <w:noProof/>
        </w:rPr>
      </w:pPr>
      <w:hyperlink w:anchor="_Toc1301991719">
        <w:r w:rsidRPr="377DE7A3" w:rsidR="377DE7A3">
          <w:rPr>
            <w:rStyle w:val="Hyperlink"/>
          </w:rPr>
          <w:t>1.1. FUNDAMENTO TEÓRICO DO CONTROLE DE CONSTITUCIONALIDADE</w:t>
        </w:r>
        <w:r>
          <w:tab/>
        </w:r>
        <w:r>
          <w:fldChar w:fldCharType="begin"/>
        </w:r>
        <w:r>
          <w:instrText xml:space="preserve">PAGEREF _Toc1301991719 \h</w:instrText>
        </w:r>
        <w:r>
          <w:fldChar w:fldCharType="separate"/>
        </w:r>
        <w:r w:rsidRPr="377DE7A3" w:rsidR="377DE7A3">
          <w:rPr>
            <w:rStyle w:val="Hyperlink"/>
          </w:rPr>
          <w:t>7</w:t>
        </w:r>
        <w:r>
          <w:fldChar w:fldCharType="end"/>
        </w:r>
      </w:hyperlink>
    </w:p>
    <w:p w:rsidRPr="006D032C" w:rsidR="00647C01" w:rsidP="377DE7A3" w:rsidRDefault="00647C01" w14:paraId="1672D2A4" w14:textId="4E38B5FC">
      <w:pPr>
        <w:pStyle w:val="Sumrio2"/>
        <w:tabs>
          <w:tab w:val="right" w:leader="dot" w:pos="9060"/>
        </w:tabs>
        <w:rPr>
          <w:rFonts w:ascii="Calibri" w:hAnsi="Calibri" w:eastAsia="Yu Mincho" w:cs="Arial"/>
          <w:caps w:val="0"/>
          <w:smallCaps w:val="0"/>
          <w:noProof/>
        </w:rPr>
      </w:pPr>
      <w:hyperlink w:anchor="_Toc1245091503">
        <w:r w:rsidRPr="377DE7A3" w:rsidR="377DE7A3">
          <w:rPr>
            <w:rStyle w:val="Hyperlink"/>
          </w:rPr>
          <w:t>1.2. CONCEITOS E NATUREZA DO CONTROLE DE CONSTITUCIONALIDADE</w:t>
        </w:r>
        <w:r>
          <w:tab/>
        </w:r>
        <w:r>
          <w:fldChar w:fldCharType="begin"/>
        </w:r>
        <w:r>
          <w:instrText xml:space="preserve">PAGEREF _Toc1245091503 \h</w:instrText>
        </w:r>
        <w:r>
          <w:fldChar w:fldCharType="separate"/>
        </w:r>
        <w:r w:rsidRPr="377DE7A3" w:rsidR="377DE7A3">
          <w:rPr>
            <w:rStyle w:val="Hyperlink"/>
          </w:rPr>
          <w:t>8</w:t>
        </w:r>
        <w:r>
          <w:fldChar w:fldCharType="end"/>
        </w:r>
      </w:hyperlink>
    </w:p>
    <w:p w:rsidR="00647C01" w:rsidP="377DE7A3" w:rsidRDefault="00647C01" w14:paraId="4E078896" w14:textId="422E13BF">
      <w:pPr>
        <w:pStyle w:val="Sumrio1"/>
        <w:tabs>
          <w:tab w:val="right" w:leader="dot" w:pos="9060"/>
        </w:tabs>
        <w:rPr>
          <w:rFonts w:ascii="Calibri" w:hAnsi="Calibri" w:eastAsia="Yu Mincho" w:cs="Arial"/>
          <w:b w:val="0"/>
          <w:bCs w:val="0"/>
          <w:caps w:val="0"/>
          <w:smallCaps w:val="0"/>
          <w:noProof/>
        </w:rPr>
      </w:pPr>
      <w:hyperlink w:anchor="_Toc1072065287">
        <w:r w:rsidRPr="377DE7A3" w:rsidR="377DE7A3">
          <w:rPr>
            <w:rStyle w:val="Hyperlink"/>
          </w:rPr>
          <w:t>2. CONTROLE DIFUSO OU INCIDENTAL DE CONSTITUCIONALIDADE</w:t>
        </w:r>
        <w:r>
          <w:tab/>
        </w:r>
        <w:r>
          <w:fldChar w:fldCharType="begin"/>
        </w:r>
        <w:r>
          <w:instrText xml:space="preserve">PAGEREF _Toc1072065287 \h</w:instrText>
        </w:r>
        <w:r>
          <w:fldChar w:fldCharType="separate"/>
        </w:r>
        <w:r w:rsidRPr="377DE7A3" w:rsidR="377DE7A3">
          <w:rPr>
            <w:rStyle w:val="Hyperlink"/>
          </w:rPr>
          <w:t>9</w:t>
        </w:r>
        <w:r>
          <w:fldChar w:fldCharType="end"/>
        </w:r>
      </w:hyperlink>
    </w:p>
    <w:p w:rsidR="00647C01" w:rsidP="377DE7A3" w:rsidRDefault="00647C01" w14:paraId="120FC660" w14:textId="47FE464D">
      <w:pPr>
        <w:pStyle w:val="Sumrio2"/>
        <w:tabs>
          <w:tab w:val="right" w:leader="dot" w:pos="9060"/>
        </w:tabs>
        <w:rPr>
          <w:rFonts w:ascii="Calibri" w:hAnsi="Calibri" w:eastAsia="Yu Mincho" w:cs="Arial"/>
          <w:caps w:val="0"/>
          <w:smallCaps w:val="0"/>
          <w:noProof/>
        </w:rPr>
      </w:pPr>
      <w:hyperlink w:anchor="_Toc2034138857">
        <w:r w:rsidRPr="377DE7A3" w:rsidR="377DE7A3">
          <w:rPr>
            <w:rStyle w:val="Hyperlink"/>
          </w:rPr>
          <w:t>2.1 CONTROLE INCIDENTAL DENTRO DOS AUTOS REALIZADO PELO JUIZ MONOCRÁTICO</w:t>
        </w:r>
        <w:r>
          <w:tab/>
        </w:r>
        <w:r>
          <w:fldChar w:fldCharType="begin"/>
        </w:r>
        <w:r>
          <w:instrText xml:space="preserve">PAGEREF _Toc2034138857 \h</w:instrText>
        </w:r>
        <w:r>
          <w:fldChar w:fldCharType="separate"/>
        </w:r>
        <w:r w:rsidRPr="377DE7A3" w:rsidR="377DE7A3">
          <w:rPr>
            <w:rStyle w:val="Hyperlink"/>
          </w:rPr>
          <w:t>10</w:t>
        </w:r>
        <w:r>
          <w:fldChar w:fldCharType="end"/>
        </w:r>
      </w:hyperlink>
    </w:p>
    <w:p w:rsidR="00647C01" w:rsidP="377DE7A3" w:rsidRDefault="00647C01" w14:paraId="078099F7" w14:textId="49BC720D">
      <w:pPr>
        <w:pStyle w:val="Sumrio2"/>
        <w:tabs>
          <w:tab w:val="right" w:leader="dot" w:pos="9060"/>
        </w:tabs>
        <w:rPr>
          <w:rFonts w:ascii="Calibri" w:hAnsi="Calibri" w:eastAsia="Yu Mincho" w:cs="Arial"/>
          <w:caps w:val="0"/>
          <w:smallCaps w:val="0"/>
          <w:noProof/>
        </w:rPr>
      </w:pPr>
      <w:hyperlink w:anchor="_Toc2056640440">
        <w:r w:rsidRPr="377DE7A3" w:rsidR="377DE7A3">
          <w:rPr>
            <w:rStyle w:val="Hyperlink"/>
          </w:rPr>
          <w:t>2.2. PRESENÇA DO PLENÁRIO NO CONTROLE DE CONSTITUCIONALIDADE</w:t>
        </w:r>
        <w:r>
          <w:tab/>
        </w:r>
        <w:r>
          <w:fldChar w:fldCharType="begin"/>
        </w:r>
        <w:r>
          <w:instrText xml:space="preserve">PAGEREF _Toc2056640440 \h</w:instrText>
        </w:r>
        <w:r>
          <w:fldChar w:fldCharType="separate"/>
        </w:r>
        <w:r w:rsidRPr="377DE7A3" w:rsidR="377DE7A3">
          <w:rPr>
            <w:rStyle w:val="Hyperlink"/>
          </w:rPr>
          <w:t>11</w:t>
        </w:r>
        <w:r>
          <w:fldChar w:fldCharType="end"/>
        </w:r>
      </w:hyperlink>
    </w:p>
    <w:p w:rsidR="00647C01" w:rsidP="377DE7A3" w:rsidRDefault="00647C01" w14:paraId="6B9F4C6E" w14:textId="68E3A5BE">
      <w:pPr>
        <w:pStyle w:val="Sumrio1"/>
        <w:tabs>
          <w:tab w:val="right" w:leader="dot" w:pos="9060"/>
        </w:tabs>
        <w:rPr>
          <w:rFonts w:ascii="Calibri" w:hAnsi="Calibri" w:eastAsia="Yu Mincho" w:cs="Arial"/>
          <w:b w:val="0"/>
          <w:bCs w:val="0"/>
          <w:caps w:val="0"/>
          <w:smallCaps w:val="0"/>
          <w:noProof/>
        </w:rPr>
      </w:pPr>
      <w:hyperlink w:anchor="_Toc662120456">
        <w:r w:rsidRPr="377DE7A3" w:rsidR="377DE7A3">
          <w:rPr>
            <w:rStyle w:val="Hyperlink"/>
          </w:rPr>
          <w:t>3. CONTROLE CONCENTRADO OU ABSTRATO de constitucionalidade</w:t>
        </w:r>
        <w:r>
          <w:tab/>
        </w:r>
        <w:r>
          <w:fldChar w:fldCharType="begin"/>
        </w:r>
        <w:r>
          <w:instrText xml:space="preserve">PAGEREF _Toc662120456 \h</w:instrText>
        </w:r>
        <w:r>
          <w:fldChar w:fldCharType="separate"/>
        </w:r>
        <w:r w:rsidRPr="377DE7A3" w:rsidR="377DE7A3">
          <w:rPr>
            <w:rStyle w:val="Hyperlink"/>
          </w:rPr>
          <w:t>13</w:t>
        </w:r>
        <w:r>
          <w:fldChar w:fldCharType="end"/>
        </w:r>
      </w:hyperlink>
    </w:p>
    <w:p w:rsidR="00647C01" w:rsidP="377DE7A3" w:rsidRDefault="00647C01" w14:paraId="59441588" w14:textId="08854EBF">
      <w:pPr>
        <w:pStyle w:val="Sumrio2"/>
        <w:tabs>
          <w:tab w:val="right" w:leader="dot" w:pos="9060"/>
        </w:tabs>
        <w:rPr>
          <w:rFonts w:ascii="Calibri" w:hAnsi="Calibri" w:eastAsia="Yu Mincho" w:cs="Arial"/>
          <w:caps w:val="0"/>
          <w:smallCaps w:val="0"/>
          <w:noProof/>
        </w:rPr>
      </w:pPr>
      <w:hyperlink w:anchor="_Toc1352108526">
        <w:r w:rsidRPr="377DE7A3" w:rsidR="377DE7A3">
          <w:rPr>
            <w:rStyle w:val="Hyperlink"/>
          </w:rPr>
          <w:t>3.1. AÇÃO DIRETA DE INCOSTITUCIONALIDADE</w:t>
        </w:r>
        <w:r>
          <w:tab/>
        </w:r>
        <w:r>
          <w:fldChar w:fldCharType="begin"/>
        </w:r>
        <w:r>
          <w:instrText xml:space="preserve">PAGEREF _Toc1352108526 \h</w:instrText>
        </w:r>
        <w:r>
          <w:fldChar w:fldCharType="separate"/>
        </w:r>
        <w:r w:rsidRPr="377DE7A3" w:rsidR="377DE7A3">
          <w:rPr>
            <w:rStyle w:val="Hyperlink"/>
          </w:rPr>
          <w:t>13</w:t>
        </w:r>
        <w:r>
          <w:fldChar w:fldCharType="end"/>
        </w:r>
      </w:hyperlink>
    </w:p>
    <w:p w:rsidR="00647C01" w:rsidP="377DE7A3" w:rsidRDefault="00647C01" w14:paraId="23FADD99" w14:textId="3E4D477C">
      <w:pPr>
        <w:pStyle w:val="Sumrio2"/>
        <w:tabs>
          <w:tab w:val="right" w:leader="dot" w:pos="9060"/>
        </w:tabs>
        <w:rPr>
          <w:rFonts w:ascii="Calibri" w:hAnsi="Calibri" w:eastAsia="Yu Mincho" w:cs="Arial"/>
          <w:caps w:val="0"/>
          <w:smallCaps w:val="0"/>
          <w:noProof/>
        </w:rPr>
      </w:pPr>
      <w:hyperlink w:anchor="_Toc917731428">
        <w:r w:rsidRPr="377DE7A3" w:rsidR="377DE7A3">
          <w:rPr>
            <w:rStyle w:val="Hyperlink"/>
          </w:rPr>
          <w:t>3.2. AÇÃO DECLARATÓRIA DE CONSTITUCIONALIDADE</w:t>
        </w:r>
        <w:r>
          <w:tab/>
        </w:r>
        <w:r>
          <w:fldChar w:fldCharType="begin"/>
        </w:r>
        <w:r>
          <w:instrText xml:space="preserve">PAGEREF _Toc917731428 \h</w:instrText>
        </w:r>
        <w:r>
          <w:fldChar w:fldCharType="separate"/>
        </w:r>
        <w:r w:rsidRPr="377DE7A3" w:rsidR="377DE7A3">
          <w:rPr>
            <w:rStyle w:val="Hyperlink"/>
          </w:rPr>
          <w:t>16</w:t>
        </w:r>
        <w:r>
          <w:fldChar w:fldCharType="end"/>
        </w:r>
      </w:hyperlink>
    </w:p>
    <w:p w:rsidR="00647C01" w:rsidP="377DE7A3" w:rsidRDefault="00647C01" w14:paraId="6A13EC3A" w14:textId="4EC46DF7">
      <w:pPr>
        <w:pStyle w:val="Sumrio2"/>
        <w:tabs>
          <w:tab w:val="right" w:leader="dot" w:pos="9060"/>
        </w:tabs>
        <w:rPr>
          <w:rFonts w:ascii="Calibri" w:hAnsi="Calibri" w:eastAsia="Yu Mincho" w:cs="Arial"/>
          <w:caps w:val="0"/>
          <w:smallCaps w:val="0"/>
          <w:noProof/>
        </w:rPr>
      </w:pPr>
      <w:hyperlink w:anchor="_Toc734697434">
        <w:r w:rsidRPr="377DE7A3" w:rsidR="377DE7A3">
          <w:rPr>
            <w:rStyle w:val="Hyperlink"/>
          </w:rPr>
          <w:t>3.3. DECLARAÇÃO PARCIAL DE INCOSTITUCIONALIDADE CONFORME O TEXTO, INTERPRETAÇÃO CONFORME A CF E A ADPF</w:t>
        </w:r>
        <w:r>
          <w:tab/>
        </w:r>
        <w:r>
          <w:fldChar w:fldCharType="begin"/>
        </w:r>
        <w:r>
          <w:instrText xml:space="preserve">PAGEREF _Toc734697434 \h</w:instrText>
        </w:r>
        <w:r>
          <w:fldChar w:fldCharType="separate"/>
        </w:r>
        <w:r w:rsidRPr="377DE7A3" w:rsidR="377DE7A3">
          <w:rPr>
            <w:rStyle w:val="Hyperlink"/>
          </w:rPr>
          <w:t>17</w:t>
        </w:r>
        <w:r>
          <w:fldChar w:fldCharType="end"/>
        </w:r>
      </w:hyperlink>
    </w:p>
    <w:p w:rsidR="00647C01" w:rsidP="377DE7A3" w:rsidRDefault="00647C01" w14:paraId="195A6F60" w14:textId="7600A662">
      <w:pPr>
        <w:pStyle w:val="Sumrio2"/>
        <w:tabs>
          <w:tab w:val="right" w:leader="dot" w:pos="9060"/>
        </w:tabs>
        <w:rPr>
          <w:rFonts w:ascii="Calibri" w:hAnsi="Calibri" w:eastAsia="Yu Mincho" w:cs="Arial"/>
          <w:b w:val="0"/>
          <w:bCs w:val="0"/>
          <w:caps w:val="0"/>
          <w:smallCaps w:val="0"/>
          <w:noProof/>
        </w:rPr>
      </w:pPr>
      <w:hyperlink w:anchor="_Toc2012821946">
        <w:r w:rsidRPr="377DE7A3" w:rsidR="377DE7A3">
          <w:rPr>
            <w:rStyle w:val="Hyperlink"/>
          </w:rPr>
          <w:t>3.4 EFEITOS TEMPORAIS EM DECISÕES ABSTRATAS</w:t>
        </w:r>
        <w:r>
          <w:tab/>
        </w:r>
        <w:r>
          <w:fldChar w:fldCharType="begin"/>
        </w:r>
        <w:r>
          <w:instrText xml:space="preserve">PAGEREF _Toc2012821946 \h</w:instrText>
        </w:r>
        <w:r>
          <w:fldChar w:fldCharType="separate"/>
        </w:r>
        <w:r w:rsidRPr="377DE7A3" w:rsidR="377DE7A3">
          <w:rPr>
            <w:rStyle w:val="Hyperlink"/>
          </w:rPr>
          <w:t>18</w:t>
        </w:r>
        <w:r>
          <w:fldChar w:fldCharType="end"/>
        </w:r>
      </w:hyperlink>
    </w:p>
    <w:p w:rsidR="00647C01" w:rsidP="377DE7A3" w:rsidRDefault="00647C01" w14:paraId="3D6F647B" w14:textId="234F523B">
      <w:pPr>
        <w:pStyle w:val="Sumrio1"/>
        <w:tabs>
          <w:tab w:val="right" w:leader="dot" w:pos="9060"/>
        </w:tabs>
        <w:rPr>
          <w:rFonts w:ascii="Calibri" w:hAnsi="Calibri" w:eastAsia="Yu Mincho" w:cs="Arial"/>
          <w:b w:val="0"/>
          <w:bCs w:val="0"/>
          <w:caps w:val="0"/>
          <w:smallCaps w:val="0"/>
          <w:noProof/>
        </w:rPr>
      </w:pPr>
      <w:hyperlink w:anchor="_Toc109183109">
        <w:r w:rsidRPr="377DE7A3" w:rsidR="377DE7A3">
          <w:rPr>
            <w:rStyle w:val="Hyperlink"/>
          </w:rPr>
          <w:t>REFERÊNCIAS</w:t>
        </w:r>
        <w:r>
          <w:tab/>
        </w:r>
        <w:r>
          <w:fldChar w:fldCharType="begin"/>
        </w:r>
        <w:r>
          <w:instrText xml:space="preserve">PAGEREF _Toc109183109 \h</w:instrText>
        </w:r>
        <w:r>
          <w:fldChar w:fldCharType="separate"/>
        </w:r>
        <w:r w:rsidRPr="377DE7A3" w:rsidR="377DE7A3">
          <w:rPr>
            <w:rStyle w:val="Hyperlink"/>
          </w:rPr>
          <w:t>20</w:t>
        </w:r>
        <w:r>
          <w:fldChar w:fldCharType="end"/>
        </w:r>
      </w:hyperlink>
    </w:p>
    <w:p w:rsidR="00DC7E1E" w:rsidP="00180FAE" w:rsidRDefault="005F22F9" w14:paraId="3E05B918" w14:textId="756E9BC5">
      <w:pPr>
        <w:rPr>
          <w:rFonts w:ascii="Arial Negrito" w:hAnsi="Arial Negrito"/>
          <w:b/>
          <w:caps/>
        </w:rPr>
      </w:pPr>
      <w:r>
        <w:rPr>
          <w:rFonts w:ascii="Arial Negrito" w:hAnsi="Arial Negrito"/>
          <w:b/>
          <w:caps/>
        </w:rPr>
        <w:fldChar w:fldCharType="end"/>
      </w:r>
    </w:p>
    <w:p w:rsidR="00BB1119" w:rsidP="14269F47" w:rsidRDefault="00E666DC" w14:paraId="4997DF33" w14:textId="0404E9AF">
      <w:pPr>
        <w:pStyle w:val="Ttulo1"/>
      </w:pPr>
      <w:bookmarkStart w:name="_Toc489366397" w:id="1122670521"/>
      <w:r w:rsidR="377DE7A3">
        <w:rPr/>
        <w:t>INTRODUÇÃO</w:t>
      </w:r>
      <w:bookmarkEnd w:id="1122670521"/>
    </w:p>
    <w:p w:rsidR="00D85228" w:rsidP="14269F47" w:rsidRDefault="00D85228" w14:paraId="53D27A5F" w14:textId="0067A6CC">
      <w:pPr>
        <w:spacing w:before="0" w:beforeAutospacing="off" w:after="240" w:afterAutospacing="off"/>
        <w:jc w:val="both"/>
      </w:pPr>
      <w:r w:rsidRPr="14269F47" w:rsidR="14269F47">
        <w:rPr>
          <w:rFonts w:ascii="Arial" w:hAnsi="Arial" w:eastAsia="Arial" w:cs="Arial"/>
          <w:noProof w:val="0"/>
          <w:sz w:val="24"/>
          <w:szCs w:val="24"/>
          <w:lang w:val="pt-BR"/>
        </w:rPr>
        <w:t>A Constituição Federal de 1988 é o resultado de um complexo de experiências históricas e correntes filosóficas que buscaram assegurar a estabilidade democrática do país. Para garantir sua força normativa, o próprio texto constitucional estabeleceu mecanismos de defesa que tornam essencial o debate sobre a proteção das normas e o rigoroso controle de constitucionalidade dos atos praticados.</w:t>
      </w:r>
    </w:p>
    <w:p w:rsidR="00D85228" w:rsidP="14269F47" w:rsidRDefault="00D85228" w14:paraId="46332289" w14:textId="1795024B">
      <w:pPr>
        <w:spacing w:before="0" w:beforeAutospacing="off" w:after="240" w:afterAutospacing="off"/>
        <w:jc w:val="both"/>
      </w:pPr>
      <w:r w:rsidRPr="14269F47" w:rsidR="14269F47">
        <w:rPr>
          <w:rFonts w:ascii="Arial" w:hAnsi="Arial" w:eastAsia="Arial" w:cs="Arial"/>
          <w:noProof w:val="0"/>
          <w:sz w:val="24"/>
          <w:szCs w:val="24"/>
          <w:lang w:val="pt-BR"/>
        </w:rPr>
        <w:t>Este controle fundamenta-se no princípio da supremacia constitucional, pressupondo a existência de um ordenamento jurídico escalonado, onde a Lei Fundamental ocupa o topo. Para que esse sistema seja efetivo, exige-se a presença de uma autoridade dotada de competência para fiscalizar a compatibilidade de leis e atos normativos com o texto constitucional, corrigindo eventuais desvios que ameacem a unidade do sistema jurídico.</w:t>
      </w:r>
    </w:p>
    <w:p w:rsidR="00D85228" w:rsidP="14269F47" w:rsidRDefault="00D85228" w14:paraId="23A96A5A" w14:textId="142D6FA9">
      <w:pPr>
        <w:spacing w:before="240" w:beforeAutospacing="off" w:after="240" w:afterAutospacing="off"/>
        <w:jc w:val="both"/>
      </w:pPr>
      <w:r w:rsidRPr="14269F47" w:rsidR="14269F47">
        <w:rPr>
          <w:rFonts w:ascii="Arial" w:hAnsi="Arial" w:eastAsia="Arial" w:cs="Arial"/>
          <w:noProof w:val="0"/>
          <w:sz w:val="24"/>
          <w:szCs w:val="24"/>
          <w:lang w:val="pt-BR"/>
        </w:rPr>
        <w:t>A harmonia do ordenamento depende, portanto, dessa verificação constante. O controle de constitucionalidade não é apenas um instrumento técnico, mas a garantia de que todas as normas permaneçam subordinadas aos limites impostos pela Constituição. Ao assegurar que nenhuma norma subverta os preceitos fundamentais, o Judiciário garante da ordem democrática e da segurança jurídica.</w:t>
      </w:r>
    </w:p>
    <w:p w:rsidR="00D85228" w:rsidP="14269F47" w:rsidRDefault="00D85228" w14:paraId="2F4A946A" w14:textId="4F9120D7">
      <w:pPr>
        <w:spacing w:before="240" w:beforeAutospacing="off" w:after="240" w:afterAutospacing="off"/>
        <w:jc w:val="both"/>
      </w:pPr>
      <w:r w:rsidRPr="14269F47" w:rsidR="14269F47">
        <w:rPr>
          <w:rFonts w:ascii="Arial" w:hAnsi="Arial" w:eastAsia="Arial" w:cs="Arial"/>
          <w:noProof w:val="0"/>
          <w:sz w:val="24"/>
          <w:szCs w:val="24"/>
          <w:lang w:val="pt-BR"/>
        </w:rPr>
        <w:t>Diante dessa relevância, o presente estudo propõe uma análise detalhada sobre os fundamentos, conceitos e premissas que norteiam esse mecanismo. O objetivo é compreender a natureza do controle de constitucionalidade como peça-chave para a manutenção do Estado Democrático de Direito.</w:t>
      </w:r>
    </w:p>
    <w:p w:rsidR="14269F47" w:rsidP="14269F47" w:rsidRDefault="14269F47" w14:paraId="2D2F2F35" w14:textId="6961AB24">
      <w:pPr>
        <w:spacing w:before="240" w:beforeAutospacing="off" w:after="240" w:afterAutospacing="off"/>
        <w:rPr>
          <w:rFonts w:ascii="Arial" w:hAnsi="Arial" w:eastAsia="Arial" w:cs="Arial"/>
          <w:noProof w:val="0"/>
          <w:sz w:val="24"/>
          <w:szCs w:val="24"/>
          <w:lang w:val="pt-BR"/>
        </w:rPr>
      </w:pPr>
    </w:p>
    <w:p w:rsidRPr="00C92FEE" w:rsidR="00BD2DF2" w:rsidP="00D85228" w:rsidRDefault="00BA2520" w14:paraId="675A52B0" w14:textId="74D8C399">
      <w:pPr>
        <w:pStyle w:val="Ttulo1"/>
      </w:pPr>
      <w:bookmarkStart w:name="_Toc1957361035" w:id="2121416618"/>
      <w:r w:rsidR="377DE7A3">
        <w:rPr/>
        <w:t xml:space="preserve">1. </w:t>
      </w:r>
      <w:r w:rsidR="377DE7A3">
        <w:rPr/>
        <w:t>fundamentos, conceitos e natureza do controle de constitucionalidade</w:t>
      </w:r>
      <w:bookmarkEnd w:id="2121416618"/>
    </w:p>
    <w:p w:rsidRPr="002E603C" w:rsidR="201F7274" w:rsidP="002E603C" w:rsidRDefault="005A2CEA" w14:paraId="6B1EF119" w14:textId="3BBF293F">
      <w:pPr>
        <w:pStyle w:val="Ttulo2"/>
        <w:rPr>
          <w:b w:val="0"/>
          <w:bCs w:val="0"/>
        </w:rPr>
      </w:pPr>
      <w:bookmarkStart w:name="_Toc1301991719" w:id="1658073975"/>
      <w:r w:rsidR="377DE7A3">
        <w:rPr>
          <w:b w:val="0"/>
          <w:bCs w:val="0"/>
        </w:rPr>
        <w:t>1.1.</w:t>
      </w:r>
      <w:r w:rsidR="377DE7A3">
        <w:rPr>
          <w:b w:val="0"/>
          <w:bCs w:val="0"/>
        </w:rPr>
        <w:t xml:space="preserve"> </w:t>
      </w:r>
      <w:r w:rsidR="377DE7A3">
        <w:rPr>
          <w:b w:val="0"/>
          <w:bCs w:val="0"/>
        </w:rPr>
        <w:t>FUNDAMENTO TEÓRICO DO CONTROLE DE CONSTITUCIONALIDADE</w:t>
      </w:r>
      <w:bookmarkEnd w:id="1658073975"/>
    </w:p>
    <w:p w:rsidR="00D85228" w:rsidP="00D85228" w:rsidRDefault="00D85228" w14:paraId="453F9014" w14:textId="77777777">
      <w:pPr>
        <w:pStyle w:val="Pargrafo"/>
      </w:pPr>
      <w:r>
        <w:t xml:space="preserve">O controle de constitucionalidade nasce do triunfo do constitucionalismo que marca o século XIX. Com a finalidade de garantir a continuação do status quo. Anteriormente estavam presentes em regimes governamentais como as monarquias absolutas, fraturado a partir da revolução francesa. </w:t>
      </w:r>
    </w:p>
    <w:p w:rsidR="00D85228" w:rsidP="00D85228" w:rsidRDefault="00D85228" w14:paraId="328721C3" w14:textId="77777777">
      <w:pPr>
        <w:pStyle w:val="Pargrafo"/>
      </w:pPr>
      <w:r>
        <w:t xml:space="preserve">A partir da ruptura dos antigos sistemas governamentais, nota-se a necessidade de se estruturar o novo sistema, para a democracia se mantenha intacta. Já que a Constituição é um conjunto de leis supremas que garantem o funcionamento do país, em muitos países as constituições são normas intocáveis ou eternas a partir de cláusulas pétreas. </w:t>
      </w:r>
    </w:p>
    <w:p w:rsidR="00D85228" w:rsidP="00D85228" w:rsidRDefault="00D85228" w14:paraId="4CF86D42" w14:textId="31B7D0C1">
      <w:pPr>
        <w:pStyle w:val="Pargrafo"/>
      </w:pPr>
      <w:r>
        <w:t>Dessa maneira, nota-se a hierarquia normativa da Constituição perante outras normas. Por tal fato, todas devem-se enquadrar conforme o texto constitucional. Conforme</w:t>
      </w:r>
      <w:r w:rsidR="00EF0393">
        <w:t xml:space="preserve"> apontam </w:t>
      </w:r>
      <w:r>
        <w:t>Dimoulis e Lunardi (2016)</w:t>
      </w:r>
      <w:r w:rsidR="00EF0393">
        <w:t xml:space="preserve"> o </w:t>
      </w:r>
      <w:r>
        <w:t>motivo de tal fato deve-se a desconfiança do constituinte:</w:t>
      </w:r>
    </w:p>
    <w:p w:rsidR="00BD1B1E" w:rsidP="00D85228" w:rsidRDefault="00D85228" w14:paraId="0852EF90" w14:textId="4FF9251C">
      <w:pPr>
        <w:pStyle w:val="CITAOLONGA"/>
      </w:pPr>
      <w:r w:rsidRPr="00D85228">
        <w:t>A resposta é que os constituintes desconfiam dos poderes da maioria, desconfiam da democracia e por isso impõem limitações ao poder de decisão do legislador, regulamentando restritivamente as condições e as formas de exercício da democracia</w:t>
      </w:r>
      <w:r w:rsidR="00BD1B1E">
        <w:t>.</w:t>
      </w:r>
      <w:r w:rsidRPr="00560677" w:rsidR="00560677">
        <w:t xml:space="preserve"> </w:t>
      </w:r>
      <w:r w:rsidR="00560677">
        <w:t>(Dimoulis e Lunardi,</w:t>
      </w:r>
      <w:r w:rsidR="00560677">
        <w:rPr>
          <w:spacing w:val="-3"/>
        </w:rPr>
        <w:t xml:space="preserve"> </w:t>
      </w:r>
      <w:r w:rsidR="00560677">
        <w:t>2016,</w:t>
      </w:r>
      <w:r w:rsidR="00560677">
        <w:rPr>
          <w:spacing w:val="-5"/>
        </w:rPr>
        <w:t xml:space="preserve"> </w:t>
      </w:r>
      <w:r w:rsidR="00560677">
        <w:t>p</w:t>
      </w:r>
      <w:r w:rsidR="000E2B63">
        <w:t>g.47</w:t>
      </w:r>
      <w:r w:rsidR="00560677">
        <w:t>)</w:t>
      </w:r>
    </w:p>
    <w:p w:rsidR="00D85228" w:rsidP="00D85228" w:rsidRDefault="00D85228" w14:paraId="617BA881" w14:textId="6A676FD1">
      <w:pPr>
        <w:pStyle w:val="Pargrafo"/>
      </w:pPr>
      <w:r w:rsidRPr="00D85228">
        <w:t>Por tal fato, o Estado constitucional para garantir a manutenção da supremacia da Constituição cria estratégias para dificultar a mudança do status quo, qual ela institui.</w:t>
      </w:r>
    </w:p>
    <w:p w:rsidR="00D85228" w:rsidP="00D85228" w:rsidRDefault="00D85228" w14:paraId="20B6DEC7" w14:textId="1EACC33D">
      <w:pPr>
        <w:pStyle w:val="CITAOLONGA"/>
      </w:pPr>
      <w:r w:rsidRPr="00D85228">
        <w:t>O Estado constitucional cria mecanismos que permitem preservar a supremacia constitucional, mediante controle da regularidade na produção de normas jurídicas. Exemplos: uma lei limita a possibilidade de exercer certo direito fundamental garantido pela Constituição. A Senhora X considera essa lei inconstitucional, limitando indevidamente seu direito fundamental</w:t>
      </w:r>
      <w:r w:rsidR="00560677">
        <w:t>.</w:t>
      </w:r>
      <w:r w:rsidRPr="00560677" w:rsidR="00560677">
        <w:t xml:space="preserve"> </w:t>
      </w:r>
      <w:r w:rsidR="00560677">
        <w:t>(Dimoulis e Lunardi,</w:t>
      </w:r>
      <w:r w:rsidR="00560677">
        <w:rPr>
          <w:spacing w:val="-3"/>
        </w:rPr>
        <w:t xml:space="preserve"> </w:t>
      </w:r>
      <w:r w:rsidR="00560677">
        <w:t>2016,</w:t>
      </w:r>
      <w:r w:rsidR="00560677">
        <w:rPr>
          <w:spacing w:val="-5"/>
        </w:rPr>
        <w:t xml:space="preserve"> </w:t>
      </w:r>
      <w:r w:rsidR="000E2B63">
        <w:rPr>
          <w:spacing w:val="-5"/>
        </w:rPr>
        <w:t>pg.</w:t>
      </w:r>
      <w:r w:rsidR="000E2B63">
        <w:t>47</w:t>
      </w:r>
      <w:r w:rsidR="00560677">
        <w:t>)</w:t>
      </w:r>
    </w:p>
    <w:p w:rsidRPr="00D85228" w:rsidR="00D85228" w:rsidP="00D85228" w:rsidRDefault="00D85228" w14:paraId="7242EA3A" w14:textId="4758179A">
      <w:pPr>
        <w:pStyle w:val="Pargrafo"/>
      </w:pPr>
      <w:r>
        <w:t xml:space="preserve">Dessa maneira, o Estado constitucional, segundo os ilustres juristas Dimoulis e Lunardi (2016) deixam </w:t>
      </w:r>
      <w:r w:rsidR="00EF0393">
        <w:t>evidente</w:t>
      </w:r>
      <w:r>
        <w:t xml:space="preserve">, já que assegura que seja analisado se uma lei é </w:t>
      </w:r>
      <w:r>
        <w:t>inconstitucional e limita de forma indevida direitos fundamentais alheios.</w:t>
      </w:r>
      <w:r w:rsidRPr="00D85228">
        <w:t xml:space="preserve"> </w:t>
      </w:r>
      <w:r>
        <w:t>“</w:t>
      </w:r>
      <w:r w:rsidRPr="00D85228">
        <w:t>O Poder Judiciário assumiu, desde o início do constitucionalismo, um papel particularmente ativo na defesa da supremacia constitucional, fiscalizando e contrariando decisões dos demais poderes.</w:t>
      </w:r>
      <w:r>
        <w:t>”</w:t>
      </w:r>
    </w:p>
    <w:p w:rsidR="00D85228" w:rsidP="00D85228" w:rsidRDefault="00D85228" w14:paraId="66281185" w14:textId="54FEE4C4">
      <w:pPr>
        <w:pStyle w:val="Pargrafo"/>
      </w:pPr>
      <w:r w:rsidRPr="00D85228">
        <w:t>É notório como o controle de constitucionalidade é essencial para a garantia do status quo, garantindo a ordem, unidade e harmonia. Por isso, em caso de desvio da norma existem mecanismos para correção deste desvio. Sendo o Controle de constitucionalidade um desdesses mecanismos, qual conforme Barroso (2016) coloca que é provavelmente o mais importante, já que confere a verificação da compatibilidade entre uma lei ou qualquer ato normativo infraconstitucional e a Constituição</w:t>
      </w:r>
      <w:r>
        <w:t>.</w:t>
      </w:r>
    </w:p>
    <w:p w:rsidRPr="00D85228" w:rsidR="00D85228" w:rsidP="00D85228" w:rsidRDefault="00D85228" w14:paraId="58719AC1" w14:textId="2D5E926C">
      <w:pPr>
        <w:pStyle w:val="CITAOLONGA"/>
      </w:pPr>
      <w:r w:rsidRPr="00D85228">
        <w:t>Duas premissas são normalmente identificadas como necessárias à existência do controle de constitucionalidade: a supremacia e a rigidez constitucionais. A supremacia da Constituição revela sua posição hierárquica mais elevada dentro do sistema, que se estrutura de forma escalonada, em diferentes níveis. É ela o fundamento de validade de todas as demais normas. Por força dessa supremacia, nenhuma lei ou ato normativo — na verdade, nenhum ato jurídico — poderá subsistir validamente se estiver em desconformidade com a Constituição</w:t>
      </w:r>
      <w:r>
        <w:t>.</w:t>
      </w:r>
      <w:r w:rsidR="00560677">
        <w:t xml:space="preserve"> (Barroso, </w:t>
      </w:r>
      <w:r w:rsidR="000915D4">
        <w:t>2016, p</w:t>
      </w:r>
      <w:r w:rsidR="000E2B63">
        <w:t>g.23</w:t>
      </w:r>
      <w:r w:rsidR="00560677">
        <w:t>)</w:t>
      </w:r>
    </w:p>
    <w:p w:rsidRPr="00FF7AE6" w:rsidR="008B0BF7" w:rsidP="00113C98" w:rsidRDefault="00D85228" w14:paraId="28054609" w14:textId="6608916F">
      <w:pPr>
        <w:pStyle w:val="Pargrafo"/>
      </w:pPr>
      <w:r w:rsidRPr="00D85228">
        <w:t>Logo, como foi anteriormente apontado, observado a importância da rigidez da Constituição e de sua supremacia. Afinal, não é possível que normas fora da conformidade estabelecida por esta tenham validade. Pois somente, aquelas que estão de acordo com a norma suprema podem de fato subsistir, já que normas que invalidam a Constituição Federal de 1988, além de representarem perigo para esta não são válidas.</w:t>
      </w:r>
    </w:p>
    <w:p w:rsidRPr="00BD1B1E" w:rsidR="00BD1B1E" w:rsidP="00BD1B1E" w:rsidRDefault="00783335" w14:paraId="3AD830ED" w14:textId="77D2195B">
      <w:pPr>
        <w:pStyle w:val="Ttulo2"/>
        <w:rPr>
          <w:b w:val="0"/>
          <w:bCs w:val="0"/>
          <w:color w:val="000000"/>
        </w:rPr>
      </w:pPr>
      <w:bookmarkStart w:name="_Toc1245091503" w:id="623927737"/>
      <w:r w:rsidRPr="377DE7A3" w:rsidR="377DE7A3">
        <w:rPr>
          <w:b w:val="0"/>
          <w:bCs w:val="0"/>
          <w:color w:val="000000" w:themeColor="text1" w:themeTint="FF" w:themeShade="FF"/>
        </w:rPr>
        <w:t>1.2.</w:t>
      </w:r>
      <w:r w:rsidRPr="377DE7A3" w:rsidR="377DE7A3">
        <w:rPr>
          <w:b w:val="0"/>
          <w:bCs w:val="0"/>
          <w:color w:val="000000" w:themeColor="text1" w:themeTint="FF" w:themeShade="FF"/>
        </w:rPr>
        <w:t xml:space="preserve"> </w:t>
      </w:r>
      <w:r w:rsidRPr="377DE7A3" w:rsidR="377DE7A3">
        <w:rPr>
          <w:b w:val="0"/>
          <w:bCs w:val="0"/>
          <w:color w:val="000000" w:themeColor="text1" w:themeTint="FF" w:themeShade="FF"/>
        </w:rPr>
        <w:t>CONCEITOS E NATUREZA DO CONTROLE DE CONSTITUCIONALIDAD</w:t>
      </w:r>
      <w:r w:rsidRPr="377DE7A3" w:rsidR="377DE7A3">
        <w:rPr>
          <w:b w:val="0"/>
          <w:bCs w:val="0"/>
          <w:color w:val="000000" w:themeColor="text1" w:themeTint="FF" w:themeShade="FF"/>
        </w:rPr>
        <w:t>E</w:t>
      </w:r>
      <w:bookmarkEnd w:id="623927737"/>
    </w:p>
    <w:p w:rsidR="00BD1B1E" w:rsidP="00BD1B1E" w:rsidRDefault="00D85228" w14:paraId="7B3D4DBE" w14:textId="0D14D5E5">
      <w:pPr>
        <w:pStyle w:val="Pargrafo"/>
      </w:pPr>
      <w:r w:rsidRPr="00D85228">
        <w:t xml:space="preserve">Como a função social do Direito é a disciplina da vida social com bases de valores e fins já estabelecidos conforme Barroso (2016) elucida, o constituinte muitas vezes transforma determinados fatos humanos e naturais em fatos jurídicos, quais são uma manifestação de atos jurídicos. Onde se enquadram as normas jurídicas que devem ser emanadas de órgãos constitucionalmente autorizados. Dependendo de sua existência, validade e eficácia. O conceito de controle de constitucionalidade </w:t>
      </w:r>
      <w:r w:rsidR="00EF0393">
        <w:t>por</w:t>
      </w:r>
      <w:r w:rsidRPr="00D85228">
        <w:t xml:space="preserve"> Dimoulis e Lunardi (2016) é definido como</w:t>
      </w:r>
      <w:r w:rsidR="00E84C85">
        <w:t>:</w:t>
      </w:r>
    </w:p>
    <w:p w:rsidR="00BD1B1E" w:rsidP="00BD1B1E" w:rsidRDefault="00D85228" w14:paraId="47FACAA7" w14:textId="30842468">
      <w:pPr>
        <w:pStyle w:val="CITAOLONGA"/>
      </w:pPr>
      <w:r w:rsidRPr="00D85228">
        <w:t>juízo relacional que procura estabelecer uma comparação valorativamente relevante entre dois elementos, tendo como parâmetro a Constituição e como objeto a lei (sentido amplíssimo), os fatos do processo legislativo (regulamento procedimental) ou a omissão da fonte de produção do direito</w:t>
      </w:r>
      <w:r w:rsidR="00BD1B1E">
        <w:t>.</w:t>
      </w:r>
      <w:r w:rsidR="00560677">
        <w:t xml:space="preserve"> (</w:t>
      </w:r>
      <w:r w:rsidRPr="00D85228" w:rsidR="000E2B63">
        <w:t>Dimoulis e Lunardi</w:t>
      </w:r>
      <w:r w:rsidR="000E2B63">
        <w:t>,</w:t>
      </w:r>
      <w:r w:rsidRPr="00D85228" w:rsidR="000E2B63">
        <w:t xml:space="preserve"> 2016</w:t>
      </w:r>
      <w:r w:rsidR="00560677">
        <w:t>,</w:t>
      </w:r>
      <w:r w:rsidR="00560677">
        <w:rPr>
          <w:spacing w:val="-5"/>
        </w:rPr>
        <w:t xml:space="preserve"> </w:t>
      </w:r>
      <w:r w:rsidR="00560677">
        <w:t>p</w:t>
      </w:r>
      <w:r w:rsidR="000E2B63">
        <w:t>g.82</w:t>
      </w:r>
      <w:r w:rsidR="00560677">
        <w:t>)</w:t>
      </w:r>
    </w:p>
    <w:p w:rsidRPr="00F83F8A" w:rsidR="00D85228" w:rsidP="14269F47" w:rsidRDefault="00D85228" w14:paraId="1B4E7417" w14:textId="77777777">
      <w:pPr>
        <w:pStyle w:val="PargrafodaLista"/>
        <w:ind w:left="0"/>
        <w:rPr>
          <w:rFonts w:cs="Arial"/>
        </w:rPr>
      </w:pPr>
      <w:r w:rsidRPr="14269F47" w:rsidR="14269F47">
        <w:rPr>
          <w:rFonts w:cs="Arial"/>
        </w:rPr>
        <w:t>Deste modo</w:t>
      </w:r>
      <w:r w:rsidRPr="14269F47" w:rsidR="14269F47">
        <w:rPr>
          <w:rFonts w:cs="Arial"/>
        </w:rPr>
        <w:t>,</w:t>
      </w:r>
      <w:r w:rsidRPr="14269F47" w:rsidR="14269F47">
        <w:rPr>
          <w:rFonts w:cs="Arial"/>
        </w:rPr>
        <w:t xml:space="preserve"> como os próprios autores colocam é uma definição abrangente e isso acaba por ser uma vantagem por não se referir às consequências do controle. Já que aquelas que levam em consideração as consequências do controle não levam em conta que o ato incompatível com a Constituição pode ser preservado. Por isso, levando em consideração sua definição abrangente é realizado quando se reúnem três condições. Sendo estas: </w:t>
      </w:r>
      <w:r w:rsidRPr="14269F47" w:rsidR="14269F47">
        <w:rPr>
          <w:rFonts w:cs="Arial"/>
        </w:rPr>
        <w:t>É preciso um ordenamento jurídico organizado de maneira hierárquica e que haja dispositivos dotados de superioridade em relação as outras normas. Assim como</w:t>
      </w:r>
      <w:r w:rsidRPr="14269F47" w:rsidR="14269F47">
        <w:rPr>
          <w:rFonts w:cs="Arial"/>
        </w:rPr>
        <w:t>,</w:t>
      </w:r>
      <w:r w:rsidRPr="14269F47" w:rsidR="14269F47">
        <w:rPr>
          <w:rFonts w:cs="Arial"/>
        </w:rPr>
        <w:t xml:space="preserve"> a Constituição</w:t>
      </w:r>
      <w:r w:rsidRPr="14269F47" w:rsidR="14269F47">
        <w:rPr>
          <w:rFonts w:cs="Arial"/>
        </w:rPr>
        <w:t xml:space="preserve"> d</w:t>
      </w:r>
      <w:r w:rsidRPr="14269F47" w:rsidR="14269F47">
        <w:rPr>
          <w:rFonts w:cs="Arial"/>
        </w:rPr>
        <w:t>essa maneira assim como é objeto de proteção ao procedimento de controle</w:t>
      </w:r>
      <w:r w:rsidRPr="14269F47" w:rsidR="14269F47">
        <w:rPr>
          <w:rFonts w:cs="Arial"/>
        </w:rPr>
        <w:t>,</w:t>
      </w:r>
      <w:r w:rsidRPr="14269F47" w:rsidR="14269F47">
        <w:rPr>
          <w:rFonts w:cs="Arial"/>
        </w:rPr>
        <w:t xml:space="preserve"> também é o parâmetro do controle, o ponto onde se mede as normas infraconstitucionais. </w:t>
      </w:r>
      <w:r w:rsidRPr="14269F47" w:rsidR="14269F47">
        <w:rPr>
          <w:rFonts w:cs="Arial"/>
        </w:rPr>
        <w:t>É</w:t>
      </w:r>
      <w:r w:rsidRPr="14269F47" w:rsidR="14269F47">
        <w:rPr>
          <w:rFonts w:cs="Arial"/>
        </w:rPr>
        <w:t xml:space="preserve"> preciso existir a autoridade estatal que atue como fiscal da Constituição. Podendo esta autoridade ser de qualquer poder do Estado</w:t>
      </w:r>
      <w:r w:rsidRPr="14269F47" w:rsidR="14269F47">
        <w:rPr>
          <w:rFonts w:cs="Arial"/>
        </w:rPr>
        <w:t>, o</w:t>
      </w:r>
      <w:r w:rsidRPr="14269F47" w:rsidR="14269F47">
        <w:rPr>
          <w:rFonts w:cs="Arial"/>
        </w:rPr>
        <w:t xml:space="preserve"> fiscal deve ter competência para verificar a regularidade de dispositivos jurídicos examinando a sua compatibilidade. A fim de garantir o relacionamento do parâmetro com seu objeto. </w:t>
      </w:r>
    </w:p>
    <w:p w:rsidRPr="006218E7" w:rsidR="00D85228" w:rsidP="14269F47" w:rsidRDefault="00D85228" w14:paraId="2BC853F3" w14:textId="77777777">
      <w:pPr>
        <w:pStyle w:val="PargrafodaLista"/>
        <w:ind w:left="0"/>
        <w:rPr>
          <w:rFonts w:cs="Arial"/>
        </w:rPr>
      </w:pPr>
      <w:r w:rsidRPr="14269F47" w:rsidR="14269F47">
        <w:rPr>
          <w:rFonts w:cs="Arial"/>
        </w:rPr>
        <w:t>Assim sendo</w:t>
      </w:r>
      <w:r w:rsidRPr="14269F47" w:rsidR="14269F47">
        <w:rPr>
          <w:rFonts w:cs="Arial"/>
        </w:rPr>
        <w:t>,</w:t>
      </w:r>
      <w:r w:rsidRPr="14269F47" w:rsidR="14269F47">
        <w:rPr>
          <w:rFonts w:cs="Arial"/>
        </w:rPr>
        <w:t xml:space="preserve"> como os autores esclarecem, primeiro os elementos são classificados, em seguida são elaborados os critérios para a classificação e então caso haja um objeto que não pode ser classificado é preciso rever a proposta classificatória.</w:t>
      </w:r>
    </w:p>
    <w:p w:rsidRPr="00D85228" w:rsidR="00D85228" w:rsidP="14269F47" w:rsidRDefault="00D85228" w14:paraId="3F495098" w14:textId="77777777">
      <w:pPr>
        <w:pStyle w:val="PargrafodaLista"/>
        <w:ind w:left="0"/>
        <w:rPr>
          <w:rFonts w:cs="Arial"/>
          <w:color w:val="000000"/>
        </w:rPr>
      </w:pPr>
      <w:r w:rsidRPr="14269F47" w:rsidR="14269F47">
        <w:rPr>
          <w:rFonts w:cs="Arial"/>
          <w:color w:val="000000" w:themeColor="text1" w:themeTint="FF" w:themeShade="FF"/>
        </w:rPr>
        <w:t>Além de que, o controle de constitucionalidade tem seu conceito desenvolvido a partir de diferentes concepções filosófica e de experiências históricas diversas conforme Mendes (2006) explicita.</w:t>
      </w:r>
    </w:p>
    <w:p w:rsidRPr="00D85228" w:rsidR="00D85228" w:rsidP="14269F47" w:rsidRDefault="00D85228" w14:paraId="7AA59D59" w14:textId="77777777">
      <w:pPr>
        <w:pStyle w:val="PargrafodaLista"/>
        <w:ind w:left="0"/>
        <w:rPr>
          <w:rFonts w:cs="Arial"/>
          <w:color w:val="000000"/>
        </w:rPr>
      </w:pPr>
      <w:r w:rsidRPr="14269F47" w:rsidR="14269F47">
        <w:rPr>
          <w:rFonts w:cs="Arial"/>
          <w:color w:val="000000" w:themeColor="text1" w:themeTint="FF" w:themeShade="FF"/>
        </w:rPr>
        <w:t>A finalidade didática acaba por ser dividido entre sistema difuso e concentrado como também sistema americano e europeu de controle. Segundo o autor, o surgimento dos modelos mistos, combinando elementos de ambos os sistemas. Como por exemplo, o sistema português e o brasileiro. Classificações que serão mais detalhadas nos próximos tópicos deste artigo.</w:t>
      </w:r>
    </w:p>
    <w:p w:rsidRPr="00BD1B1E" w:rsidR="00BD1B1E" w:rsidP="00BD1B1E" w:rsidRDefault="00BD1B1E" w14:paraId="069AFA0E" w14:textId="77777777">
      <w:pPr>
        <w:ind w:firstLine="0"/>
      </w:pPr>
    </w:p>
    <w:p w:rsidRPr="00BD4C3E" w:rsidR="00BD4C3E" w:rsidP="00496A31" w:rsidRDefault="00BD4C3E" w14:paraId="7B5870C0" w14:textId="77777777">
      <w:pPr>
        <w:ind w:firstLine="0"/>
      </w:pPr>
    </w:p>
    <w:p w:rsidRPr="00976102" w:rsidR="004923B9" w:rsidP="00976102" w:rsidRDefault="006171DF" w14:paraId="6FBE6DA7" w14:textId="5796EA8A">
      <w:pPr>
        <w:pStyle w:val="Ttulo1"/>
        <w:rPr>
          <w:color w:val="000000"/>
        </w:rPr>
      </w:pPr>
      <w:bookmarkStart w:name="_Toc1072065287" w:id="1020456013"/>
      <w:r w:rsidRPr="377DE7A3" w:rsidR="377DE7A3">
        <w:rPr>
          <w:color w:val="000000" w:themeColor="text1" w:themeTint="FF" w:themeShade="FF"/>
        </w:rPr>
        <w:t xml:space="preserve">2. </w:t>
      </w:r>
      <w:r w:rsidRPr="377DE7A3" w:rsidR="377DE7A3">
        <w:rPr>
          <w:color w:val="000000" w:themeColor="text1" w:themeTint="FF" w:themeShade="FF"/>
        </w:rPr>
        <w:t>CONTROLE DIFUSO OU INCIDENTAL DE CONSTITUCIONALIDADE</w:t>
      </w:r>
      <w:bookmarkEnd w:id="1020456013"/>
    </w:p>
    <w:p w:rsidRPr="00BD1B1E" w:rsidR="00BD1B1E" w:rsidP="00BD1B1E" w:rsidRDefault="001B07DB" w14:paraId="4A1DC981" w14:textId="252DB3C5">
      <w:pPr>
        <w:pStyle w:val="Ttulo2"/>
        <w:rPr>
          <w:b w:val="0"/>
          <w:bCs w:val="0"/>
        </w:rPr>
      </w:pPr>
      <w:bookmarkStart w:name="_Toc2034138857" w:id="560255418"/>
      <w:r w:rsidR="377DE7A3">
        <w:rPr>
          <w:b w:val="0"/>
          <w:bCs w:val="0"/>
        </w:rPr>
        <w:t>2.1</w:t>
      </w:r>
      <w:r w:rsidR="377DE7A3">
        <w:rPr>
          <w:b w:val="0"/>
          <w:bCs w:val="0"/>
        </w:rPr>
        <w:t xml:space="preserve"> </w:t>
      </w:r>
      <w:r w:rsidR="377DE7A3">
        <w:rPr>
          <w:b w:val="0"/>
          <w:bCs w:val="0"/>
        </w:rPr>
        <w:t>CONTROLE INCIDENTAL DENTRO DOS AUTOS REALIZADO PELO JUIZ MONOCRÁTICO</w:t>
      </w:r>
      <w:bookmarkEnd w:id="560255418"/>
    </w:p>
    <w:p w:rsidR="001E27A0" w:rsidP="001E27A0" w:rsidRDefault="001E27A0" w14:paraId="5C6EF2FD" w14:textId="77777777">
      <w:pPr>
        <w:rPr>
          <w:rFonts w:cs="Arial"/>
        </w:rPr>
      </w:pPr>
      <w:r w:rsidRPr="0032446D">
        <w:rPr>
          <w:rFonts w:cs="Arial"/>
        </w:rPr>
        <w:t xml:space="preserve">O controle difuso, concreto ou incidental é aquele qual é realizado de maneira judicial no Brasil, se estruturando no </w:t>
      </w:r>
      <w:r>
        <w:rPr>
          <w:rFonts w:cs="Arial"/>
        </w:rPr>
        <w:t xml:space="preserve">país </w:t>
      </w:r>
      <w:r w:rsidRPr="0032446D">
        <w:rPr>
          <w:rFonts w:cs="Arial"/>
        </w:rPr>
        <w:t xml:space="preserve">conforme </w:t>
      </w:r>
      <w:r>
        <w:rPr>
          <w:rFonts w:cs="Arial"/>
        </w:rPr>
        <w:t>de Dimoulis e Lunardi (2016)</w:t>
      </w:r>
      <w:r w:rsidRPr="0032446D">
        <w:rPr>
          <w:rFonts w:cs="Arial"/>
        </w:rPr>
        <w:t xml:space="preserve"> pela universalidade ou da acessoriedade. A primeira trata-se que a inconstitucionalidade pode ser examina por qualquer tipo de processo sendo comum, especial, de conhecimento, cautelar ou de execução confirmando seu caráter difuso do controle incidental no Brasil. </w:t>
      </w:r>
    </w:p>
    <w:p w:rsidR="00BD1B1E" w:rsidP="001E27A0" w:rsidRDefault="001E27A0" w14:paraId="5646731D" w14:textId="3B2A86D3">
      <w:pPr>
        <w:pStyle w:val="Pargrafo"/>
      </w:pPr>
      <w:r>
        <w:rPr>
          <w:rFonts w:cs="Arial"/>
        </w:rPr>
        <w:t>A</w:t>
      </w:r>
      <w:r w:rsidRPr="0032446D">
        <w:rPr>
          <w:rFonts w:cs="Arial"/>
        </w:rPr>
        <w:t xml:space="preserve"> segund</w:t>
      </w:r>
      <w:r>
        <w:rPr>
          <w:rFonts w:cs="Arial"/>
        </w:rPr>
        <w:t>a</w:t>
      </w:r>
      <w:r w:rsidRPr="0032446D">
        <w:rPr>
          <w:rFonts w:cs="Arial"/>
        </w:rPr>
        <w:t xml:space="preserve"> regra</w:t>
      </w:r>
      <w:r>
        <w:rPr>
          <w:rFonts w:cs="Arial"/>
        </w:rPr>
        <w:t>, a</w:t>
      </w:r>
      <w:r w:rsidRPr="0032446D">
        <w:rPr>
          <w:rFonts w:cs="Arial"/>
        </w:rPr>
        <w:t xml:space="preserve"> da acessoriedade é realizada a fiscalizada a constitucionalidade que não necessariamente é o principal pedido da ação, e somente um pedido incidental relacionado com o principal julgamento, e o principal realizado mediante as ações diretas e com objeto principal a verificação da inconstitucionalidade.</w:t>
      </w:r>
    </w:p>
    <w:p w:rsidR="00BD1B1E" w:rsidP="00BD1B1E" w:rsidRDefault="001E27A0" w14:paraId="67BAFACC" w14:textId="4D6CC586">
      <w:pPr>
        <w:pStyle w:val="CITAOLONGA"/>
        <w:rPr>
          <w:rFonts w:cs="Arial"/>
          <w:szCs w:val="20"/>
        </w:rPr>
      </w:pPr>
      <w:r w:rsidRPr="0032446D">
        <w:rPr>
          <w:rFonts w:cs="Arial"/>
          <w:szCs w:val="20"/>
        </w:rPr>
        <w:t>Segundo a regra da acessoriedade. A fiscalização da constitucionalidade não pode ser o pedido principal da ação, mas tão somente um pedido incidental, relacionado com o julgamento do principal. Nesse ponto percebemos a diferença entre o controle incidental e o principal, realizado mediante as ações diretas e tendo como objeto principal a verificação da inconstitucionalidade</w:t>
      </w:r>
      <w:r>
        <w:rPr>
          <w:rFonts w:cs="Arial"/>
          <w:szCs w:val="20"/>
        </w:rPr>
        <w:t>.</w:t>
      </w:r>
      <w:r w:rsidRPr="00560677" w:rsidR="00560677">
        <w:t xml:space="preserve"> </w:t>
      </w:r>
      <w:r w:rsidR="00560677">
        <w:t>(</w:t>
      </w:r>
      <w:r w:rsidR="000E2B63">
        <w:t>Dimoulis e Lunardi</w:t>
      </w:r>
      <w:r w:rsidR="00560677">
        <w:t>,</w:t>
      </w:r>
      <w:r w:rsidR="000E2B63">
        <w:t xml:space="preserve"> 2016, </w:t>
      </w:r>
      <w:r w:rsidR="00560677">
        <w:t>p</w:t>
      </w:r>
      <w:r w:rsidR="000E2B63">
        <w:t>g. 276</w:t>
      </w:r>
      <w:r w:rsidR="00560677">
        <w:t>)</w:t>
      </w:r>
    </w:p>
    <w:p w:rsidRPr="0032446D" w:rsidR="001E27A0" w:rsidP="001E27A0" w:rsidRDefault="001E27A0" w14:paraId="0329423C" w14:textId="77777777">
      <w:pPr>
        <w:rPr>
          <w:rFonts w:cs="Arial"/>
        </w:rPr>
      </w:pPr>
      <w:r w:rsidRPr="0032446D">
        <w:rPr>
          <w:rFonts w:cs="Arial"/>
        </w:rPr>
        <w:t>O controle difuso, concreto ou incidental qual possui o revés da verificação de uma questão de inconstitucionalidade qual Mendes</w:t>
      </w:r>
      <w:r>
        <w:rPr>
          <w:rFonts w:cs="Arial"/>
        </w:rPr>
        <w:t xml:space="preserve"> (2024)</w:t>
      </w:r>
      <w:r w:rsidRPr="0032446D">
        <w:rPr>
          <w:rFonts w:cs="Arial"/>
        </w:rPr>
        <w:t xml:space="preserve"> aponta como uma dúvida quanto à constitucionalidade, em relação a um ato normativo a ser aplicado dentro de um caso a ser submetido para a apreciação do poder judiciário. Necessita que haja uma controvérsia decorrente de uma situação jurídica objetiva.</w:t>
      </w:r>
    </w:p>
    <w:p w:rsidR="001E27A0" w:rsidP="001E27A0" w:rsidRDefault="001E27A0" w14:paraId="57C6A451" w14:textId="612F2873">
      <w:pPr>
        <w:rPr>
          <w:rFonts w:cs="Arial"/>
        </w:rPr>
      </w:pPr>
      <w:r w:rsidRPr="4648AFAB" w:rsidR="001E27A0">
        <w:rPr>
          <w:rFonts w:cs="Arial"/>
        </w:rPr>
        <w:t xml:space="preserve"> </w:t>
      </w:r>
      <w:r w:rsidRPr="4648AFAB" w:rsidR="001E27A0">
        <w:rPr>
          <w:rFonts w:cs="Arial"/>
        </w:rPr>
        <w:t xml:space="preserve">O </w:t>
      </w:r>
      <w:r w:rsidRPr="4648AFAB" w:rsidR="001E27A0">
        <w:rPr>
          <w:rFonts w:cs="Arial"/>
        </w:rPr>
        <w:t>or</w:t>
      </w:r>
      <w:r w:rsidRPr="4648AFAB" w:rsidR="7D80E1FB">
        <w:rPr>
          <w:rFonts w:cs="Arial"/>
        </w:rPr>
        <w:t>de</w:t>
      </w:r>
      <w:r w:rsidRPr="4648AFAB" w:rsidR="001E27A0">
        <w:rPr>
          <w:rFonts w:cs="Arial"/>
        </w:rPr>
        <w:t xml:space="preserve">namento brasileiro a forma judicial foca no controle incidental realizado dentro dos autos realizados pelo juiz monocrático. O controle incidental ou </w:t>
      </w:r>
      <w:r w:rsidRPr="4648AFAB" w:rsidR="001E27A0">
        <w:rPr>
          <w:rFonts w:cs="Arial"/>
          <w:i w:val="1"/>
          <w:iCs w:val="1"/>
        </w:rPr>
        <w:t>incidenter</w:t>
      </w:r>
      <w:r w:rsidRPr="4648AFAB" w:rsidR="001E27A0">
        <w:rPr>
          <w:rFonts w:cs="Arial"/>
          <w:i w:val="1"/>
          <w:iCs w:val="1"/>
        </w:rPr>
        <w:t xml:space="preserve"> tantum</w:t>
      </w:r>
      <w:r w:rsidRPr="4648AFAB" w:rsidR="001E27A0">
        <w:rPr>
          <w:rFonts w:cs="Arial"/>
        </w:rPr>
        <w:t xml:space="preserve"> se trata da fiscalização constitucional por juízes e tribunais em casos concretos</w:t>
      </w:r>
      <w:r w:rsidRPr="4648AFAB" w:rsidR="001E27A0">
        <w:rPr>
          <w:rFonts w:cs="Arial"/>
        </w:rPr>
        <w:t xml:space="preserve">. Nesse contexto o juiz assim como os tribunais nesse contexto são vigias da lei garantindo o controle de constitucionalidade, </w:t>
      </w:r>
      <w:r w:rsidRPr="4648AFAB" w:rsidR="001E27A0">
        <w:rPr>
          <w:rFonts w:cs="Arial"/>
        </w:rPr>
        <w:t>Barrosso</w:t>
      </w:r>
      <w:r w:rsidRPr="4648AFAB" w:rsidR="001E27A0">
        <w:rPr>
          <w:rFonts w:cs="Arial"/>
        </w:rPr>
        <w:t xml:space="preserve"> (2016)</w:t>
      </w:r>
      <w:r w:rsidRPr="4648AFAB" w:rsidR="001E27A0">
        <w:rPr>
          <w:rFonts w:cs="Arial"/>
        </w:rPr>
        <w:t xml:space="preserve"> explicita em seu texto a declaração incidental de inconstitucionalidade é feita no exercício normal da função jurisdicional de aplicar a lei de forma contenciosamente. Mendes</w:t>
      </w:r>
      <w:r w:rsidRPr="4648AFAB" w:rsidR="001E27A0">
        <w:rPr>
          <w:rFonts w:cs="Arial"/>
        </w:rPr>
        <w:t xml:space="preserve"> (2024)</w:t>
      </w:r>
      <w:r w:rsidRPr="4648AFAB" w:rsidR="001E27A0">
        <w:rPr>
          <w:rFonts w:cs="Arial"/>
        </w:rPr>
        <w:t xml:space="preserve"> coloca em seu livro pode ser ou não aceita a alegação da lide, podendo o juiz ou </w:t>
      </w:r>
      <w:r w:rsidRPr="4648AFAB" w:rsidR="001E27A0">
        <w:rPr>
          <w:rFonts w:cs="Arial"/>
        </w:rPr>
        <w:t>tribunal recursar-se a aplicação. É possível compreender tal fato no trecho abaixo</w:t>
      </w:r>
      <w:r w:rsidRPr="4648AFAB" w:rsidR="001E27A0">
        <w:rPr>
          <w:rFonts w:cs="Arial"/>
        </w:rPr>
        <w:t xml:space="preserve"> de Barroso (2016).</w:t>
      </w:r>
    </w:p>
    <w:p w:rsidR="001E27A0" w:rsidP="001E27A0" w:rsidRDefault="001E27A0" w14:paraId="0412FF34" w14:textId="6315FD76">
      <w:pPr>
        <w:pStyle w:val="CITAOLONGA"/>
        <w:rPr>
          <w:rFonts w:cs="Arial"/>
          <w:szCs w:val="20"/>
        </w:rPr>
      </w:pPr>
      <w:r w:rsidRPr="00527169">
        <w:rPr>
          <w:rFonts w:cs="Arial"/>
          <w:szCs w:val="20"/>
        </w:rPr>
        <w:t>O controle incidental de constitucionalidade é um controle exercido de modo difuso, cabendo a todos os órgãos judiciais indistintamente, tanto de primeiro como de segundo grau, bem como aos tribunais superiores. Por tratar-se de atribuição inerente ao desempenho normal da função jurisdicional, qualquer juiz ou tribunal, no ato de realização do Direito nas situ ações concretas que lhes são submetidas, tem o poder-dever de deixar de aplicar o ato legislativo conflitante com a Constituição. Já não se discute mais, nem em doutrina nem na jurisprudência, acerca da plena legitimidade do reconhecimento da inconstitucionalidade por juiz de primeiro grau, seja estadual ou federal</w:t>
      </w:r>
      <w:r w:rsidR="00560677">
        <w:rPr>
          <w:rFonts w:cs="Arial"/>
          <w:szCs w:val="20"/>
        </w:rPr>
        <w:t xml:space="preserve">. </w:t>
      </w:r>
      <w:r w:rsidR="00560677">
        <w:t>(</w:t>
      </w:r>
      <w:r w:rsidR="000E2B63">
        <w:t>Barroso</w:t>
      </w:r>
      <w:r w:rsidR="00560677">
        <w:t>,</w:t>
      </w:r>
      <w:r w:rsidR="00560677">
        <w:rPr>
          <w:spacing w:val="-3"/>
        </w:rPr>
        <w:t xml:space="preserve"> </w:t>
      </w:r>
      <w:r w:rsidR="000E2B63">
        <w:t>2016</w:t>
      </w:r>
      <w:r w:rsidR="00560677">
        <w:t>,</w:t>
      </w:r>
      <w:r w:rsidR="00560677">
        <w:rPr>
          <w:spacing w:val="-5"/>
        </w:rPr>
        <w:t xml:space="preserve"> </w:t>
      </w:r>
      <w:r w:rsidR="00560677">
        <w:t>p</w:t>
      </w:r>
      <w:r w:rsidR="000E2B63">
        <w:t>g.118</w:t>
      </w:r>
      <w:r w:rsidR="00560677">
        <w:t>)</w:t>
      </w:r>
    </w:p>
    <w:p w:rsidRPr="00F8301D" w:rsidR="001E27A0" w:rsidP="001E27A0" w:rsidRDefault="001E27A0" w14:paraId="1B22C732" w14:textId="77777777">
      <w:pPr>
        <w:rPr>
          <w:rFonts w:cs="Arial"/>
        </w:rPr>
      </w:pPr>
      <w:r w:rsidRPr="00F8301D">
        <w:rPr>
          <w:rFonts w:cs="Arial"/>
        </w:rPr>
        <w:t>Logo</w:t>
      </w:r>
      <w:r>
        <w:rPr>
          <w:rFonts w:cs="Arial"/>
        </w:rPr>
        <w:t>,</w:t>
      </w:r>
      <w:r w:rsidRPr="00F8301D">
        <w:rPr>
          <w:rFonts w:cs="Arial"/>
        </w:rPr>
        <w:t xml:space="preserve"> fica evidente como o juiz de forma monocrática no Brasil tem a legitimidade do reconhecimento da inconstitucionalidade independente de qual órgão judicial este pertence, seja como juízes de primeiro grau ou dos tribunais superiores. </w:t>
      </w:r>
    </w:p>
    <w:p w:rsidRPr="00F8301D" w:rsidR="001E27A0" w:rsidP="001E27A0" w:rsidRDefault="001E27A0" w14:paraId="204086C2" w14:textId="77777777">
      <w:pPr>
        <w:rPr>
          <w:rFonts w:cs="Arial"/>
        </w:rPr>
      </w:pPr>
      <w:r w:rsidRPr="00F8301D">
        <w:rPr>
          <w:rFonts w:cs="Arial"/>
        </w:rPr>
        <w:t>O controle incidental no Brasil é feito por qualquer órgão judicial conforme sua competência. “A decisão que não é feita sobre objeto principal da lide, mas sim sobre questão prévia, indispensável ao julgamento do mérito”</w:t>
      </w:r>
      <w:r>
        <w:rPr>
          <w:rFonts w:cs="Arial"/>
        </w:rPr>
        <w:t xml:space="preserve"> </w:t>
      </w:r>
      <w:r w:rsidRPr="00E25A62">
        <w:rPr>
          <w:rFonts w:cs="Arial"/>
        </w:rPr>
        <w:t xml:space="preserve">(Mendes). </w:t>
      </w:r>
      <w:r w:rsidRPr="00F8301D">
        <w:rPr>
          <w:rFonts w:cs="Arial"/>
        </w:rPr>
        <w:t xml:space="preserve">Ou seja, sua principal finalidade é afasta a incidência da norma viciada, para isso é feita a suspensão de execução de leis ou decretos declarados inconstitucionais pelo </w:t>
      </w:r>
      <w:r>
        <w:rPr>
          <w:rFonts w:cs="Arial"/>
        </w:rPr>
        <w:t>Supremo Tribunal Federal (</w:t>
      </w:r>
      <w:r w:rsidRPr="00F8301D">
        <w:rPr>
          <w:rFonts w:cs="Arial"/>
        </w:rPr>
        <w:t>STF</w:t>
      </w:r>
      <w:r>
        <w:rPr>
          <w:rFonts w:cs="Arial"/>
        </w:rPr>
        <w:t>)</w:t>
      </w:r>
      <w:r w:rsidRPr="00F8301D">
        <w:rPr>
          <w:rFonts w:cs="Arial"/>
        </w:rPr>
        <w:t xml:space="preserve">. A questão deve ser suscitada pelo pelas partes ou pelo Ministério Público, podendo ser reconhecida de </w:t>
      </w:r>
      <w:r w:rsidRPr="00527169">
        <w:rPr>
          <w:rFonts w:cs="Arial"/>
          <w:i/>
          <w:iCs/>
        </w:rPr>
        <w:t>ex offic</w:t>
      </w:r>
      <w:r w:rsidRPr="00F8301D">
        <w:rPr>
          <w:rFonts w:cs="Arial"/>
        </w:rPr>
        <w:t xml:space="preserve"> pelo juiz ou tribunal. Porém apara ser declarada inconstitucional apenas pelo voto da maioria absoluta de seus membros ou órgão especial. Convergindo dessa maneira com pensamento de Barroso onde este realça que a faculdade do juízo monocrático de negar a aplicação a norma inconstitucional é realizada com maior plenitude na competência dos tribunais na mesma providência, sujeitando-se ao princípio da reserva do plenário. </w:t>
      </w:r>
    </w:p>
    <w:p w:rsidRPr="001E27A0" w:rsidR="001E27A0" w:rsidP="001E27A0" w:rsidRDefault="001E27A0" w14:paraId="3AEAD382" w14:textId="68D6C099">
      <w:r>
        <w:rPr>
          <w:rFonts w:cs="Arial"/>
        </w:rPr>
        <w:t xml:space="preserve">Pelo </w:t>
      </w:r>
      <w:r w:rsidRPr="00F8301D">
        <w:rPr>
          <w:rFonts w:cs="Arial"/>
        </w:rPr>
        <w:t>exemplo simulado por Dimoulis e Lunardi</w:t>
      </w:r>
      <w:r>
        <w:rPr>
          <w:rFonts w:cs="Arial"/>
        </w:rPr>
        <w:t xml:space="preserve"> (2016)</w:t>
      </w:r>
      <w:r w:rsidRPr="00F8301D">
        <w:rPr>
          <w:rFonts w:cs="Arial"/>
        </w:rPr>
        <w:t xml:space="preserve">, o juiz de Birigui pode declarar incidentalmente a inconstitucionalidade, evitando que a família Bianchi sofra prejuízo patrimonial a partir de sua decisão </w:t>
      </w:r>
      <w:r>
        <w:rPr>
          <w:rFonts w:cs="Arial"/>
        </w:rPr>
        <w:t>e</w:t>
      </w:r>
      <w:r w:rsidRPr="00F8301D">
        <w:rPr>
          <w:rFonts w:cs="Arial"/>
        </w:rPr>
        <w:t>m decorrência da regra da universalidade</w:t>
      </w:r>
    </w:p>
    <w:p w:rsidRPr="00C35224" w:rsidR="008B257B" w:rsidP="008062A1" w:rsidRDefault="008B257B" w14:paraId="1BD47E6C" w14:textId="77777777">
      <w:pPr>
        <w:pStyle w:val="Pargrafo"/>
        <w:ind w:firstLine="0"/>
      </w:pPr>
    </w:p>
    <w:p w:rsidRPr="00BD1B1E" w:rsidR="00BD1B1E" w:rsidP="00BD1B1E" w:rsidRDefault="001B07DB" w14:paraId="737129F8" w14:textId="7F5D42E0">
      <w:pPr>
        <w:pStyle w:val="Ttulo2"/>
        <w:rPr>
          <w:b w:val="0"/>
          <w:bCs w:val="0"/>
        </w:rPr>
      </w:pPr>
      <w:bookmarkStart w:name="_Toc2056640440" w:id="1980957651"/>
      <w:r w:rsidR="377DE7A3">
        <w:rPr>
          <w:b w:val="0"/>
          <w:bCs w:val="0"/>
        </w:rPr>
        <w:t xml:space="preserve">2.2. </w:t>
      </w:r>
      <w:r w:rsidR="377DE7A3">
        <w:rPr>
          <w:b w:val="0"/>
          <w:bCs w:val="0"/>
        </w:rPr>
        <w:t>PRESENÇA DO PLENÁRIO NO CONTROLE DE CONSTITUCIONALIDAD</w:t>
      </w:r>
      <w:r w:rsidR="377DE7A3">
        <w:rPr>
          <w:b w:val="0"/>
          <w:bCs w:val="0"/>
        </w:rPr>
        <w:t>E</w:t>
      </w:r>
      <w:bookmarkEnd w:id="1980957651"/>
    </w:p>
    <w:p w:rsidRPr="0032446D" w:rsidR="001E27A0" w:rsidP="001E27A0" w:rsidRDefault="001E27A0" w14:paraId="599CECE8" w14:textId="3484E66E">
      <w:pPr>
        <w:pStyle w:val="PargrafodaLista"/>
        <w:ind w:left="0"/>
        <w:rPr>
          <w:rFonts w:cs="Arial"/>
        </w:rPr>
      </w:pPr>
      <w:r w:rsidRPr="0032446D">
        <w:rPr>
          <w:rFonts w:cs="Arial"/>
        </w:rPr>
        <w:t>A presença do Plenário foi instituída</w:t>
      </w:r>
      <w:r>
        <w:rPr>
          <w:rFonts w:cs="Arial"/>
        </w:rPr>
        <w:t>,</w:t>
      </w:r>
      <w:r w:rsidRPr="0032446D">
        <w:rPr>
          <w:rFonts w:cs="Arial"/>
        </w:rPr>
        <w:t xml:space="preserve"> pela primeira vez</w:t>
      </w:r>
      <w:r>
        <w:rPr>
          <w:rFonts w:cs="Arial"/>
        </w:rPr>
        <w:t>,</w:t>
      </w:r>
      <w:r w:rsidRPr="0032446D">
        <w:rPr>
          <w:rFonts w:cs="Arial"/>
        </w:rPr>
        <w:t xml:space="preserve"> </w:t>
      </w:r>
      <w:r>
        <w:rPr>
          <w:rFonts w:cs="Arial"/>
        </w:rPr>
        <w:t>pel</w:t>
      </w:r>
      <w:r w:rsidRPr="0032446D">
        <w:rPr>
          <w:rFonts w:cs="Arial"/>
        </w:rPr>
        <w:t>a Constituição de 1934 e reproduzidas nas seguintes. A reserva de Plenário espelha-se no princípio da presunção de constitucionalidade das leis e que para ser infirmado segundo Barroso necessita de um quórum qualificado no tribunal.</w:t>
      </w:r>
    </w:p>
    <w:p w:rsidRPr="0032446D" w:rsidR="001E27A0" w:rsidP="001E27A0" w:rsidRDefault="001E27A0" w14:paraId="74397504" w14:textId="72A17256">
      <w:pPr>
        <w:pStyle w:val="PargrafodaLista"/>
        <w:ind w:left="0"/>
        <w:rPr>
          <w:rFonts w:cs="Arial"/>
        </w:rPr>
      </w:pPr>
      <w:r w:rsidRPr="4648AFAB" w:rsidR="001E27A0">
        <w:rPr>
          <w:rFonts w:cs="Arial"/>
        </w:rPr>
        <w:t>Em sua doutrina</w:t>
      </w:r>
      <w:r w:rsidRPr="4648AFAB" w:rsidR="05C1FCA2">
        <w:rPr>
          <w:rFonts w:cs="Arial"/>
        </w:rPr>
        <w:t>,</w:t>
      </w:r>
      <w:r w:rsidRPr="4648AFAB" w:rsidR="001E27A0">
        <w:rPr>
          <w:rFonts w:cs="Arial"/>
        </w:rPr>
        <w:t xml:space="preserve"> fica claro que sempre que o órgão julgador afastar uma norma por considerá-la inconstitucional, está sendo procedida uma declaração de inconstitucionalidade. Podendo haver ou não explicitações e arguições expressas sobre o assunto. Trata-se de uma linha de entendimento que é intuitiva e tem a chancela do Supremo Tribunal Federal</w:t>
      </w:r>
    </w:p>
    <w:p w:rsidRPr="00527169" w:rsidR="001E27A0" w:rsidP="001E27A0" w:rsidRDefault="001E27A0" w14:paraId="5B4B1A81" w14:textId="22759144">
      <w:pPr>
        <w:pStyle w:val="PargrafodaLista"/>
        <w:ind w:left="0"/>
        <w:rPr>
          <w:rFonts w:cs="Arial"/>
          <w:sz w:val="20"/>
          <w:szCs w:val="20"/>
        </w:rPr>
      </w:pPr>
      <w:r w:rsidRPr="0032446D">
        <w:rPr>
          <w:rFonts w:cs="Arial"/>
        </w:rPr>
        <w:t>Por isso</w:t>
      </w:r>
      <w:r>
        <w:rPr>
          <w:rFonts w:cs="Arial"/>
        </w:rPr>
        <w:t>,</w:t>
      </w:r>
      <w:r w:rsidRPr="0032446D">
        <w:rPr>
          <w:rFonts w:cs="Arial"/>
        </w:rPr>
        <w:t xml:space="preserve"> os Tribunais apenas podem decidir seus problemas de inconstitucionalidade com o voto da maioria absoluta de seus membros, como a vedação aos órgãos fracionários como</w:t>
      </w:r>
      <w:r>
        <w:rPr>
          <w:rFonts w:cs="Arial"/>
        </w:rPr>
        <w:t>, as</w:t>
      </w:r>
      <w:r w:rsidRPr="0032446D">
        <w:rPr>
          <w:rFonts w:cs="Arial"/>
        </w:rPr>
        <w:t xml:space="preserve"> câmaras ou turmas a declaração de inconstitucionalidade conforme o art.97 da Constituição Federal dita. </w:t>
      </w:r>
      <w:r>
        <w:rPr>
          <w:rFonts w:cs="Arial"/>
        </w:rPr>
        <w:t xml:space="preserve">Para </w:t>
      </w:r>
      <w:r w:rsidRPr="001E27A0">
        <w:rPr>
          <w:rFonts w:cs="Arial"/>
          <w:color w:val="000000"/>
        </w:rPr>
        <w:t>Dimoulis</w:t>
      </w:r>
      <w:r w:rsidR="00E84C85">
        <w:rPr>
          <w:rFonts w:cs="Arial"/>
          <w:color w:val="000000"/>
        </w:rPr>
        <w:t xml:space="preserve"> e </w:t>
      </w:r>
      <w:r w:rsidRPr="001E27A0">
        <w:rPr>
          <w:rFonts w:cs="Arial"/>
          <w:color w:val="000000"/>
        </w:rPr>
        <w:t>Lunardi</w:t>
      </w:r>
      <w:r>
        <w:rPr>
          <w:rFonts w:cs="Arial"/>
          <w:color w:val="000000"/>
        </w:rPr>
        <w:t xml:space="preserve"> (2016)</w:t>
      </w:r>
      <w:r w:rsidRPr="0032446D">
        <w:rPr>
          <w:rFonts w:cs="Arial"/>
        </w:rPr>
        <w:t>, a reserva do Plenário é neces</w:t>
      </w:r>
      <w:r>
        <w:rPr>
          <w:rFonts w:cs="Arial"/>
        </w:rPr>
        <w:t>sária para</w:t>
      </w:r>
      <w:r w:rsidRPr="0032446D">
        <w:rPr>
          <w:rFonts w:cs="Arial"/>
        </w:rPr>
        <w:t xml:space="preserve"> evitar controversas no âmbito judiciário, portanto assim preservando a segurança jurídica do país.</w:t>
      </w:r>
    </w:p>
    <w:p w:rsidR="00BD1B1E" w:rsidP="00BD1B1E" w:rsidRDefault="00BD1B1E" w14:paraId="14F35F33" w14:textId="6B44B109">
      <w:pPr>
        <w:pStyle w:val="Pargrafo"/>
      </w:pPr>
    </w:p>
    <w:p w:rsidR="001E27A0" w:rsidP="001E27A0" w:rsidRDefault="001E27A0" w14:paraId="7F55E5A5" w14:textId="0CAC0B5A">
      <w:pPr>
        <w:pStyle w:val="PargrafodaLista"/>
        <w:spacing w:line="240" w:lineRule="auto"/>
        <w:ind w:left="2268" w:firstLine="0"/>
        <w:rPr>
          <w:rFonts w:cs="Arial"/>
          <w:sz w:val="20"/>
          <w:szCs w:val="20"/>
        </w:rPr>
      </w:pPr>
      <w:r w:rsidRPr="00527169">
        <w:rPr>
          <w:rFonts w:cs="Arial"/>
          <w:sz w:val="20"/>
          <w:szCs w:val="20"/>
        </w:rPr>
        <w:t>Os Tribunais só podem decidir sobre problemas de inconstitucionalidade com voto da maioria absoluta de seus membros (art. 97 da CF). É a denominada cláusula de reserva de Plenário, que se justifica pela necessidade de evitar decisões conflitantes no âmbito do mesmo órgão judicial. [...] os Tribunais de Justiça e os Tribunais Superiores só podem fazer o mesmo com decisão tomada pelo Plenário ou pelo Órgão Especial que os representa. Controle de Constitucionalidade Aspectos jurídicos e políticos.</w:t>
      </w:r>
      <w:r w:rsidR="00E84C85">
        <w:rPr>
          <w:rFonts w:cs="Arial"/>
          <w:sz w:val="20"/>
          <w:szCs w:val="20"/>
        </w:rPr>
        <w:t>(Dimoulis e Lunardi, 2016, pg.277)</w:t>
      </w:r>
    </w:p>
    <w:p w:rsidR="00EF0393" w:rsidP="001E27A0" w:rsidRDefault="00EF0393" w14:paraId="4CBD55AE" w14:textId="77777777">
      <w:pPr>
        <w:pStyle w:val="Pargrafo"/>
      </w:pPr>
    </w:p>
    <w:p w:rsidR="001E27A0" w:rsidP="001E27A0" w:rsidRDefault="001E27A0" w14:paraId="482178B1" w14:textId="350F29C1">
      <w:pPr>
        <w:pStyle w:val="Pargrafo"/>
      </w:pPr>
      <w:r w:rsidR="377DE7A3">
        <w:rPr/>
        <w:t>O trecho acima converge dessa maneira com as lições ensinadas por Mendes (2024). O plenário pronuncia-se sobre a constitucionalidade ou não e ao órgão fracionado após a decisão da espécie do caso. “Dá-se cisão funcional da competência: ao plenário caberá pronunciar-se sobre a constitucionalidade ou inconstitucionalidade e ao órgão fracionário, depois à vista do que houver assentado o plenário decidir a espécie” (Mendes, 2024. pg.172).</w:t>
      </w:r>
    </w:p>
    <w:p w:rsidRPr="0032446D" w:rsidR="001E27A0" w:rsidP="14269F47" w:rsidRDefault="001E27A0" w14:paraId="434E556A" w14:textId="77777777">
      <w:pPr>
        <w:pStyle w:val="PargrafodaLista"/>
        <w:ind w:left="0" w:firstLine="720"/>
        <w:rPr>
          <w:rFonts w:cs="Arial"/>
        </w:rPr>
      </w:pPr>
      <w:r w:rsidRPr="14269F47" w:rsidR="14269F47">
        <w:rPr>
          <w:rFonts w:cs="Arial"/>
        </w:rPr>
        <w:t xml:space="preserve">O Plenário poderá se pronunciar pelas matérias que já foram acolhidas pelo órgão fracionado e não podendo emitir juízo sobre a parte já julgada inadmissível ou rejeitada pela Turma ou Câmera. A arguição é acolhida se </w:t>
      </w:r>
      <w:r w:rsidRPr="14269F47" w:rsidR="14269F47">
        <w:rPr>
          <w:rFonts w:cs="Arial"/>
        </w:rPr>
        <w:t>alcançar maioria absoluta dos votos em relação a um dos fundamentos caso não o resultado da votação terá as mesmas consequências.</w:t>
      </w:r>
    </w:p>
    <w:p w:rsidRPr="007C6C05" w:rsidR="001E27A0" w:rsidP="14269F47" w:rsidRDefault="001E27A0" w14:paraId="2F2FA358" w14:textId="77777777">
      <w:pPr>
        <w:pStyle w:val="PargrafodaLista"/>
        <w:ind w:left="0" w:firstLine="720"/>
        <w:rPr>
          <w:rFonts w:cs="Arial"/>
        </w:rPr>
      </w:pPr>
      <w:r w:rsidRPr="14269F47" w:rsidR="14269F47">
        <w:rPr>
          <w:rFonts w:cs="Arial"/>
        </w:rPr>
        <w:t>Sua decisão é irrecorrível pois é vinculada ao órgão fracionado, dessa maneira junta-se ao julgamento do recurso ou da causa como inafastável. Quando publicado o acordão o julgamento da questão é reiniciado perante o Plenário segundo</w:t>
      </w:r>
      <w:r w:rsidRPr="14269F47" w:rsidR="14269F47">
        <w:rPr>
          <w:rFonts w:cs="Arial"/>
        </w:rPr>
        <w:t xml:space="preserve"> </w:t>
      </w:r>
      <w:r w:rsidRPr="14269F47" w:rsidR="14269F47">
        <w:rPr>
          <w:rFonts w:cs="Arial"/>
        </w:rPr>
        <w:t>Mendes.</w:t>
      </w:r>
      <w:r w:rsidRPr="14269F47" w:rsidR="14269F47">
        <w:rPr>
          <w:rFonts w:cs="Arial"/>
        </w:rPr>
        <w:t xml:space="preserve"> Segundo este, não será declarado a inconstitucionalidade se não for alcançada a maioria de seis votos conforme RISTF, art 173 c/c o art. 174. </w:t>
      </w:r>
    </w:p>
    <w:p w:rsidR="001E27A0" w:rsidP="001E27A0" w:rsidRDefault="001E27A0" w14:paraId="5E5F5893" w14:textId="77777777">
      <w:pPr>
        <w:pStyle w:val="Pargrafo"/>
      </w:pPr>
    </w:p>
    <w:p w:rsidRPr="008D65DA" w:rsidR="001E27A0" w:rsidP="14269F47" w:rsidRDefault="00E84C85" w14:paraId="14A93E8D" w14:textId="415F4D79">
      <w:pPr>
        <w:pStyle w:val="PargrafodaLista"/>
        <w:ind w:left="2268" w:firstLine="0"/>
        <w:rPr>
          <w:rFonts w:cs="Arial"/>
          <w:b w:val="0"/>
          <w:bCs w:val="0"/>
          <w:sz w:val="20"/>
          <w:szCs w:val="20"/>
        </w:rPr>
      </w:pPr>
      <w:r w:rsidRPr="14269F47" w:rsidR="14269F47">
        <w:rPr>
          <w:rFonts w:cs="Arial"/>
          <w:b w:val="0"/>
          <w:bCs w:val="0"/>
          <w:sz w:val="20"/>
          <w:szCs w:val="20"/>
        </w:rPr>
        <w:t xml:space="preserve">Art. 173. Efetuado o julgamento, com o </w:t>
      </w:r>
      <w:r w:rsidRPr="14269F47" w:rsidR="14269F47">
        <w:rPr>
          <w:rFonts w:cs="Arial"/>
          <w:b w:val="0"/>
          <w:bCs w:val="0"/>
          <w:i w:val="1"/>
          <w:iCs w:val="1"/>
          <w:sz w:val="20"/>
          <w:szCs w:val="20"/>
        </w:rPr>
        <w:t xml:space="preserve">quorum </w:t>
      </w:r>
      <w:r w:rsidRPr="14269F47" w:rsidR="14269F47">
        <w:rPr>
          <w:rFonts w:cs="Arial"/>
          <w:b w:val="0"/>
          <w:bCs w:val="0"/>
          <w:sz w:val="20"/>
          <w:szCs w:val="20"/>
        </w:rPr>
        <w:t>do art. 143, parágrafo único, proclamar-se-á a inconstitucionalidade ou a constitucionalidade do preceito ou do ato impugnados, se num ou noutro sentido se tiverem manifestado seis Ministros.</w:t>
      </w:r>
    </w:p>
    <w:p w:rsidRPr="007C6C05" w:rsidR="001E27A0" w:rsidP="14269F47" w:rsidRDefault="001E27A0" w14:paraId="6D236D92" w14:textId="6252E4D3">
      <w:pPr>
        <w:pStyle w:val="PargrafodaLista"/>
        <w:ind w:left="2268" w:firstLine="0"/>
        <w:rPr>
          <w:rFonts w:cs="Arial"/>
          <w:b w:val="0"/>
          <w:bCs w:val="0"/>
          <w:sz w:val="20"/>
          <w:szCs w:val="20"/>
        </w:rPr>
      </w:pPr>
      <w:r w:rsidRPr="14269F47" w:rsidR="14269F47">
        <w:rPr>
          <w:rFonts w:cs="Arial"/>
          <w:b w:val="0"/>
          <w:bCs w:val="0"/>
          <w:sz w:val="20"/>
          <w:szCs w:val="20"/>
        </w:rPr>
        <w:t xml:space="preserve">RISTF: parágrafo único do art. 143 (8 Ministros: </w:t>
      </w:r>
      <w:r w:rsidRPr="14269F47" w:rsidR="14269F47">
        <w:rPr>
          <w:rFonts w:cs="Arial"/>
          <w:b w:val="0"/>
          <w:bCs w:val="0"/>
          <w:sz w:val="20"/>
          <w:szCs w:val="20"/>
        </w:rPr>
        <w:t>quorum</w:t>
      </w:r>
      <w:r w:rsidRPr="14269F47" w:rsidR="14269F47">
        <w:rPr>
          <w:rFonts w:cs="Arial"/>
          <w:b w:val="0"/>
          <w:bCs w:val="0"/>
          <w:sz w:val="20"/>
          <w:szCs w:val="20"/>
        </w:rPr>
        <w:t xml:space="preserve"> mínimo) – art. 131, caput (sustentação oral) – art. 122 a art. 140 e art. 143 a art. 146 (sessão de julgamento) – art. 146, I (voto do Presidente).</w:t>
      </w:r>
    </w:p>
    <w:p w:rsidRPr="007C6C05" w:rsidR="001E27A0" w:rsidP="001E27A0" w:rsidRDefault="001E27A0" w14:paraId="032F73A7" w14:textId="4EAB2FC1">
      <w:pPr>
        <w:pStyle w:val="PargrafodaLista"/>
        <w:ind w:left="2268"/>
        <w:rPr>
          <w:rFonts w:cs="Arial"/>
          <w:b w:val="0"/>
          <w:bCs w:val="0"/>
          <w:sz w:val="20"/>
          <w:szCs w:val="20"/>
        </w:rPr>
      </w:pPr>
      <w:r w:rsidRPr="14269F47" w:rsidR="14269F47">
        <w:rPr>
          <w:rFonts w:cs="Arial"/>
          <w:b w:val="0"/>
          <w:bCs w:val="0"/>
          <w:sz w:val="20"/>
          <w:szCs w:val="20"/>
        </w:rPr>
        <w:t>[...]</w:t>
      </w:r>
    </w:p>
    <w:p w:rsidRPr="007C6C05" w:rsidR="001E27A0" w:rsidP="14269F47" w:rsidRDefault="001E27A0" w14:paraId="656BC70C" w14:textId="77777777">
      <w:pPr>
        <w:pStyle w:val="PargrafodaLista"/>
        <w:ind w:left="2268" w:firstLine="0"/>
        <w:rPr>
          <w:rFonts w:cs="Arial"/>
          <w:b w:val="0"/>
          <w:bCs w:val="0"/>
          <w:sz w:val="20"/>
          <w:szCs w:val="20"/>
        </w:rPr>
      </w:pPr>
      <w:r w:rsidRPr="14269F47" w:rsidR="14269F47">
        <w:rPr>
          <w:rFonts w:cs="Arial"/>
          <w:b w:val="0"/>
          <w:bCs w:val="0"/>
          <w:sz w:val="20"/>
          <w:szCs w:val="20"/>
        </w:rPr>
        <w:t xml:space="preserve">Parágrafo único. </w:t>
      </w:r>
      <w:r w:rsidRPr="14269F47" w:rsidR="14269F47">
        <w:rPr>
          <w:rFonts w:cs="Arial"/>
          <w:b w:val="0"/>
          <w:bCs w:val="0"/>
          <w:sz w:val="20"/>
          <w:szCs w:val="20"/>
        </w:rPr>
        <w:t>Se não for alcançada a maioria necessária à declaração de inconstitucionalidade</w:t>
      </w:r>
      <w:r w:rsidRPr="14269F47" w:rsidR="14269F47">
        <w:rPr>
          <w:rFonts w:cs="Arial"/>
          <w:b w:val="0"/>
          <w:bCs w:val="0"/>
          <w:sz w:val="20"/>
          <w:szCs w:val="20"/>
        </w:rPr>
        <w:t xml:space="preserve">, estando licenciados ou ausentes Ministros em número que possa influir no </w:t>
      </w:r>
      <w:r w:rsidRPr="14269F47" w:rsidR="14269F47">
        <w:rPr>
          <w:rFonts w:cs="Arial"/>
          <w:b w:val="0"/>
          <w:bCs w:val="0"/>
          <w:sz w:val="20"/>
          <w:szCs w:val="20"/>
        </w:rPr>
        <w:t>julgamento, este será suspenso a fim de aguardar-se o comparecimento dos Ministros ausentes</w:t>
      </w:r>
      <w:r w:rsidRPr="14269F47" w:rsidR="14269F47">
        <w:rPr>
          <w:rFonts w:cs="Arial"/>
          <w:b w:val="0"/>
          <w:bCs w:val="0"/>
          <w:sz w:val="20"/>
          <w:szCs w:val="20"/>
        </w:rPr>
        <w:t xml:space="preserve">, até que </w:t>
      </w:r>
      <w:r w:rsidRPr="14269F47" w:rsidR="14269F47">
        <w:rPr>
          <w:rFonts w:cs="Arial"/>
          <w:b w:val="0"/>
          <w:bCs w:val="0"/>
          <w:sz w:val="20"/>
          <w:szCs w:val="20"/>
        </w:rPr>
        <w:t>se atinja o quorum</w:t>
      </w:r>
      <w:r w:rsidRPr="14269F47" w:rsidR="14269F47">
        <w:rPr>
          <w:rFonts w:cs="Arial"/>
          <w:b w:val="0"/>
          <w:bCs w:val="0"/>
          <w:sz w:val="20"/>
          <w:szCs w:val="20"/>
        </w:rPr>
        <w:t>.</w:t>
      </w:r>
    </w:p>
    <w:p w:rsidR="14269F47" w:rsidP="14269F47" w:rsidRDefault="14269F47" w14:paraId="232D1993" w14:textId="593EA669">
      <w:pPr>
        <w:pStyle w:val="Pargrafo"/>
      </w:pPr>
    </w:p>
    <w:p w:rsidR="001E27A0" w:rsidP="001E27A0" w:rsidRDefault="001E27A0" w14:paraId="55FDA931" w14:textId="35E85104">
      <w:pPr>
        <w:pStyle w:val="Pargrafo"/>
      </w:pPr>
      <w:r w:rsidRPr="001E27A0">
        <w:t>Como elucidado na norma, somente será proclamada a inconstitucionalidade com o quórum presente e alcançada a maioria e o julgamento será suspenso até que atinja o número mínimo, casos haja ministros ausentes</w:t>
      </w:r>
      <w:r>
        <w:t>.</w:t>
      </w:r>
    </w:p>
    <w:p w:rsidR="001E27A0" w:rsidP="001E27A0" w:rsidRDefault="001E27A0" w14:paraId="7F372F03" w14:textId="77777777">
      <w:pPr>
        <w:pStyle w:val="PargrafodaLista"/>
        <w:spacing w:line="240" w:lineRule="auto"/>
        <w:rPr>
          <w:rFonts w:cs="Arial"/>
          <w:sz w:val="20"/>
          <w:szCs w:val="20"/>
        </w:rPr>
      </w:pPr>
    </w:p>
    <w:p w:rsidRPr="001E27A0" w:rsidR="001E27A0" w:rsidP="377DE7A3" w:rsidRDefault="001E27A0" w14:paraId="1F335BA6" w14:textId="188E418D">
      <w:pPr>
        <w:pStyle w:val="Normal"/>
        <w:spacing w:line="240" w:lineRule="auto"/>
        <w:ind w:left="720" w:firstLine="0"/>
        <w:rPr>
          <w:rFonts w:cs="Arial"/>
          <w:sz w:val="20"/>
          <w:szCs w:val="20"/>
        </w:rPr>
      </w:pPr>
    </w:p>
    <w:p w:rsidR="009635BF" w:rsidP="000C61B0" w:rsidRDefault="00783335" w14:paraId="0DA3CD6C" w14:textId="1815AE48">
      <w:pPr>
        <w:pStyle w:val="Ttulo1"/>
      </w:pPr>
      <w:bookmarkStart w:name="_Toc662120456" w:id="193896016"/>
      <w:r w:rsidR="377DE7A3">
        <w:rPr/>
        <w:t>3. CONTROLE CONCENTRADO OU ABSTRATO de constitucionalidade</w:t>
      </w:r>
      <w:bookmarkEnd w:id="193896016"/>
    </w:p>
    <w:p w:rsidRPr="00820AC9" w:rsidR="00CB4658" w:rsidP="00820AC9" w:rsidRDefault="001B07DB" w14:paraId="417FAF81" w14:textId="66651B00">
      <w:pPr>
        <w:pStyle w:val="Ttulo2"/>
        <w:rPr>
          <w:b w:val="0"/>
          <w:bCs w:val="0"/>
        </w:rPr>
      </w:pPr>
      <w:bookmarkStart w:name="_Toc1352108526" w:id="2114920677"/>
      <w:r w:rsidR="377DE7A3">
        <w:rPr>
          <w:b w:val="0"/>
          <w:bCs w:val="0"/>
        </w:rPr>
        <w:t xml:space="preserve">3.1. </w:t>
      </w:r>
      <w:r w:rsidR="377DE7A3">
        <w:rPr>
          <w:b w:val="0"/>
          <w:bCs w:val="0"/>
        </w:rPr>
        <w:t>AÇÃO DIRETA DE INCOSTITUCIONALIDAD</w:t>
      </w:r>
      <w:r w:rsidR="377DE7A3">
        <w:rPr>
          <w:b w:val="0"/>
          <w:bCs w:val="0"/>
        </w:rPr>
        <w:t>E</w:t>
      </w:r>
      <w:bookmarkEnd w:id="2114920677"/>
    </w:p>
    <w:p w:rsidR="001E27A0" w:rsidP="001E27A0" w:rsidRDefault="001E27A0" w14:paraId="77B3FAA4" w14:textId="77777777">
      <w:pPr>
        <w:rPr>
          <w:rFonts w:cs="Arial"/>
        </w:rPr>
      </w:pPr>
      <w:r>
        <w:rPr>
          <w:rFonts w:cs="Arial"/>
        </w:rPr>
        <w:t xml:space="preserve">A ação direta tem sua função jurisdicional conforme Barroso em regra geral, destina-se a solucionar conflitos de interesses, a julgar uma controvérsia entre partes com pretensões antagônicas. </w:t>
      </w:r>
    </w:p>
    <w:p w:rsidR="001E27A0" w:rsidP="001E27A0" w:rsidRDefault="001E27A0" w14:paraId="4EA355BF" w14:textId="77777777">
      <w:pPr>
        <w:rPr>
          <w:rFonts w:cs="Arial"/>
        </w:rPr>
      </w:pPr>
      <w:r>
        <w:rPr>
          <w:rFonts w:cs="Arial"/>
        </w:rPr>
        <w:t xml:space="preserve">Seu controle de constitucionalidade é visto como um exercício atípico de jurisdição. Pois, não há litígio ou situação concreta a ser solucionada de fato, já que não é aplicado a um caso concreto, sendo um pronunciamento sobre a própria lei. </w:t>
      </w:r>
    </w:p>
    <w:p w:rsidR="001E27A0" w:rsidP="001E27A0" w:rsidRDefault="001E27A0" w14:paraId="6B1D5714" w14:textId="77777777">
      <w:pPr>
        <w:rPr>
          <w:rFonts w:cs="Arial"/>
        </w:rPr>
      </w:pPr>
      <w:r>
        <w:rPr>
          <w:rFonts w:cs="Arial"/>
        </w:rPr>
        <w:t xml:space="preserve">O controle é abstrato justamente por não haver caso concreto subjacente à sua manifestação judicial. É um processo objetivo, sem partes que não se presta à tutela de direitos subjetivos ou de situações jurídicas individuais. Na ação direta o autor deve indicar os atos infraconstitucionais que considera incompatíveis com a Constituição. </w:t>
      </w:r>
    </w:p>
    <w:p w:rsidRPr="001E27A0" w:rsidR="001E27A0" w:rsidP="001E27A0" w:rsidRDefault="001E27A0" w14:paraId="5FA27A2C" w14:textId="77777777">
      <w:pPr>
        <w:rPr>
          <w:rFonts w:cs="Arial"/>
          <w:color w:val="9CC2E5"/>
        </w:rPr>
      </w:pPr>
      <w:r w:rsidRPr="00EF7036">
        <w:rPr>
          <w:rFonts w:cs="Arial"/>
        </w:rPr>
        <w:t xml:space="preserve">Já o controle concentrado consiste na atribuição da guarda da Constituição a um único órgão ou a um número limitado deles. No ornamento brasileiro podendo ser desempenhado no plano federal pelo Supremo Tribunal Federal na ação direta de inconstitucionalidade de lei ou ato normativo federal ou estadual, na ação declaratória de constitucionalidade de lei ou ato normativo federal conforme o art. 102, I, a da Constituição Federal, no plano estatual pelo Tribunal de Justiça na representação de inconstitucionalidade de leis ou atos normativos estaduais ou municipais como aponta o art. 125 § 2°. </w:t>
      </w:r>
    </w:p>
    <w:p w:rsidR="00BD1B1E" w:rsidP="001E27A0" w:rsidRDefault="001E27A0" w14:paraId="457333C0" w14:textId="6B1E2F81">
      <w:pPr>
        <w:pStyle w:val="Pargrafo"/>
        <w:rPr>
          <w:rFonts w:cs="Arial"/>
        </w:rPr>
      </w:pPr>
      <w:r>
        <w:rPr>
          <w:rFonts w:cs="Arial"/>
        </w:rPr>
        <w:t>No caso da ação direta de inconstitucionalidade o modelo abstrato recebeu ênfase na Constituição de 1988, uma vez que que todas as controvérsias constitucionais importantes foram submetidas ao Supreme Tribunal Federal mediante o processo de controle abstrato de normas conforme Mendes (2005).</w:t>
      </w:r>
    </w:p>
    <w:p w:rsidR="001E27A0" w:rsidP="001E27A0" w:rsidRDefault="001E27A0" w14:paraId="7D777CEE" w14:textId="44F01F6D">
      <w:pPr>
        <w:pStyle w:val="Pargrafo"/>
      </w:pPr>
      <w:r>
        <w:rPr>
          <w:rFonts w:cs="Arial"/>
        </w:rPr>
        <w:t>O objetivo geral da ação direta de inconstitucionalidade conforme Dimouilis e Lunardi (2016) é impedir que norma contrária a Constituição permaneça no ordenamento jurídico e comprometa a regularidade do sistema normativo por violar a supremacia constitucional.</w:t>
      </w:r>
    </w:p>
    <w:p w:rsidRPr="00EF0393" w:rsidR="00976102" w:rsidP="00EF0393" w:rsidRDefault="00976102" w14:paraId="29DA546E" w14:textId="37F2BB3E">
      <w:pPr>
        <w:pStyle w:val="CITAOLONGA"/>
      </w:pPr>
      <w:r w:rsidRPr="377DE7A3">
        <w:rPr>
          <w:rFonts w:cs="Arial"/>
        </w:rPr>
        <w:t>Objetivo geral da ADIn é impedir que norma contrária à Constituição permaneça no ordenamento jurídico, comprometendo a regularidade do sistema normativo por violar a supremacia constitucional. Procura-se, dessa forma, assegurar que a norma constitucional será imposta inclusive em relação aos poderes estatais. A aplicação de atos normativos inconstitucionais que costumam ter grande repercussão social gera danos de difícil reparação, sendo recomendada sua eliminação célere e definitiva</w:t>
      </w:r>
      <w:r w:rsidR="00BD1B1E">
        <w:rPr/>
        <w:t>.</w:t>
      </w:r>
      <w:r w:rsidRPr="00560677" w:rsidR="00560677">
        <w:rPr/>
        <w:t xml:space="preserve"> </w:t>
      </w:r>
      <w:r w:rsidR="00560677">
        <w:rPr/>
        <w:t>(último</w:t>
      </w:r>
      <w:r w:rsidR="00560677">
        <w:rPr>
          <w:spacing w:val="-5"/>
        </w:rPr>
        <w:t xml:space="preserve"> </w:t>
      </w:r>
      <w:r w:rsidR="00560677">
        <w:rPr/>
        <w:t>nome</w:t>
      </w:r>
      <w:r w:rsidR="00560677">
        <w:rPr>
          <w:spacing w:val="-6"/>
        </w:rPr>
        <w:t xml:space="preserve"> </w:t>
      </w:r>
      <w:r w:rsidR="00560677">
        <w:rPr/>
        <w:t>do</w:t>
      </w:r>
      <w:r w:rsidR="00560677">
        <w:rPr>
          <w:spacing w:val="-5"/>
        </w:rPr>
        <w:t xml:space="preserve"> </w:t>
      </w:r>
      <w:r w:rsidR="00560677">
        <w:rPr/>
        <w:t>autor,</w:t>
      </w:r>
      <w:r w:rsidR="00560677">
        <w:rPr>
          <w:spacing w:val="-3"/>
        </w:rPr>
        <w:t xml:space="preserve"> </w:t>
      </w:r>
      <w:r w:rsidR="00560677">
        <w:rPr/>
        <w:t>ano,</w:t>
      </w:r>
      <w:r w:rsidR="00560677">
        <w:rPr>
          <w:spacing w:val="-5"/>
        </w:rPr>
        <w:t xml:space="preserve"> </w:t>
      </w:r>
      <w:r w:rsidR="00560677">
        <w:rPr/>
        <w:t>página)</w:t>
      </w:r>
      <w:r w:rsidR="00BD1B1E">
        <w:rPr/>
        <w:t>.</w:t>
      </w:r>
      <w:r w:rsidRPr="00560677" w:rsidR="00560677">
        <w:rPr/>
        <w:t xml:space="preserve"> </w:t>
      </w:r>
      <w:r w:rsidR="00560677">
        <w:rPr/>
        <w:t>(</w:t>
      </w:r>
      <w:r w:rsidR="000915D4">
        <w:rPr/>
        <w:t>Dimouilis e Lunardi</w:t>
      </w:r>
      <w:r w:rsidR="00560677">
        <w:rPr/>
        <w:t>,</w:t>
      </w:r>
      <w:r w:rsidR="000915D4">
        <w:rPr/>
        <w:t xml:space="preserve">2016, </w:t>
      </w:r>
      <w:r w:rsidR="000915D4">
        <w:rPr>
          <w:spacing w:val="-5"/>
        </w:rPr>
        <w:t>pg.</w:t>
      </w:r>
      <w:r w:rsidR="00E84C85">
        <w:rPr>
          <w:spacing w:val="-5"/>
        </w:rPr>
        <w:t>111</w:t>
      </w:r>
      <w:r w:rsidR="00560677">
        <w:rPr/>
        <w:t>)</w:t>
      </w:r>
    </w:p>
    <w:p w:rsidR="00976102" w:rsidP="00976102" w:rsidRDefault="00976102" w14:paraId="37E5D442" w14:textId="0F45F4D4">
      <w:pPr>
        <w:rPr>
          <w:rFonts w:cs="Arial"/>
        </w:rPr>
      </w:pPr>
      <w:r w:rsidRPr="4648AFAB" w:rsidR="00976102">
        <w:rPr>
          <w:rFonts w:cs="Arial"/>
        </w:rPr>
        <w:t>Como descrito acima</w:t>
      </w:r>
      <w:r w:rsidRPr="4648AFAB" w:rsidR="1AFDE88E">
        <w:rPr>
          <w:rFonts w:cs="Arial"/>
        </w:rPr>
        <w:t>,</w:t>
      </w:r>
      <w:r w:rsidRPr="4648AFAB" w:rsidR="00976102">
        <w:rPr>
          <w:rFonts w:cs="Arial"/>
        </w:rPr>
        <w:t xml:space="preserve"> é costume grande repercussão social que gere danos de difícil reparação. </w:t>
      </w:r>
    </w:p>
    <w:p w:rsidR="00976102" w:rsidP="00976102" w:rsidRDefault="00976102" w14:paraId="070CA8B8" w14:textId="77777777">
      <w:pPr>
        <w:rPr>
          <w:rFonts w:cs="Arial"/>
        </w:rPr>
      </w:pPr>
      <w:r w:rsidRPr="4648AFAB" w:rsidR="00976102">
        <w:rPr>
          <w:rFonts w:cs="Arial"/>
        </w:rPr>
        <w:t xml:space="preserve">Ainda na mesma linha de discussão Mendes (2024) aponta que as decisões proferidas nesse tipo de ação possuem eficácia </w:t>
      </w:r>
      <w:r w:rsidRPr="4648AFAB" w:rsidR="00976102">
        <w:rPr>
          <w:rFonts w:cs="Arial"/>
          <w:i w:val="1"/>
          <w:iCs w:val="1"/>
        </w:rPr>
        <w:t>ex tunc</w:t>
      </w:r>
      <w:r w:rsidRPr="4648AFAB" w:rsidR="00976102">
        <w:rPr>
          <w:rFonts w:cs="Arial"/>
        </w:rPr>
        <w:t>,</w:t>
      </w:r>
      <w:r w:rsidRPr="4648AFAB" w:rsidR="00976102">
        <w:rPr>
          <w:rFonts w:cs="Arial"/>
          <w:i w:val="1"/>
          <w:iCs w:val="1"/>
        </w:rPr>
        <w:t xml:space="preserve"> erga omnes</w:t>
      </w:r>
      <w:r w:rsidRPr="4648AFAB" w:rsidR="00976102">
        <w:rPr>
          <w:rFonts w:cs="Arial"/>
        </w:rPr>
        <w:t xml:space="preserve"> e efeito vinculante para todo o Poder Judiciário e para os órgãos da Administração Pública, direta e indireta e não abrangendo o Poder Legislativo, ou seja sua eficácia apaga os efeitos anteriores de sua declaração, retornando ao status quo antigo.  </w:t>
      </w:r>
    </w:p>
    <w:p w:rsidR="00976102" w:rsidP="00976102" w:rsidRDefault="00976102" w14:paraId="0BB14BED" w14:textId="77777777">
      <w:pPr>
        <w:rPr>
          <w:rFonts w:cs="Arial"/>
        </w:rPr>
      </w:pPr>
      <w:r>
        <w:rPr>
          <w:rFonts w:cs="Arial"/>
        </w:rPr>
        <w:t xml:space="preserve">Dessa maneira a ação de inconstitucionalidade direta preserva a supremacia constitucional, preservando a segurança jurídica do país pois impede decisões discrepantes sobre a constitucionalidade como ditam Dimilous e Lunardi (2016). </w:t>
      </w:r>
    </w:p>
    <w:p w:rsidR="00976102" w:rsidP="00976102" w:rsidRDefault="00976102" w14:paraId="2BBA759A" w14:textId="77777777">
      <w:pPr>
        <w:rPr>
          <w:rFonts w:cs="Arial"/>
        </w:rPr>
      </w:pPr>
      <w:r>
        <w:rPr>
          <w:rFonts w:cs="Arial"/>
        </w:rPr>
        <w:t xml:space="preserve">Seu controle foi introduzido no ordenamento brasileiro pela EC n°16, de 1965 que instituiu a representação contra inconstitucionalidade, a ser encaminhada ao Supremo Tribunal Federal pelo Procurador-Geral da República. A Constituição Federal de 1988 atribui a competência para seu julgamento ao STF. A regularização de seu rito veio com a Lei 9.868 de 1999. </w:t>
      </w:r>
    </w:p>
    <w:p w:rsidR="00976102" w:rsidP="00976102" w:rsidRDefault="00976102" w14:paraId="2B3E58C2" w14:textId="74379C1A">
      <w:pPr>
        <w:rPr>
          <w:rFonts w:cs="Arial"/>
        </w:rPr>
      </w:pPr>
      <w:r>
        <w:rPr>
          <w:rFonts w:cs="Arial"/>
        </w:rPr>
        <w:t>Os legitimados para propositura da ação direta de inconstitucionalidade são ditados pelo art. 103 da Constituição Federal e pela Lei 9.868, art</w:t>
      </w:r>
      <w:r w:rsidR="00EF0393">
        <w:rPr>
          <w:rFonts w:cs="Arial"/>
        </w:rPr>
        <w:t>.</w:t>
      </w:r>
      <w:r>
        <w:rPr>
          <w:rFonts w:cs="Arial"/>
        </w:rPr>
        <w:t xml:space="preserve"> 2°: </w:t>
      </w:r>
    </w:p>
    <w:p w:rsidR="00976102" w:rsidP="00976102" w:rsidRDefault="00976102" w14:paraId="6D58F0D6" w14:textId="57E33146">
      <w:pPr>
        <w:pStyle w:val="CITAOLONGA"/>
        <w:rPr>
          <w:rFonts w:cs="Arial"/>
          <w:szCs w:val="20"/>
        </w:rPr>
      </w:pPr>
      <w:r>
        <w:rPr>
          <w:rFonts w:cs="Arial"/>
          <w:szCs w:val="20"/>
        </w:rPr>
        <w:t>(a)</w:t>
      </w:r>
      <w:r w:rsidRPr="009E2F66">
        <w:rPr>
          <w:rFonts w:cs="Arial"/>
          <w:szCs w:val="20"/>
        </w:rPr>
        <w:t>o Presidente da República; (b) a Mesa do Senado Federal ou da Câmara dos Deputados;13 (c) a Mesa de Assembleia Legislativa ou da Câmara Legislativa do Distrito Federal;14 (d) o Governador de Estado ou do Distrito Federal; (e) o Procurador-Geral da República; (f) o Conselho Federal da Ordem dos Advogados do Brasil; (g) partido político com representação em pelo menos uma das Casas do Congresso Nacional; (h) confederação sindical ou entidade de classe de âmbito nacional.</w:t>
      </w:r>
    </w:p>
    <w:p w:rsidRPr="00DD3F31" w:rsidR="00976102" w:rsidP="00976102" w:rsidRDefault="00976102" w14:paraId="6F7E26EF" w14:textId="77777777">
      <w:pPr>
        <w:rPr>
          <w:rFonts w:cs="Arial"/>
        </w:rPr>
      </w:pPr>
      <w:r w:rsidRPr="00DD3F31">
        <w:rPr>
          <w:rFonts w:cs="Arial"/>
        </w:rPr>
        <w:t>Barroso</w:t>
      </w:r>
      <w:r>
        <w:rPr>
          <w:rFonts w:cs="Arial"/>
        </w:rPr>
        <w:t xml:space="preserve"> (2016)</w:t>
      </w:r>
      <w:r w:rsidRPr="00DD3F31">
        <w:rPr>
          <w:rFonts w:cs="Arial"/>
        </w:rPr>
        <w:t xml:space="preserve"> alude que o legitimado passivo da ação recai sobre os órgãos ou autoridades responsáveis pela lei ou ato normativo, qual deve prestar informações ao relator do processo. Sua defesa cabe ao Advogado-Geral da União, que seria o curador da presunção de constitucionalidade dos atos emanados do Poder Público. Pessoas privadas não podem ser parte passiva nesse caso. </w:t>
      </w:r>
    </w:p>
    <w:p w:rsidRPr="00DD3F31" w:rsidR="00976102" w:rsidP="00976102" w:rsidRDefault="00EF0393" w14:paraId="55A8A000" w14:textId="6769C083">
      <w:pPr>
        <w:rPr>
          <w:rFonts w:cs="Arial"/>
        </w:rPr>
      </w:pPr>
      <w:r>
        <w:rPr>
          <w:rFonts w:cs="Arial"/>
        </w:rPr>
        <w:t>A</w:t>
      </w:r>
      <w:r w:rsidRPr="00DD3F31" w:rsidR="00976102">
        <w:rPr>
          <w:rFonts w:cs="Arial"/>
        </w:rPr>
        <w:t xml:space="preserve">inda ressalta que em relação a legitimação ativa para propositura da ação direta de inconstitucionalidade houve a maior transformação no exercício da jurisdição constitucional brasileira de 1965 até a atual Constituição Federal de 1988. Já que antes da mesma, a deflagração do controle abstrato e concentrado de constitucionalidade era privativa do Procurador-Geral da República, além de que durante este período a jurisprudência do Supremo Tribunal Federal firmava-se no sentido da plena discricionaridade do chefe do Ministério Público, sem </w:t>
      </w:r>
      <w:r w:rsidR="00976102">
        <w:rPr>
          <w:rFonts w:cs="Arial"/>
        </w:rPr>
        <w:t xml:space="preserve">considerar </w:t>
      </w:r>
      <w:r w:rsidRPr="00DD3F31" w:rsidR="00976102">
        <w:rPr>
          <w:rFonts w:cs="Arial"/>
        </w:rPr>
        <w:t xml:space="preserve">posições doutrinárias importantes em sentido diverso. Sendo desse modo árbitro exclusivo e final acerca da submissão. </w:t>
      </w:r>
    </w:p>
    <w:p w:rsidRPr="00976102" w:rsidR="00976102" w:rsidP="00976102" w:rsidRDefault="00976102" w14:paraId="48B9B67E" w14:textId="410EFF89">
      <w:r w:rsidRPr="00DD3F31">
        <w:rPr>
          <w:rFonts w:cs="Arial"/>
        </w:rPr>
        <w:t>A atual Constituição de 1988 suprimiu este monopólio apontado por Barroso</w:t>
      </w:r>
      <w:r>
        <w:rPr>
          <w:rFonts w:cs="Arial"/>
        </w:rPr>
        <w:t xml:space="preserve"> (2016)</w:t>
      </w:r>
      <w:r w:rsidRPr="00DD3F31">
        <w:rPr>
          <w:rFonts w:cs="Arial"/>
        </w:rPr>
        <w:t xml:space="preserve"> com amplificação expressiva do elenco de legitimados ativos para propositura da ação direta, enunciada no art. 103. Qual conforme a jurisprudência do Supremo Tribunal Federal há a distinção entre legitimados universais que são aqueles qual o papel institucional autoriza a defesa da Constituição em toda hipótese e os especiais que são os órgãos e entidades cuja atuação é restrita às questões que repercutem diretamente sobre sua esfera jurídica.</w:t>
      </w:r>
    </w:p>
    <w:p w:rsidR="00976102" w:rsidP="00976102" w:rsidRDefault="00976102" w14:paraId="57F501F5" w14:textId="77777777">
      <w:pPr>
        <w:rPr>
          <w:rFonts w:cs="Arial"/>
        </w:rPr>
      </w:pPr>
    </w:p>
    <w:p w:rsidR="004923B9" w:rsidP="00BD1B1E" w:rsidRDefault="001B07DB" w14:paraId="6DAFBAF0" w14:textId="1EEF819C">
      <w:pPr>
        <w:pStyle w:val="Ttulo2"/>
        <w:rPr>
          <w:b w:val="0"/>
          <w:bCs w:val="0"/>
        </w:rPr>
      </w:pPr>
      <w:bookmarkStart w:name="_Toc917731428" w:id="884283760"/>
      <w:r w:rsidR="377DE7A3">
        <w:rPr>
          <w:b w:val="0"/>
          <w:bCs w:val="0"/>
        </w:rPr>
        <w:t>3.2. A</w:t>
      </w:r>
      <w:r w:rsidR="377DE7A3">
        <w:rPr>
          <w:b w:val="0"/>
          <w:bCs w:val="0"/>
        </w:rPr>
        <w:t>ÇÃO DECLARATÓRIA DE CONSTITUCIONALIDADE</w:t>
      </w:r>
      <w:bookmarkEnd w:id="884283760"/>
      <w:r w:rsidR="377DE7A3">
        <w:rPr>
          <w:b w:val="0"/>
          <w:bCs w:val="0"/>
        </w:rPr>
        <w:t xml:space="preserve"> </w:t>
      </w:r>
    </w:p>
    <w:p w:rsidR="00976102" w:rsidP="00976102" w:rsidRDefault="00976102" w14:paraId="2ADEB40D" w14:textId="77777777">
      <w:pPr>
        <w:rPr>
          <w:rFonts w:cs="Arial"/>
        </w:rPr>
      </w:pPr>
      <w:r>
        <w:rPr>
          <w:rFonts w:cs="Arial"/>
        </w:rPr>
        <w:t xml:space="preserve">A ação declaratória de constitucionalidade foi criada na Emenda Constitucional n°3, de março de 1993. Segundo Barroso (2016) esta não apresenta similaridade rigorosa próxima no direito comparado por mais que alguns autores indiquem que há sim precedentes no direito brasileiro. </w:t>
      </w:r>
    </w:p>
    <w:p w:rsidR="00976102" w:rsidP="00976102" w:rsidRDefault="00976102" w14:paraId="3CAE192F" w14:textId="77777777">
      <w:pPr>
        <w:tabs>
          <w:tab w:val="left" w:pos="5004"/>
        </w:tabs>
        <w:rPr>
          <w:rFonts w:cs="Arial"/>
        </w:rPr>
      </w:pPr>
      <w:r>
        <w:rPr>
          <w:rFonts w:cs="Arial"/>
        </w:rPr>
        <w:t xml:space="preserve">Sua criação deve-se a constatação que sem o embargo da presunção de constitucionalidade que acompanha os atos normativos do Poder Público, pode se tornar controvertida em várias situações. Com a ação declaratória de constitucionalidade é afastada a incerteza jurídica e estabelece a interpretação homogênea na matéria. </w:t>
      </w:r>
    </w:p>
    <w:p w:rsidR="00976102" w:rsidP="00976102" w:rsidRDefault="00976102" w14:paraId="7E08FE55" w14:textId="77777777">
      <w:pPr>
        <w:tabs>
          <w:tab w:val="left" w:pos="5004"/>
        </w:tabs>
        <w:rPr>
          <w:rFonts w:cs="Arial"/>
        </w:rPr>
      </w:pPr>
      <w:r>
        <w:rPr>
          <w:rFonts w:cs="Arial"/>
        </w:rPr>
        <w:t xml:space="preserve">O Supremo Tribunal Federal postula esse mecanismo, e define a compatibilidade da norma infraconstitucional e a Constituição, desta maneira ratifica a presunção da norma. Barroso (2016) aponta que em sua promulgação, foi amplamente contestada pela doutrina pela não conformação às limitações materiais do poder da emenda. Na época foi vista como violação à separação dos Poderes, </w:t>
      </w:r>
      <w:r>
        <w:rPr>
          <w:rFonts w:cs="Arial"/>
        </w:rPr>
        <w:t xml:space="preserve">acesso ao Judiciário, ao devido processo legal, ao contraditório e ampla defesa. No entanto foram rejeitadas pelo Supremo Tribunal Federal com a tese que o controle concentrado de constitucionalidade é processo de natureza objetiva, dessa maneira não sendo aplicado os preceitos constitucionais para os casos de processos subjetivos. </w:t>
      </w:r>
    </w:p>
    <w:p w:rsidR="00976102" w:rsidP="00976102" w:rsidRDefault="00976102" w14:paraId="3A11F00D" w14:textId="77777777">
      <w:pPr>
        <w:tabs>
          <w:tab w:val="left" w:pos="5004"/>
        </w:tabs>
        <w:rPr>
          <w:rFonts w:cs="Arial"/>
        </w:rPr>
      </w:pPr>
      <w:r>
        <w:rPr>
          <w:rFonts w:cs="Arial"/>
        </w:rPr>
        <w:t>A ação declaratória é modalidade de controle por via principal, concentrado e abstrato sendo sua competência para julgar e processar do Supremo Tribunal Federal. Conforme dita a Constituição Federal no art. 102, I, a, na redação da Emenda Constitucional n°3/93.</w:t>
      </w:r>
    </w:p>
    <w:p w:rsidR="00976102" w:rsidP="00976102" w:rsidRDefault="00976102" w14:paraId="0DB9D5D6" w14:textId="3A8892D5">
      <w:pPr>
        <w:pStyle w:val="CITAOLONGA"/>
      </w:pPr>
      <w:r>
        <w:t>Art. 102. Compete ao Supremo Tribunal Federal, precipuamente, a guarda da Constituição, cabendo-lhe:</w:t>
      </w:r>
    </w:p>
    <w:p w:rsidR="00976102" w:rsidP="00976102" w:rsidRDefault="00976102" w14:paraId="2D4D2924" w14:textId="77777777">
      <w:pPr>
        <w:pStyle w:val="CITAOLONGA"/>
      </w:pPr>
      <w:r>
        <w:t xml:space="preserve"> I — processar e julgar, originariamente: </w:t>
      </w:r>
    </w:p>
    <w:p w:rsidR="00BD1B1E" w:rsidP="00976102" w:rsidRDefault="00976102" w14:paraId="35D377C9" w14:textId="02E23143">
      <w:pPr>
        <w:pStyle w:val="CITAOLONGA"/>
      </w:pPr>
      <w:r>
        <w:t>a ação direta de inconstitucionalidade de lei ou ato normativo federal ou estadual e a ação declaratória de constitucionalidade de lei ou ato normativo federal;</w:t>
      </w:r>
      <w:r w:rsidR="00BD1B1E">
        <w:t>.</w:t>
      </w:r>
    </w:p>
    <w:p w:rsidR="00976102" w:rsidP="00976102" w:rsidRDefault="00976102" w14:paraId="585F7B90" w14:textId="77777777">
      <w:pPr>
        <w:tabs>
          <w:tab w:val="left" w:pos="5004"/>
        </w:tabs>
        <w:rPr>
          <w:rFonts w:cs="Arial"/>
        </w:rPr>
      </w:pPr>
      <w:r>
        <w:rPr>
          <w:rFonts w:cs="Arial"/>
        </w:rPr>
        <w:t xml:space="preserve">Consoante com Mendes (2005) afirma que a ação declaratória de constitucionalidade torna-se possível ao Supremo Tribunal Federal por meio de medida cautela, determinando a juízes e tribunais a suspensão do julgamento dos processos que envolvam aplicação de lei ou ato normativo que seja objeto da ação declaratória até seu julgamento definitivo. </w:t>
      </w:r>
    </w:p>
    <w:p w:rsidR="00976102" w:rsidP="00976102" w:rsidRDefault="00976102" w14:paraId="62142757" w14:textId="77777777">
      <w:pPr>
        <w:tabs>
          <w:tab w:val="left" w:pos="5004"/>
        </w:tabs>
        <w:rPr>
          <w:rFonts w:cs="Arial"/>
        </w:rPr>
      </w:pPr>
      <w:r>
        <w:rPr>
          <w:rFonts w:cs="Arial"/>
        </w:rPr>
        <w:t xml:space="preserve">Assim como, na ação direta de inconstitucionalidade a ação declaratória de constitucionalidade possui eficácia </w:t>
      </w:r>
      <w:r w:rsidRPr="009E2F66">
        <w:rPr>
          <w:rFonts w:cs="Arial"/>
          <w:i/>
          <w:iCs/>
        </w:rPr>
        <w:t>ex tunc,</w:t>
      </w:r>
      <w:r>
        <w:rPr>
          <w:rFonts w:cs="Arial"/>
        </w:rPr>
        <w:t xml:space="preserve"> </w:t>
      </w:r>
      <w:r w:rsidRPr="00976102">
        <w:rPr>
          <w:rFonts w:cs="Arial"/>
          <w:i/>
          <w:iCs/>
        </w:rPr>
        <w:t>erga omnes</w:t>
      </w:r>
      <w:r>
        <w:rPr>
          <w:rFonts w:cs="Arial"/>
        </w:rPr>
        <w:t xml:space="preserve"> e efeito vinculante para todo Poder Judiciário, órgãos da Administração Pública, direta e indireta. Mendes (2005) ressalta que existe igual possibilidade de que em casos que a decisão </w:t>
      </w:r>
      <w:r w:rsidRPr="009E2F66">
        <w:rPr>
          <w:rFonts w:cs="Arial"/>
          <w:i/>
          <w:iCs/>
        </w:rPr>
        <w:t>ex tunc</w:t>
      </w:r>
      <w:r>
        <w:rPr>
          <w:rFonts w:cs="Arial"/>
        </w:rPr>
        <w:t xml:space="preserve"> trata-se de violação severa da segurança jurídica ou outro valor excepcional de interesse social, o Plenário do Tribunal pode modular os efeitos das decisões. </w:t>
      </w:r>
    </w:p>
    <w:p w:rsidRPr="00BD1B1E" w:rsidR="00BD1B1E" w:rsidP="00BD1B1E" w:rsidRDefault="00BD1B1E" w14:paraId="6CD9CC52" w14:textId="77777777"/>
    <w:p w:rsidR="377DE7A3" w:rsidP="377DE7A3" w:rsidRDefault="377DE7A3" w14:paraId="1C7CA139" w14:textId="09BD8CD3">
      <w:pPr>
        <w:pStyle w:val="Ttulo2"/>
        <w:rPr>
          <w:b w:val="0"/>
          <w:bCs w:val="0"/>
        </w:rPr>
      </w:pPr>
    </w:p>
    <w:p w:rsidR="00353BEE" w:rsidP="00BD1B1E" w:rsidRDefault="001B07DB" w14:paraId="6310BAFD" w14:textId="4550E329">
      <w:pPr>
        <w:pStyle w:val="Ttulo2"/>
        <w:rPr>
          <w:b w:val="0"/>
          <w:bCs w:val="0"/>
        </w:rPr>
      </w:pPr>
      <w:bookmarkStart w:name="_Toc734697434" w:id="789158831"/>
      <w:r w:rsidR="377DE7A3">
        <w:rPr>
          <w:b w:val="0"/>
          <w:bCs w:val="0"/>
        </w:rPr>
        <w:t>3.3.</w:t>
      </w:r>
      <w:r w:rsidR="377DE7A3">
        <w:rPr>
          <w:b w:val="0"/>
          <w:bCs w:val="0"/>
        </w:rPr>
        <w:t xml:space="preserve"> </w:t>
      </w:r>
      <w:r w:rsidR="377DE7A3">
        <w:rPr>
          <w:b w:val="0"/>
          <w:bCs w:val="0"/>
        </w:rPr>
        <w:t xml:space="preserve">DECLARAÇÃO PARCIAL DE INCOSTITUCIONALIDADE CONFORME O TEXTO, INTERPRETAÇÃO CONFORME A CF E A </w:t>
      </w:r>
      <w:r w:rsidR="377DE7A3">
        <w:rPr>
          <w:b w:val="0"/>
          <w:bCs w:val="0"/>
        </w:rPr>
        <w:t>A</w:t>
      </w:r>
      <w:r w:rsidR="377DE7A3">
        <w:rPr>
          <w:b w:val="0"/>
          <w:bCs w:val="0"/>
        </w:rPr>
        <w:t>DPF</w:t>
      </w:r>
      <w:bookmarkEnd w:id="789158831"/>
      <w:r w:rsidR="377DE7A3">
        <w:rPr>
          <w:b w:val="0"/>
          <w:bCs w:val="0"/>
        </w:rPr>
        <w:t xml:space="preserve"> </w:t>
      </w:r>
    </w:p>
    <w:p w:rsidR="00976102" w:rsidP="00976102" w:rsidRDefault="00976102" w14:paraId="210D3D51" w14:textId="77777777">
      <w:pPr>
        <w:rPr>
          <w:rFonts w:cs="Arial"/>
        </w:rPr>
      </w:pPr>
      <w:r>
        <w:rPr>
          <w:rFonts w:cs="Arial"/>
        </w:rPr>
        <w:t xml:space="preserve">A declaração parcial de inconstitucionalidade conforme o texto é aplicada quando o texto da lei pode ter mais de uma interpretação e somente um deles é de fato constitucional, Barroso e Mello (2019) evidenciam que nesse caso o texto da norma não será afastado, somente uma de suas interpretações. </w:t>
      </w:r>
    </w:p>
    <w:p w:rsidR="00976102" w:rsidP="00BD1B1E" w:rsidRDefault="00976102" w14:paraId="46BA5BF5" w14:textId="77777777">
      <w:pPr>
        <w:pStyle w:val="CITAOLONGA"/>
      </w:pPr>
    </w:p>
    <w:p w:rsidR="00976102" w:rsidP="00BD1B1E" w:rsidRDefault="00976102" w14:paraId="48A2679A" w14:textId="3D12520A">
      <w:pPr>
        <w:pStyle w:val="CITAOLONGA"/>
      </w:pPr>
      <w:r w:rsidRPr="00976102">
        <w:t>A declaração de inconstitucionalidade parcial sem redução de texto é a técnica utilizada quando a norma comporta mais de um sentido possível e o Tribunal declara a inconstitucionalidade de um deles. Nessa hipótese, o texto da norma não será afetado, mas um de seus significados será afastado, por violar a Constituição</w:t>
      </w:r>
      <w:r>
        <w:t>.</w:t>
      </w:r>
      <w:r w:rsidRPr="00560677" w:rsidR="00560677">
        <w:t xml:space="preserve"> </w:t>
      </w:r>
      <w:r w:rsidR="00560677">
        <w:t>(Barroso e Mello, 2019, p</w:t>
      </w:r>
      <w:r w:rsidR="000915D4">
        <w:t>g.305</w:t>
      </w:r>
      <w:r w:rsidR="00560677">
        <w:t>)</w:t>
      </w:r>
    </w:p>
    <w:p w:rsidR="00976102" w:rsidP="00BD1B1E" w:rsidRDefault="00976102" w14:paraId="4B87CE0E" w14:textId="77777777">
      <w:pPr>
        <w:pStyle w:val="CITAOLONGA"/>
      </w:pPr>
    </w:p>
    <w:p w:rsidR="00976102" w:rsidP="00976102" w:rsidRDefault="00976102" w14:paraId="6ACAF78F" w14:textId="162F3822">
      <w:r w:rsidRPr="00976102">
        <w:t>As decisões interpretativas conforme Barroso e Mello (2019) são aquelas que definem o sentido da norma conforme a interpretação que pode ser retirada de seu enunciado normativo</w:t>
      </w:r>
      <w:r>
        <w:t>.</w:t>
      </w:r>
    </w:p>
    <w:p w:rsidR="00BD1B1E" w:rsidP="00BD1B1E" w:rsidRDefault="00976102" w14:paraId="43072323" w14:textId="05462180">
      <w:pPr>
        <w:pStyle w:val="CITAOLONGA"/>
      </w:pPr>
      <w:r w:rsidRPr="00976102">
        <w:t>As decisões interpretativas, como explicitado acima, são aquelas que definem o sentido da norma com base em uma interpretação que poderia ser extraída de seu enunciado normativo. Constituem espécies desse gênero: (i) a interpretação conforme à Constituição; (ii) a declaração de inconstitucionalidade parcial sem redução de texto.</w:t>
      </w:r>
      <w:r w:rsidR="00560677">
        <w:t xml:space="preserve"> (Barroso e Mello, 2019, </w:t>
      </w:r>
      <w:r w:rsidR="000915D4">
        <w:t>pg.302</w:t>
      </w:r>
      <w:r w:rsidR="00560677">
        <w:t>)</w:t>
      </w:r>
    </w:p>
    <w:p w:rsidR="00976102" w:rsidP="00976102" w:rsidRDefault="00976102" w14:paraId="5F4E71B8" w14:textId="77777777">
      <w:r>
        <w:t xml:space="preserve">As decisões interpretativas, como explicitado acima, são aquelas que definem o sentido da norma com base em uma interpretação que poderia ser extraída de seu enunciado normativo. Constituem espécies desse gênero: (i) a interpretação conforme à Constituição; (ii) a declaração de inconstitucionalidade parcial sem redução de texto. </w:t>
      </w:r>
    </w:p>
    <w:p w:rsidR="00976102" w:rsidP="00976102" w:rsidRDefault="00976102" w14:paraId="5F6D9076" w14:textId="77777777"/>
    <w:p w:rsidR="00976102" w:rsidP="00976102" w:rsidRDefault="00976102" w14:paraId="094BD8EF" w14:textId="77777777">
      <w:r>
        <w:t xml:space="preserve">Conforme Barroso e Mello (2019) a técnica pode realizar a declaração de inconstitucionalidade parcial sem a redução do texto da lei. Nessa situação ao mesmo tempo que a norma é explicitamente declarada constitucional, há o direcionamento de qual interpretação também é constitucional, excluindo a interpretação que tem reputação inconstitucional. </w:t>
      </w:r>
    </w:p>
    <w:p w:rsidR="00976102" w:rsidP="00976102" w:rsidRDefault="00976102" w14:paraId="3DCE090A" w14:textId="77777777">
      <w:r>
        <w:t>Um exemplo qual Barroso e Mello (2019) traz à tona é o caso da decisão proferida pelo Supremo Tribunal Federal na Adin 2684, onde foi debatido o art. 114, I, IV e IX com a redação da Emenda Constitucional n° 45/2004 onde foi atribuída a exercício de jurisdição penal para Justiça do trabalho de forma bem genérica sobre a competência. O que gerava o entendimento que a jurisdição trabalhista poderia abranger situações que versassem do direito do trabalho quanto que decorressem deste.</w:t>
      </w:r>
    </w:p>
    <w:p w:rsidR="00976102" w:rsidP="00976102" w:rsidRDefault="00976102" w14:paraId="243D91A9" w14:textId="77777777">
      <w:r>
        <w:t xml:space="preserve">O STF compreendeu que tal entendimento só poderia ser realizado da primeira situação, já que conforme seu entendimento o segundo caso violaria princípios de constitucionalidade da legalidade e do juiz natural. </w:t>
      </w:r>
    </w:p>
    <w:p w:rsidR="004A04D3" w:rsidP="4648AFAB" w:rsidRDefault="004A04D3" w14:paraId="246E7C8E" w14:textId="54FD4027">
      <w:pPr/>
      <w:r w:rsidR="377DE7A3">
        <w:rPr/>
        <w:t>Outro elemento a ser comentado, que é evidente a proximidade entre a interpretação conforme a Constituição e a inconstitucionalidade parcial conforme o texto, sendo que alguns autores as equiparam alegando a interpretação conforme o Tribunal, por consequência evidencia descarte das demais interpretações conforme (Barroso, 2016)</w:t>
      </w:r>
    </w:p>
    <w:p w:rsidR="377DE7A3" w:rsidRDefault="377DE7A3" w14:paraId="36FB57C8" w14:textId="54EE9AC5"/>
    <w:p w:rsidR="377DE7A3" w:rsidP="377DE7A3" w:rsidRDefault="377DE7A3" w14:paraId="3DA2308B" w14:textId="1ED780A5">
      <w:pPr>
        <w:pStyle w:val="Ttulo2"/>
        <w:rPr>
          <w:b w:val="0"/>
          <w:bCs w:val="0"/>
        </w:rPr>
      </w:pPr>
      <w:bookmarkStart w:name="_Toc2012821946" w:id="573398534"/>
      <w:r w:rsidR="377DE7A3">
        <w:rPr>
          <w:b w:val="0"/>
          <w:bCs w:val="0"/>
        </w:rPr>
        <w:t>3.4 EFEITOS TEMPORAIS EM DECISÕES ABSTRATAS</w:t>
      </w:r>
      <w:bookmarkEnd w:id="573398534"/>
      <w:r w:rsidR="377DE7A3">
        <w:rPr>
          <w:b w:val="0"/>
          <w:bCs w:val="0"/>
        </w:rPr>
        <w:t xml:space="preserve"> </w:t>
      </w:r>
    </w:p>
    <w:p w:rsidR="377DE7A3" w:rsidP="377DE7A3" w:rsidRDefault="377DE7A3" w14:paraId="73198A1A" w14:textId="5836B565">
      <w:pPr>
        <w:pStyle w:val="Normal"/>
        <w:rPr>
          <w:i w:val="1"/>
          <w:iCs w:val="1"/>
        </w:rPr>
      </w:pPr>
      <w:r w:rsidR="377DE7A3">
        <w:rPr/>
        <w:t xml:space="preserve">Em regra geral, os efeitos são </w:t>
      </w:r>
      <w:r w:rsidRPr="377DE7A3" w:rsidR="377DE7A3">
        <w:rPr>
          <w:i w:val="1"/>
          <w:iCs w:val="1"/>
        </w:rPr>
        <w:t>ex tunc</w:t>
      </w:r>
      <w:r w:rsidR="377DE7A3">
        <w:rPr/>
        <w:t xml:space="preserve"> e </w:t>
      </w:r>
      <w:r w:rsidRPr="377DE7A3" w:rsidR="377DE7A3">
        <w:rPr>
          <w:i w:val="1"/>
          <w:iCs w:val="1"/>
        </w:rPr>
        <w:t>erga omnes</w:t>
      </w:r>
      <w:r w:rsidR="377DE7A3">
        <w:rPr/>
        <w:t xml:space="preserve"> dentro do controle abstrato, ou seja, é retroativa e para todos pois se trata de nulidade da lei inconstitucional. No entanto, o STF parou de seguir essa linha majoritária em casos excepcionais, tratando das modulações de efeito como é ilustrado por Dimoulis e Lunardi (2016).</w:t>
      </w:r>
    </w:p>
    <w:p w:rsidR="377DE7A3" w:rsidP="377DE7A3" w:rsidRDefault="377DE7A3" w14:paraId="2DD82881" w14:textId="5548962B">
      <w:pPr>
        <w:pStyle w:val="CITAOLONGA"/>
        <w:rPr>
          <w:rFonts w:cs="Arial"/>
        </w:rPr>
      </w:pPr>
      <w:r w:rsidRPr="377DE7A3" w:rsidR="377DE7A3">
        <w:rPr>
          <w:noProof w:val="0"/>
          <w:lang w:val="pt-BR"/>
        </w:rPr>
        <w:t xml:space="preserve">Os </w:t>
      </w:r>
      <w:r w:rsidRPr="377DE7A3" w:rsidR="377DE7A3">
        <w:rPr>
          <w:noProof w:val="0"/>
          <w:lang w:val="pt-BR"/>
        </w:rPr>
        <w:t>arts</w:t>
      </w:r>
      <w:r w:rsidRPr="377DE7A3" w:rsidR="377DE7A3">
        <w:rPr>
          <w:noProof w:val="0"/>
          <w:lang w:val="pt-BR"/>
        </w:rPr>
        <w:t xml:space="preserve">. 27 da Lei 9.868344 e 11 da Lei 9.882 confirmam que a retroatividade das decisões de controle de constitucionalidade abstrato (efeito </w:t>
      </w:r>
      <w:r w:rsidRPr="377DE7A3" w:rsidR="377DE7A3">
        <w:rPr>
          <w:noProof w:val="0"/>
          <w:lang w:val="pt-BR"/>
        </w:rPr>
        <w:t>extunc</w:t>
      </w:r>
      <w:r w:rsidRPr="377DE7A3" w:rsidR="377DE7A3">
        <w:rPr>
          <w:noProof w:val="0"/>
          <w:lang w:val="pt-BR"/>
        </w:rPr>
        <w:t xml:space="preserve">) permanece como regra. Mas, ao mesmo tempo, adotam o modelo da modulação de efeitos. Quando se verifica situação peculiar (“razões de segurança jurídica ou de excepcional interesse social”), o Tribunal pode atribuir efeitos não retroativos à declaração de inconstitucionalidade, amenizando as suas consequências. </w:t>
      </w:r>
      <w:r w:rsidRPr="377DE7A3" w:rsidR="377DE7A3">
        <w:rPr>
          <w:rFonts w:cs="Arial"/>
          <w:sz w:val="20"/>
          <w:szCs w:val="20"/>
        </w:rPr>
        <w:t>(</w:t>
      </w:r>
      <w:r w:rsidRPr="377DE7A3" w:rsidR="377DE7A3">
        <w:rPr>
          <w:rFonts w:cs="Arial"/>
          <w:sz w:val="20"/>
          <w:szCs w:val="20"/>
        </w:rPr>
        <w:t>Dimoulis</w:t>
      </w:r>
      <w:r w:rsidRPr="377DE7A3" w:rsidR="377DE7A3">
        <w:rPr>
          <w:rFonts w:cs="Arial"/>
          <w:sz w:val="20"/>
          <w:szCs w:val="20"/>
        </w:rPr>
        <w:t xml:space="preserve"> e Lunardi, 2016, pg.181)</w:t>
      </w:r>
      <w:r w:rsidRPr="377DE7A3" w:rsidR="377DE7A3">
        <w:rPr>
          <w:noProof w:val="0"/>
          <w:lang w:val="pt-BR"/>
        </w:rPr>
        <w:t xml:space="preserve"> </w:t>
      </w:r>
    </w:p>
    <w:p w:rsidR="377DE7A3" w:rsidP="377DE7A3" w:rsidRDefault="377DE7A3" w14:paraId="4971B8D3" w14:textId="5CF32A51">
      <w:pPr>
        <w:pStyle w:val="Normal"/>
      </w:pPr>
      <w:r w:rsidR="377DE7A3">
        <w:rPr/>
        <w:t>Portanto dessa maneira a lei em vez de ter seus efeitos completamente revogados de forma retroativa passa a ser depois do trânsito em julgado, ou do momento anterior ao trânsito em julgado a partir da liminar do STF, outro exemplo é do momento posterior à sua decisão final sendo necessário ser fixada pelo tribunal o momento em qual essa lei estava vigente, preservando a situação criada pela lei inconstitucional.</w:t>
      </w:r>
    </w:p>
    <w:p w:rsidR="377DE7A3" w:rsidP="377DE7A3" w:rsidRDefault="377DE7A3" w14:paraId="623D7BFB" w14:textId="32F384C5">
      <w:pPr>
        <w:pStyle w:val="Normal"/>
        <w:rPr>
          <w:i w:val="0"/>
          <w:iCs w:val="0"/>
        </w:rPr>
      </w:pPr>
      <w:r w:rsidR="377DE7A3">
        <w:rPr/>
        <w:t xml:space="preserve">A partir de 2015 o STF aborda a modulação do tempo como uma advertência assim constata a invalidade da norma, após para proteger a segurança jurídica deixa de atribuir o efeito </w:t>
      </w:r>
      <w:r w:rsidRPr="377DE7A3" w:rsidR="377DE7A3">
        <w:rPr>
          <w:i w:val="1"/>
          <w:iCs w:val="1"/>
        </w:rPr>
        <w:t>ex</w:t>
      </w:r>
      <w:r w:rsidRPr="377DE7A3" w:rsidR="377DE7A3">
        <w:rPr>
          <w:i w:val="1"/>
          <w:iCs w:val="1"/>
        </w:rPr>
        <w:t xml:space="preserve"> </w:t>
      </w:r>
      <w:r w:rsidRPr="377DE7A3" w:rsidR="377DE7A3">
        <w:rPr>
          <w:i w:val="1"/>
          <w:iCs w:val="1"/>
        </w:rPr>
        <w:t>tunc</w:t>
      </w:r>
      <w:r w:rsidRPr="377DE7A3" w:rsidR="377DE7A3">
        <w:rPr>
          <w:i w:val="1"/>
          <w:iCs w:val="1"/>
        </w:rPr>
        <w:t xml:space="preserve"> </w:t>
      </w:r>
      <w:r w:rsidRPr="377DE7A3" w:rsidR="377DE7A3">
        <w:rPr>
          <w:i w:val="0"/>
          <w:iCs w:val="0"/>
        </w:rPr>
        <w:t>e em seguida aponta que o efeito</w:t>
      </w:r>
      <w:r w:rsidRPr="377DE7A3" w:rsidR="377DE7A3">
        <w:rPr>
          <w:i w:val="1"/>
          <w:iCs w:val="1"/>
        </w:rPr>
        <w:t xml:space="preserve"> </w:t>
      </w:r>
      <w:r w:rsidRPr="377DE7A3" w:rsidR="377DE7A3">
        <w:rPr>
          <w:i w:val="1"/>
          <w:iCs w:val="1"/>
        </w:rPr>
        <w:t>ex</w:t>
      </w:r>
      <w:r w:rsidRPr="377DE7A3" w:rsidR="377DE7A3">
        <w:rPr>
          <w:i w:val="1"/>
          <w:iCs w:val="1"/>
        </w:rPr>
        <w:t xml:space="preserve"> nunc</w:t>
      </w:r>
      <w:r w:rsidRPr="377DE7A3" w:rsidR="377DE7A3">
        <w:rPr>
          <w:i w:val="0"/>
          <w:iCs w:val="0"/>
        </w:rPr>
        <w:t xml:space="preserve"> ou para frente iria afetar o Poder Legislativo em sua independência. Por essa razão adverte o legislador apontando que caso incorra novamente essa norma será declarada de fato inválida. </w:t>
      </w:r>
    </w:p>
    <w:p w:rsidR="377DE7A3" w:rsidP="377DE7A3" w:rsidRDefault="377DE7A3" w14:paraId="5062900E" w14:textId="253502D6">
      <w:pPr>
        <w:pStyle w:val="Normal"/>
        <w:ind w:firstLine="0"/>
        <w:rPr>
          <w:b w:val="1"/>
          <w:bCs w:val="1"/>
        </w:rPr>
      </w:pPr>
    </w:p>
    <w:p w:rsidR="377DE7A3" w:rsidP="377DE7A3" w:rsidRDefault="377DE7A3" w14:paraId="3BB95F09" w14:textId="49EE3524">
      <w:pPr>
        <w:pStyle w:val="Normal"/>
        <w:ind w:firstLine="0"/>
        <w:rPr>
          <w:b w:val="1"/>
          <w:bCs w:val="1"/>
        </w:rPr>
      </w:pPr>
    </w:p>
    <w:p w:rsidR="004A04D3" w:rsidP="14269F47" w:rsidRDefault="004A04D3" w14:paraId="325D8F05" w14:textId="6069E3F4">
      <w:pPr>
        <w:ind w:firstLine="0"/>
        <w:rPr>
          <w:b w:val="1"/>
          <w:bCs w:val="1"/>
        </w:rPr>
      </w:pPr>
      <w:r w:rsidRPr="377DE7A3" w:rsidR="377DE7A3">
        <w:rPr>
          <w:b w:val="1"/>
          <w:bCs w:val="1"/>
        </w:rPr>
        <w:t xml:space="preserve">CONCLUSÃO </w:t>
      </w:r>
    </w:p>
    <w:p w:rsidR="14269F47" w:rsidRDefault="14269F47" w14:paraId="041E49A6" w14:textId="50C4045C"/>
    <w:p w:rsidR="004A04D3" w:rsidP="004A04D3" w:rsidRDefault="00864F94" w14:paraId="4EEDA71B" w14:textId="6B7E11E4">
      <w:r w:rsidRPr="00864F94">
        <w:t>O estudo realizado demonstra que o controle de constitucionalidade é o mecanismo fundamental para garantir a supremacia da Constituição Federal de 1988 e a manutenção do Estado Democrático de Direito. A análise dos fundamentos teóricos revelou que a rigidez constitucional e a hierarquia normativa são as premissas que sustentam a validade de todo o ordenamento jurídico, impedindo que atos normativos contrários ao texto constitucional subsistam.</w:t>
      </w:r>
    </w:p>
    <w:p w:rsidR="00864F94" w:rsidP="004A04D3" w:rsidRDefault="00864F94" w14:paraId="2082FA74" w14:textId="155FA146">
      <w:r w:rsidR="14269F47">
        <w:rPr/>
        <w:t xml:space="preserve">Observou-se que o sistema brasileiro possui uma natureza mista e complexa. No âmbito do controle difuso, destaca-se a importância da atuação de qualquer juiz ou tribunal em casos concretos, assegurando a proteção de direitos individuais de forma incidental como o caso do Juiz de </w:t>
      </w:r>
      <w:r w:rsidR="14269F47">
        <w:rPr/>
        <w:t>Biguiri</w:t>
      </w:r>
      <w:r w:rsidR="14269F47">
        <w:rPr/>
        <w:t xml:space="preserve"> ao Proteger o bem de </w:t>
      </w:r>
      <w:r w:rsidR="14269F47">
        <w:rPr/>
        <w:t>familia</w:t>
      </w:r>
      <w:r w:rsidR="14269F47">
        <w:rPr/>
        <w:t>. Assim como, a importância da observância da cláusula de reserva de plenário nos tribunais surge como um elemento essencial para a segurança jurídica, evitando decisões conflitantes dentro do mesmo órgão.</w:t>
      </w:r>
    </w:p>
    <w:p w:rsidRPr="00864F94" w:rsidR="00864F94" w:rsidP="00864F94" w:rsidRDefault="00864F94" w14:paraId="78F9B965" w14:textId="191E4364">
      <w:r w:rsidRPr="00864F94">
        <w:t>No que tange ao controle concentrado, as ações diretas perante o Supremo Tribunal Federal consolidam a guarda da Constituição de forma abstrata e objetiva, produzindo efeitos que vinculam toda a administração pública e o Judiciário. As técnicas de decisão, como a interpretação conforme a Constituição e a declaração de inconstitucionalidade parcial sem redução de texto, evidenciam o papel criativo e prudente da jurisdição constitucional ao buscar a preservação máxima das normas sempre que possível.</w:t>
      </w:r>
    </w:p>
    <w:p w:rsidRPr="00864F94" w:rsidR="00864F94" w:rsidP="00864F94" w:rsidRDefault="00864F94" w14:paraId="1F4A5101" w14:textId="0F031B38">
      <w:r w:rsidRPr="00864F94">
        <w:t>Em suma, o controle de constitucionalidade no Brasil não é apenas um conceito técnico, mas uma ferramenta viva de equilíbrio entre os Poderes. A integração entre os modelos americano e europeu permite que o sistema seja, ao mesmo tempo, acessível ao cidadão e eficiente na depuração do ordenamento jurídico, assegurando que a vontade do poder constituinte prevaleça sobre as maiorias ocasionais do poder legislativo.</w:t>
      </w:r>
    </w:p>
    <w:p w:rsidRPr="00864F94" w:rsidR="00864F94" w:rsidP="00864F94" w:rsidRDefault="00864F94" w14:paraId="011249D7" w14:textId="45CE0265"/>
    <w:p w:rsidR="00BD1B1E" w:rsidP="4648AFAB" w:rsidRDefault="00353BEE" w14:paraId="7B2CD288" w14:textId="40355074">
      <w:pPr>
        <w:pStyle w:val="Ttulo1"/>
        <w:ind w:firstLine="0"/>
      </w:pPr>
      <w:bookmarkStart w:name="_Toc211863586" w:id="13"/>
      <w:bookmarkStart w:name="_Toc109183109" w:id="1845848039"/>
      <w:r w:rsidR="377DE7A3">
        <w:rPr/>
        <w:t>REFERÊNCIAS</w:t>
      </w:r>
      <w:bookmarkEnd w:id="13"/>
      <w:bookmarkEnd w:id="1845848039"/>
    </w:p>
    <w:p w:rsidR="00976102" w:rsidP="4648AFAB" w:rsidRDefault="00976102" w14:paraId="53BCBA75" w14:textId="77777777">
      <w:pPr>
        <w:ind w:firstLine="0"/>
      </w:pPr>
      <w:r w:rsidR="00976102">
        <w:rPr/>
        <w:t>BARROSO, Luís Roberto. O controle de constitucionalidade no direito brasileiro. 7. ed. São Paulo: Saraiva, 2016.</w:t>
      </w:r>
    </w:p>
    <w:p w:rsidR="00976102" w:rsidP="00976102" w:rsidRDefault="00976102" w14:paraId="0A49EF67" w14:textId="77777777"/>
    <w:p w:rsidR="00EF0393" w:rsidP="00EF0393" w:rsidRDefault="000915D4" w14:paraId="6BE37AB1" w14:textId="35A83754">
      <w:pPr>
        <w:ind w:firstLine="0"/>
      </w:pPr>
      <w:r w:rsidRPr="000915D4">
        <w:t>BARROSO, Luís Roberto; MELLO, Patrícia Perrone Campos. O Papel Criativo Dos Tribunais: Técnicas De Decisão em Controle De Constitucionalidade. Revista da AJURIS, [s. l.], v. 46, n. 146, 2019. [Disponível em: https://revistadaajuris.ajuris.org.br/index.php/REVAJURIS/article/view/1049]. Acesso em: 20 de março de 2026</w:t>
      </w:r>
    </w:p>
    <w:p w:rsidR="000915D4" w:rsidP="00EF0393" w:rsidRDefault="000915D4" w14:paraId="11EEB308" w14:textId="77777777">
      <w:pPr>
        <w:ind w:firstLine="0"/>
      </w:pPr>
    </w:p>
    <w:p w:rsidR="00EF0393" w:rsidP="4648AFAB" w:rsidRDefault="00EF0393" w14:paraId="509FB258" w14:textId="3DA98297">
      <w:pPr>
        <w:ind w:firstLine="0"/>
      </w:pPr>
      <w:r w:rsidR="00EF0393">
        <w:rPr/>
        <w:t xml:space="preserve">BRASIL. Constituição (1988). Constituição da República Federativa do Brasil. Brasília, DF: Presidência da República. Disponível em: http://www.planalto.gov.br/ccivil_03/constituicao/constituicao.htm. Acesso em: </w:t>
      </w:r>
      <w:r w:rsidR="00EF0393">
        <w:rPr/>
        <w:t>25 de março de</w:t>
      </w:r>
      <w:r w:rsidR="00EF0393">
        <w:rPr/>
        <w:t xml:space="preserve"> 2026.</w:t>
      </w:r>
    </w:p>
    <w:p w:rsidR="00517FDD" w:rsidP="00976102" w:rsidRDefault="00517FDD" w14:paraId="61DFCC87" w14:textId="77777777"/>
    <w:p w:rsidR="00517FDD" w:rsidP="4648AFAB" w:rsidRDefault="00517FDD" w14:paraId="3E5F7142" w14:textId="6481C7ED">
      <w:pPr>
        <w:ind w:firstLine="0"/>
      </w:pPr>
      <w:r w:rsidR="00517FDD">
        <w:rPr/>
        <w:t xml:space="preserve">BRASIL. Supremo Tribunal Federal. Regimento interno do Supremo Tribunal Federal. Brasília, DF: Supremo Tribunal Federal, 1980. Disponível em: https://www.stf.jus.br/arquivo/cms/legislacaoRegimentoInterno/anexo/RISTF.pdf. Acesso em: </w:t>
      </w:r>
      <w:r w:rsidR="00517FDD">
        <w:rPr/>
        <w:t>20 de março de</w:t>
      </w:r>
      <w:r w:rsidR="00517FDD">
        <w:rPr/>
        <w:t xml:space="preserve"> 2026.</w:t>
      </w:r>
    </w:p>
    <w:p w:rsidR="00517FDD" w:rsidP="00976102" w:rsidRDefault="00517FDD" w14:paraId="59747A39" w14:textId="77777777"/>
    <w:p w:rsidR="00976102" w:rsidP="4648AFAB" w:rsidRDefault="00976102" w14:paraId="7B5F13EF" w14:textId="41A1061E">
      <w:pPr>
        <w:ind w:firstLine="0"/>
      </w:pPr>
      <w:r w:rsidR="00976102">
        <w:rPr/>
        <w:t>DIMOULIS, Dimitri; LUNARDI, Soraya. Curso de processo constitucional: controle de constitucionalidade e remédios constitucionais. 4. ed., rev., atual. e ampl. São Paulo: Atlas, 2016.</w:t>
      </w:r>
    </w:p>
    <w:p w:rsidR="00976102" w:rsidP="00976102" w:rsidRDefault="00976102" w14:paraId="098CAC31" w14:textId="77777777"/>
    <w:p w:rsidR="00976102" w:rsidP="4648AFAB" w:rsidRDefault="00976102" w14:paraId="74B68AB8" w14:textId="076AD303">
      <w:pPr>
        <w:ind w:firstLine="0"/>
      </w:pPr>
      <w:r w:rsidR="14269F47">
        <w:rPr/>
        <w:t>MENDES, Gilmar Ferreira. O Controle da Constitucionalidade no Brasil. [s. l.], 2005. Disponível em: [https://www.conjur.com.br/dl/gilmar-mendes-controle-constitucionalidade.pdf]. Acesso em: 01 set. 2025.</w:t>
      </w:r>
    </w:p>
    <w:p w:rsidR="00976102" w:rsidP="00976102" w:rsidRDefault="00976102" w14:paraId="19F4BA85" w14:textId="77777777"/>
    <w:p w:rsidR="00F837EE" w:rsidP="4648AFAB" w:rsidRDefault="00976102" w14:paraId="10B9E513" w14:textId="5CA43597">
      <w:pPr>
        <w:ind w:firstLine="0"/>
      </w:pPr>
      <w:r w:rsidR="00976102">
        <w:rPr/>
        <w:t>MENDES, Gilmar Ferreira. Controle de constitucionalidade. Caderno de Direito Constitucional. Módulo V. Porto Alegre: EMAGIS - Escola da Magistratura do Tribunal Regional Federal da 4ª Região, 2006.</w:t>
      </w:r>
    </w:p>
    <w:p w:rsidR="00517FDD" w:rsidP="00976102" w:rsidRDefault="00517FDD" w14:paraId="53F07177" w14:textId="77777777"/>
    <w:p w:rsidR="00517FDD" w:rsidP="4648AFAB" w:rsidRDefault="00517FDD" w14:paraId="25DFDB61" w14:textId="163CF9FD">
      <w:pPr>
        <w:ind w:firstLine="0"/>
      </w:pPr>
      <w:r w:rsidR="00517FDD">
        <w:rPr/>
        <w:t>MENDES, Gilmar</w:t>
      </w:r>
      <w:r w:rsidR="00517FDD">
        <w:rPr/>
        <w:t xml:space="preserve"> Ferreira</w:t>
      </w:r>
      <w:r w:rsidR="00517FDD">
        <w:rPr/>
        <w:t>. Controle de constitucionalidade: aspectos jurídicos e políticos. 2. ed. São Paulo: SaraivaJur, 2024.</w:t>
      </w:r>
    </w:p>
    <w:sectPr w:rsidR="00517FDD" w:rsidSect="006C760E">
      <w:footnotePr>
        <w:numRestart w:val="eachSect"/>
      </w:footnotePr>
      <w:pgSz w:w="11906" w:h="16838" w:orient="portrait" w:code="9"/>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52CA" w:rsidP="00D62B64" w:rsidRDefault="007F52CA" w14:paraId="27378C7D" w14:textId="77777777">
      <w:pPr>
        <w:spacing w:line="240" w:lineRule="auto"/>
      </w:pPr>
      <w:r>
        <w:separator/>
      </w:r>
    </w:p>
  </w:endnote>
  <w:endnote w:type="continuationSeparator" w:id="0">
    <w:p w:rsidR="007F52CA" w:rsidP="00D62B64" w:rsidRDefault="007F52CA" w14:paraId="61D26D8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grito">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52CA" w:rsidP="00D62B64" w:rsidRDefault="007F52CA" w14:paraId="646DA74F" w14:textId="77777777">
      <w:pPr>
        <w:spacing w:line="240" w:lineRule="auto"/>
        <w:ind w:firstLine="0"/>
      </w:pPr>
      <w:r>
        <w:separator/>
      </w:r>
    </w:p>
  </w:footnote>
  <w:footnote w:type="continuationSeparator" w:id="0">
    <w:p w:rsidR="007F52CA" w:rsidP="00D62B64" w:rsidRDefault="007F52CA" w14:paraId="09709733" w14:textId="77777777">
      <w:pPr>
        <w:spacing w:line="240" w:lineRule="auto"/>
      </w:pPr>
      <w:r>
        <w:continuationSeparator/>
      </w:r>
    </w:p>
  </w:footnote>
  <w:footnote w:id="1">
    <w:p w:rsidR="00271901" w:rsidRDefault="00271901" w14:paraId="20D8446A" w14:textId="203B004B">
      <w:pPr>
        <w:pStyle w:val="Textodenotaderodap"/>
      </w:pPr>
      <w:r>
        <w:rPr>
          <w:rStyle w:val="Refdenotaderodap"/>
        </w:rPr>
        <w:footnoteRef/>
      </w:r>
      <w:r>
        <w:t xml:space="preserve"> </w:t>
      </w:r>
      <w:r w:rsidRPr="00126715" w:rsidR="00126715">
        <w:t>Qualificação do autor.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D3DB6" w:rsidR="001D3DB6" w:rsidP="00612AF9" w:rsidRDefault="001D3DB6" w14:paraId="55F2CFE4" w14:textId="77777777">
    <w:pPr>
      <w:pStyle w:val="Cabealho"/>
      <w:ind w:firstLine="0"/>
      <w:jc w:val="right"/>
      <w:rPr>
        <w:sz w:val="22"/>
        <w:szCs w:val="22"/>
      </w:rPr>
    </w:pPr>
    <w:r w:rsidRPr="001D3DB6">
      <w:rPr>
        <w:sz w:val="22"/>
        <w:szCs w:val="22"/>
      </w:rPr>
      <w:fldChar w:fldCharType="begin"/>
    </w:r>
    <w:r w:rsidRPr="001D3DB6">
      <w:rPr>
        <w:sz w:val="22"/>
        <w:szCs w:val="22"/>
      </w:rPr>
      <w:instrText>PAGE   \* MERGEFORMAT</w:instrText>
    </w:r>
    <w:r w:rsidRPr="001D3DB6">
      <w:rPr>
        <w:sz w:val="22"/>
        <w:szCs w:val="22"/>
      </w:rPr>
      <w:fldChar w:fldCharType="separate"/>
    </w:r>
    <w:r w:rsidR="004E0B60">
      <w:rPr>
        <w:noProof/>
        <w:sz w:val="22"/>
        <w:szCs w:val="22"/>
      </w:rPr>
      <w:t>18</w:t>
    </w:r>
    <w:r w:rsidRPr="001D3DB6">
      <w:rPr>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12AF9" w:rsidR="00612AF9" w:rsidP="00612AF9" w:rsidRDefault="00612AF9" w14:paraId="2450580C" w14:textId="77777777">
    <w:pPr>
      <w:pStyle w:val="Cabealho"/>
      <w:ind w:firstLine="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5933"/>
    <w:multiLevelType w:val="multilevel"/>
    <w:tmpl w:val="682E0A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19687C"/>
    <w:multiLevelType w:val="hybridMultilevel"/>
    <w:tmpl w:val="879024B6"/>
    <w:lvl w:ilvl="0" w:tplc="743694B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0CDCAEE6"/>
    <w:multiLevelType w:val="hybridMultilevel"/>
    <w:tmpl w:val="FFFFFFFF"/>
    <w:lvl w:ilvl="0" w:tplc="EBDCF3B8">
      <w:start w:val="1"/>
      <w:numFmt w:val="bullet"/>
      <w:lvlText w:val=""/>
      <w:lvlJc w:val="left"/>
      <w:pPr>
        <w:ind w:left="1069" w:hanging="360"/>
      </w:pPr>
      <w:rPr>
        <w:rFonts w:hint="default" w:ascii="Symbol" w:hAnsi="Symbol"/>
      </w:rPr>
    </w:lvl>
    <w:lvl w:ilvl="1" w:tplc="9FBC58CE">
      <w:start w:val="1"/>
      <w:numFmt w:val="bullet"/>
      <w:lvlText w:val="o"/>
      <w:lvlJc w:val="left"/>
      <w:pPr>
        <w:ind w:left="1789" w:hanging="360"/>
      </w:pPr>
      <w:rPr>
        <w:rFonts w:hint="default" w:ascii="Courier New" w:hAnsi="Courier New"/>
      </w:rPr>
    </w:lvl>
    <w:lvl w:ilvl="2" w:tplc="34483EAC">
      <w:start w:val="1"/>
      <w:numFmt w:val="bullet"/>
      <w:lvlText w:val=""/>
      <w:lvlJc w:val="left"/>
      <w:pPr>
        <w:ind w:left="2509" w:hanging="360"/>
      </w:pPr>
      <w:rPr>
        <w:rFonts w:hint="default" w:ascii="Wingdings" w:hAnsi="Wingdings"/>
      </w:rPr>
    </w:lvl>
    <w:lvl w:ilvl="3" w:tplc="AFF6EB60">
      <w:start w:val="1"/>
      <w:numFmt w:val="bullet"/>
      <w:lvlText w:val=""/>
      <w:lvlJc w:val="left"/>
      <w:pPr>
        <w:ind w:left="3229" w:hanging="360"/>
      </w:pPr>
      <w:rPr>
        <w:rFonts w:hint="default" w:ascii="Symbol" w:hAnsi="Symbol"/>
      </w:rPr>
    </w:lvl>
    <w:lvl w:ilvl="4" w:tplc="601214C8">
      <w:start w:val="1"/>
      <w:numFmt w:val="bullet"/>
      <w:lvlText w:val="o"/>
      <w:lvlJc w:val="left"/>
      <w:pPr>
        <w:ind w:left="3949" w:hanging="360"/>
      </w:pPr>
      <w:rPr>
        <w:rFonts w:hint="default" w:ascii="Courier New" w:hAnsi="Courier New"/>
      </w:rPr>
    </w:lvl>
    <w:lvl w:ilvl="5" w:tplc="8EAE26FE">
      <w:start w:val="1"/>
      <w:numFmt w:val="bullet"/>
      <w:lvlText w:val=""/>
      <w:lvlJc w:val="left"/>
      <w:pPr>
        <w:ind w:left="4669" w:hanging="360"/>
      </w:pPr>
      <w:rPr>
        <w:rFonts w:hint="default" w:ascii="Wingdings" w:hAnsi="Wingdings"/>
      </w:rPr>
    </w:lvl>
    <w:lvl w:ilvl="6" w:tplc="34728688">
      <w:start w:val="1"/>
      <w:numFmt w:val="bullet"/>
      <w:lvlText w:val=""/>
      <w:lvlJc w:val="left"/>
      <w:pPr>
        <w:ind w:left="5389" w:hanging="360"/>
      </w:pPr>
      <w:rPr>
        <w:rFonts w:hint="default" w:ascii="Symbol" w:hAnsi="Symbol"/>
      </w:rPr>
    </w:lvl>
    <w:lvl w:ilvl="7" w:tplc="AABC8070">
      <w:start w:val="1"/>
      <w:numFmt w:val="bullet"/>
      <w:lvlText w:val="o"/>
      <w:lvlJc w:val="left"/>
      <w:pPr>
        <w:ind w:left="6109" w:hanging="360"/>
      </w:pPr>
      <w:rPr>
        <w:rFonts w:hint="default" w:ascii="Courier New" w:hAnsi="Courier New"/>
      </w:rPr>
    </w:lvl>
    <w:lvl w:ilvl="8" w:tplc="EDB62842">
      <w:start w:val="1"/>
      <w:numFmt w:val="bullet"/>
      <w:lvlText w:val=""/>
      <w:lvlJc w:val="left"/>
      <w:pPr>
        <w:ind w:left="6829" w:hanging="360"/>
      </w:pPr>
      <w:rPr>
        <w:rFonts w:hint="default" w:ascii="Wingdings" w:hAnsi="Wingdings"/>
      </w:rPr>
    </w:lvl>
  </w:abstractNum>
  <w:abstractNum w:abstractNumId="3" w15:restartNumberingAfterBreak="0">
    <w:nsid w:val="136C49EE"/>
    <w:multiLevelType w:val="multilevel"/>
    <w:tmpl w:val="EC8E8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9C02038"/>
    <w:multiLevelType w:val="hybridMultilevel"/>
    <w:tmpl w:val="C1AA0878"/>
    <w:lvl w:ilvl="0" w:tplc="8216196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15:restartNumberingAfterBreak="0">
    <w:nsid w:val="1B2F075C"/>
    <w:multiLevelType w:val="hybridMultilevel"/>
    <w:tmpl w:val="8C0A02BA"/>
    <w:lvl w:ilvl="0" w:tplc="A59CD5E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1D14E0"/>
    <w:multiLevelType w:val="multilevel"/>
    <w:tmpl w:val="1E22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512CC1"/>
    <w:multiLevelType w:val="multilevel"/>
    <w:tmpl w:val="2EF8538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B59361D"/>
    <w:multiLevelType w:val="multilevel"/>
    <w:tmpl w:val="4CBC1E2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957D4B"/>
    <w:multiLevelType w:val="hybridMultilevel"/>
    <w:tmpl w:val="F5124FD0"/>
    <w:lvl w:ilvl="0" w:tplc="DE945100">
      <w:start w:val="1"/>
      <w:numFmt w:val="lowerLetter"/>
      <w:lvlText w:val="%1)"/>
      <w:lvlJc w:val="left"/>
      <w:pPr>
        <w:tabs>
          <w:tab w:val="num" w:pos="1021"/>
        </w:tabs>
        <w:ind w:left="1021" w:hanging="312"/>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15:restartNumberingAfterBreak="0">
    <w:nsid w:val="3A202FF3"/>
    <w:multiLevelType w:val="hybridMultilevel"/>
    <w:tmpl w:val="5F641074"/>
    <w:lvl w:ilvl="0" w:tplc="36F8533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1" w15:restartNumberingAfterBreak="0">
    <w:nsid w:val="3AB56AAB"/>
    <w:multiLevelType w:val="multilevel"/>
    <w:tmpl w:val="F372E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EE93F5E"/>
    <w:multiLevelType w:val="hybridMultilevel"/>
    <w:tmpl w:val="BA060128"/>
    <w:lvl w:ilvl="0" w:tplc="C290AC62">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15:restartNumberingAfterBreak="0">
    <w:nsid w:val="54004883"/>
    <w:multiLevelType w:val="multilevel"/>
    <w:tmpl w:val="3782DFA4"/>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6AC4D5B"/>
    <w:multiLevelType w:val="hybridMultilevel"/>
    <w:tmpl w:val="ABD80EEC"/>
    <w:lvl w:ilvl="0" w:tplc="40C081F8">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15:restartNumberingAfterBreak="0">
    <w:nsid w:val="5D3E4BA4"/>
    <w:multiLevelType w:val="hybridMultilevel"/>
    <w:tmpl w:val="AD4019D2"/>
    <w:lvl w:ilvl="0" w:tplc="0566775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15:restartNumberingAfterBreak="0">
    <w:nsid w:val="6096278C"/>
    <w:multiLevelType w:val="hybridMultilevel"/>
    <w:tmpl w:val="A9883FE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7" w15:restartNumberingAfterBreak="0">
    <w:nsid w:val="68B77ECA"/>
    <w:multiLevelType w:val="hybridMultilevel"/>
    <w:tmpl w:val="A0AEDD3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8" w15:restartNumberingAfterBreak="0">
    <w:nsid w:val="6B6F5FD0"/>
    <w:multiLevelType w:val="hybridMultilevel"/>
    <w:tmpl w:val="D708110A"/>
    <w:lvl w:ilvl="0" w:tplc="0CF8CCA8">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9" w15:restartNumberingAfterBreak="0">
    <w:nsid w:val="6F1D776E"/>
    <w:multiLevelType w:val="hybridMultilevel"/>
    <w:tmpl w:val="4CE426B0"/>
    <w:lvl w:ilvl="0" w:tplc="555C306E">
      <w:start w:val="1"/>
      <w:numFmt w:val="lowerLetter"/>
      <w:pStyle w:val="ALNEAS"/>
      <w:lvlText w:val="%1)"/>
      <w:lvlJc w:val="left"/>
      <w:pPr>
        <w:tabs>
          <w:tab w:val="num" w:pos="1021"/>
        </w:tabs>
        <w:ind w:left="1021" w:hanging="312"/>
      </w:pPr>
      <w:rPr>
        <w:rFonts w:hint="default" w:ascii="Arial" w:hAnsi="Arial" w:cs="Times New Roman"/>
        <w:b w:val="0"/>
        <w:i w:val="0"/>
        <w:caps w:val="0"/>
        <w:vanish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F735EF0"/>
    <w:multiLevelType w:val="multilevel"/>
    <w:tmpl w:val="EFEA9F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24875BE"/>
    <w:multiLevelType w:val="hybridMultilevel"/>
    <w:tmpl w:val="8876A714"/>
    <w:lvl w:ilvl="0" w:tplc="587E3B4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15:restartNumberingAfterBreak="0">
    <w:nsid w:val="74930833"/>
    <w:multiLevelType w:val="multilevel"/>
    <w:tmpl w:val="5F8625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60C79D7"/>
    <w:multiLevelType w:val="hybridMultilevel"/>
    <w:tmpl w:val="9168BDC0"/>
    <w:lvl w:ilvl="0" w:tplc="B522643A">
      <w:start w:val="1"/>
      <w:numFmt w:val="lowerLetter"/>
      <w:lvlText w:val="%1)"/>
      <w:lvlJc w:val="left"/>
      <w:pPr>
        <w:tabs>
          <w:tab w:val="num" w:pos="1021"/>
        </w:tabs>
        <w:ind w:left="1021" w:hanging="312"/>
      </w:pPr>
      <w:rPr>
        <w:rFonts w:hint="default" w:ascii="Arial" w:hAnsi="Arial" w:cs="Times New Roman"/>
        <w:b w:val="0"/>
        <w:i w:val="0"/>
        <w:sz w:val="24"/>
      </w:rPr>
    </w:lvl>
    <w:lvl w:ilvl="1" w:tplc="04160019">
      <w:start w:val="1"/>
      <w:numFmt w:val="lowerLetter"/>
      <w:lvlText w:val="%2."/>
      <w:lvlJc w:val="left"/>
      <w:pPr>
        <w:ind w:left="2149" w:hanging="360"/>
      </w:pPr>
    </w:lvl>
    <w:lvl w:ilvl="2" w:tplc="0416001B">
      <w:start w:val="1"/>
      <w:numFmt w:val="lowerRoman"/>
      <w:lvlText w:val="%3."/>
      <w:lvlJc w:val="right"/>
      <w:pPr>
        <w:ind w:left="2869" w:hanging="180"/>
      </w:pPr>
    </w:lvl>
    <w:lvl w:ilvl="3" w:tplc="0416000F">
      <w:start w:val="1"/>
      <w:numFmt w:val="decimal"/>
      <w:lvlText w:val="%4."/>
      <w:lvlJc w:val="left"/>
      <w:pPr>
        <w:ind w:left="3589" w:hanging="360"/>
      </w:pPr>
    </w:lvl>
    <w:lvl w:ilvl="4" w:tplc="04160019">
      <w:start w:val="1"/>
      <w:numFmt w:val="lowerLetter"/>
      <w:lvlText w:val="%5."/>
      <w:lvlJc w:val="left"/>
      <w:pPr>
        <w:ind w:left="4309" w:hanging="360"/>
      </w:pPr>
    </w:lvl>
    <w:lvl w:ilvl="5" w:tplc="0416001B">
      <w:start w:val="1"/>
      <w:numFmt w:val="lowerRoman"/>
      <w:lvlText w:val="%6."/>
      <w:lvlJc w:val="right"/>
      <w:pPr>
        <w:ind w:left="5029" w:hanging="180"/>
      </w:pPr>
    </w:lvl>
    <w:lvl w:ilvl="6" w:tplc="0416000F">
      <w:start w:val="1"/>
      <w:numFmt w:val="decimal"/>
      <w:lvlText w:val="%7."/>
      <w:lvlJc w:val="left"/>
      <w:pPr>
        <w:ind w:left="5749" w:hanging="360"/>
      </w:pPr>
    </w:lvl>
    <w:lvl w:ilvl="7" w:tplc="04160019">
      <w:start w:val="1"/>
      <w:numFmt w:val="lowerLetter"/>
      <w:lvlText w:val="%8."/>
      <w:lvlJc w:val="left"/>
      <w:pPr>
        <w:ind w:left="6469" w:hanging="360"/>
      </w:pPr>
    </w:lvl>
    <w:lvl w:ilvl="8" w:tplc="0416001B">
      <w:start w:val="1"/>
      <w:numFmt w:val="lowerRoman"/>
      <w:lvlText w:val="%9."/>
      <w:lvlJc w:val="right"/>
      <w:pPr>
        <w:ind w:left="7189" w:hanging="180"/>
      </w:pPr>
    </w:lvl>
  </w:abstractNum>
  <w:abstractNum w:abstractNumId="24" w15:restartNumberingAfterBreak="0">
    <w:nsid w:val="77664C04"/>
    <w:multiLevelType w:val="hybridMultilevel"/>
    <w:tmpl w:val="8F36B196"/>
    <w:lvl w:ilvl="0" w:tplc="504CC5B6">
      <w:start w:val="1"/>
      <w:numFmt w:val="lowerLetter"/>
      <w:pStyle w:val="ALINEA"/>
      <w:lvlText w:val="%1)"/>
      <w:lvlJc w:val="left"/>
      <w:pPr>
        <w:ind w:left="1021" w:hanging="312"/>
      </w:pPr>
      <w:rPr>
        <w:rFonts w:hint="default" w:ascii="Arial" w:hAnsi="Arial" w:cs="Arial"/>
        <w:b w:val="0"/>
        <w:i w:val="0"/>
        <w:sz w:val="24"/>
      </w:rPr>
    </w:lvl>
    <w:lvl w:ilvl="1" w:tplc="04160003" w:tentative="1">
      <w:start w:val="1"/>
      <w:numFmt w:val="bullet"/>
      <w:lvlText w:val="o"/>
      <w:lvlJc w:val="left"/>
      <w:pPr>
        <w:ind w:left="2574" w:hanging="360"/>
      </w:pPr>
      <w:rPr>
        <w:rFonts w:hint="default" w:ascii="Courier New" w:hAnsi="Courier New"/>
      </w:rPr>
    </w:lvl>
    <w:lvl w:ilvl="2" w:tplc="04160005" w:tentative="1">
      <w:start w:val="1"/>
      <w:numFmt w:val="bullet"/>
      <w:lvlText w:val=""/>
      <w:lvlJc w:val="left"/>
      <w:pPr>
        <w:ind w:left="3294" w:hanging="360"/>
      </w:pPr>
      <w:rPr>
        <w:rFonts w:hint="default" w:ascii="Wingdings" w:hAnsi="Wingdings"/>
      </w:rPr>
    </w:lvl>
    <w:lvl w:ilvl="3" w:tplc="04160001" w:tentative="1">
      <w:start w:val="1"/>
      <w:numFmt w:val="bullet"/>
      <w:lvlText w:val=""/>
      <w:lvlJc w:val="left"/>
      <w:pPr>
        <w:ind w:left="4014" w:hanging="360"/>
      </w:pPr>
      <w:rPr>
        <w:rFonts w:hint="default" w:ascii="Symbol" w:hAnsi="Symbol"/>
      </w:rPr>
    </w:lvl>
    <w:lvl w:ilvl="4" w:tplc="04160003" w:tentative="1">
      <w:start w:val="1"/>
      <w:numFmt w:val="bullet"/>
      <w:lvlText w:val="o"/>
      <w:lvlJc w:val="left"/>
      <w:pPr>
        <w:ind w:left="4734" w:hanging="360"/>
      </w:pPr>
      <w:rPr>
        <w:rFonts w:hint="default" w:ascii="Courier New" w:hAnsi="Courier New"/>
      </w:rPr>
    </w:lvl>
    <w:lvl w:ilvl="5" w:tplc="04160005" w:tentative="1">
      <w:start w:val="1"/>
      <w:numFmt w:val="bullet"/>
      <w:lvlText w:val=""/>
      <w:lvlJc w:val="left"/>
      <w:pPr>
        <w:ind w:left="5454" w:hanging="360"/>
      </w:pPr>
      <w:rPr>
        <w:rFonts w:hint="default" w:ascii="Wingdings" w:hAnsi="Wingdings"/>
      </w:rPr>
    </w:lvl>
    <w:lvl w:ilvl="6" w:tplc="04160001" w:tentative="1">
      <w:start w:val="1"/>
      <w:numFmt w:val="bullet"/>
      <w:lvlText w:val=""/>
      <w:lvlJc w:val="left"/>
      <w:pPr>
        <w:ind w:left="6174" w:hanging="360"/>
      </w:pPr>
      <w:rPr>
        <w:rFonts w:hint="default" w:ascii="Symbol" w:hAnsi="Symbol"/>
      </w:rPr>
    </w:lvl>
    <w:lvl w:ilvl="7" w:tplc="04160003" w:tentative="1">
      <w:start w:val="1"/>
      <w:numFmt w:val="bullet"/>
      <w:lvlText w:val="o"/>
      <w:lvlJc w:val="left"/>
      <w:pPr>
        <w:ind w:left="6894" w:hanging="360"/>
      </w:pPr>
      <w:rPr>
        <w:rFonts w:hint="default" w:ascii="Courier New" w:hAnsi="Courier New"/>
      </w:rPr>
    </w:lvl>
    <w:lvl w:ilvl="8" w:tplc="04160005" w:tentative="1">
      <w:start w:val="1"/>
      <w:numFmt w:val="bullet"/>
      <w:lvlText w:val=""/>
      <w:lvlJc w:val="left"/>
      <w:pPr>
        <w:ind w:left="7614" w:hanging="360"/>
      </w:pPr>
      <w:rPr>
        <w:rFonts w:hint="default" w:ascii="Wingdings" w:hAnsi="Wingdings"/>
      </w:rPr>
    </w:lvl>
  </w:abstractNum>
  <w:num w:numId="1" w16cid:durableId="575634110">
    <w:abstractNumId w:val="24"/>
  </w:num>
  <w:num w:numId="2" w16cid:durableId="380983422">
    <w:abstractNumId w:val="19"/>
  </w:num>
  <w:num w:numId="3" w16cid:durableId="324629459">
    <w:abstractNumId w:val="8"/>
  </w:num>
  <w:num w:numId="4" w16cid:durableId="11867478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3145920">
    <w:abstractNumId w:val="9"/>
  </w:num>
  <w:num w:numId="6" w16cid:durableId="1620524890">
    <w:abstractNumId w:val="10"/>
  </w:num>
  <w:num w:numId="7" w16cid:durableId="603417576">
    <w:abstractNumId w:val="15"/>
  </w:num>
  <w:num w:numId="8" w16cid:durableId="1714884244">
    <w:abstractNumId w:val="12"/>
  </w:num>
  <w:num w:numId="9" w16cid:durableId="811751517">
    <w:abstractNumId w:val="1"/>
  </w:num>
  <w:num w:numId="10" w16cid:durableId="1410272609">
    <w:abstractNumId w:val="18"/>
  </w:num>
  <w:num w:numId="11" w16cid:durableId="710421800">
    <w:abstractNumId w:val="14"/>
  </w:num>
  <w:num w:numId="12" w16cid:durableId="347606685">
    <w:abstractNumId w:val="5"/>
  </w:num>
  <w:num w:numId="13" w16cid:durableId="1434325794">
    <w:abstractNumId w:val="4"/>
  </w:num>
  <w:num w:numId="14" w16cid:durableId="332882824">
    <w:abstractNumId w:val="21"/>
  </w:num>
  <w:num w:numId="15" w16cid:durableId="1010840787">
    <w:abstractNumId w:val="3"/>
  </w:num>
  <w:num w:numId="16" w16cid:durableId="1802383174">
    <w:abstractNumId w:val="22"/>
  </w:num>
  <w:num w:numId="17" w16cid:durableId="1303922276">
    <w:abstractNumId w:val="11"/>
  </w:num>
  <w:num w:numId="18" w16cid:durableId="1984697557">
    <w:abstractNumId w:val="16"/>
  </w:num>
  <w:num w:numId="19" w16cid:durableId="404837520">
    <w:abstractNumId w:val="17"/>
  </w:num>
  <w:num w:numId="20" w16cid:durableId="1747266123">
    <w:abstractNumId w:val="6"/>
  </w:num>
  <w:num w:numId="21" w16cid:durableId="575896333">
    <w:abstractNumId w:val="0"/>
  </w:num>
  <w:num w:numId="22" w16cid:durableId="1837647683">
    <w:abstractNumId w:val="20"/>
  </w:num>
  <w:num w:numId="23" w16cid:durableId="383918342">
    <w:abstractNumId w:val="13"/>
  </w:num>
  <w:num w:numId="24" w16cid:durableId="1656299433">
    <w:abstractNumId w:val="2"/>
  </w:num>
  <w:num w:numId="25" w16cid:durableId="45934473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NotTrackMoves/>
  <w:defaultTabStop w:val="708"/>
  <w:hyphenationZone w:val="425"/>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BA2"/>
    <w:rsid w:val="00000D1F"/>
    <w:rsid w:val="00001F6B"/>
    <w:rsid w:val="000025F7"/>
    <w:rsid w:val="000029E9"/>
    <w:rsid w:val="00002AA0"/>
    <w:rsid w:val="00004A34"/>
    <w:rsid w:val="0000611B"/>
    <w:rsid w:val="000103B8"/>
    <w:rsid w:val="00010525"/>
    <w:rsid w:val="00010CAC"/>
    <w:rsid w:val="00011D0C"/>
    <w:rsid w:val="000120DB"/>
    <w:rsid w:val="00012E79"/>
    <w:rsid w:val="0001320F"/>
    <w:rsid w:val="00014410"/>
    <w:rsid w:val="0001520A"/>
    <w:rsid w:val="00015444"/>
    <w:rsid w:val="000154A0"/>
    <w:rsid w:val="00017A23"/>
    <w:rsid w:val="00017C34"/>
    <w:rsid w:val="00017E13"/>
    <w:rsid w:val="00022FB7"/>
    <w:rsid w:val="0002313D"/>
    <w:rsid w:val="00023DB6"/>
    <w:rsid w:val="00026AD3"/>
    <w:rsid w:val="00026B3B"/>
    <w:rsid w:val="00030E47"/>
    <w:rsid w:val="00031013"/>
    <w:rsid w:val="0003136C"/>
    <w:rsid w:val="00031AA6"/>
    <w:rsid w:val="00032112"/>
    <w:rsid w:val="00032563"/>
    <w:rsid w:val="000331F6"/>
    <w:rsid w:val="0003333F"/>
    <w:rsid w:val="000336D7"/>
    <w:rsid w:val="00037479"/>
    <w:rsid w:val="00041888"/>
    <w:rsid w:val="00042E45"/>
    <w:rsid w:val="000434B2"/>
    <w:rsid w:val="0004460D"/>
    <w:rsid w:val="000453AE"/>
    <w:rsid w:val="00046FED"/>
    <w:rsid w:val="0005115E"/>
    <w:rsid w:val="000532FA"/>
    <w:rsid w:val="0005406B"/>
    <w:rsid w:val="000566AA"/>
    <w:rsid w:val="00056F8F"/>
    <w:rsid w:val="00057606"/>
    <w:rsid w:val="00060AF5"/>
    <w:rsid w:val="00060D79"/>
    <w:rsid w:val="0006102A"/>
    <w:rsid w:val="000619ED"/>
    <w:rsid w:val="00064325"/>
    <w:rsid w:val="00066A30"/>
    <w:rsid w:val="00067BEF"/>
    <w:rsid w:val="000700B8"/>
    <w:rsid w:val="000705A7"/>
    <w:rsid w:val="00072016"/>
    <w:rsid w:val="0007294E"/>
    <w:rsid w:val="00072D65"/>
    <w:rsid w:val="00075472"/>
    <w:rsid w:val="0007561A"/>
    <w:rsid w:val="00075AEC"/>
    <w:rsid w:val="0008093B"/>
    <w:rsid w:val="00081D90"/>
    <w:rsid w:val="00082553"/>
    <w:rsid w:val="0008366A"/>
    <w:rsid w:val="0008468A"/>
    <w:rsid w:val="00085A6D"/>
    <w:rsid w:val="00086C74"/>
    <w:rsid w:val="00086E3E"/>
    <w:rsid w:val="000915D4"/>
    <w:rsid w:val="0009389C"/>
    <w:rsid w:val="00094721"/>
    <w:rsid w:val="00095EB8"/>
    <w:rsid w:val="0009614F"/>
    <w:rsid w:val="000A0C3C"/>
    <w:rsid w:val="000A1BA6"/>
    <w:rsid w:val="000A1F5A"/>
    <w:rsid w:val="000A314B"/>
    <w:rsid w:val="000A4818"/>
    <w:rsid w:val="000A649D"/>
    <w:rsid w:val="000A6758"/>
    <w:rsid w:val="000A6B2A"/>
    <w:rsid w:val="000A6F2F"/>
    <w:rsid w:val="000A7A86"/>
    <w:rsid w:val="000B17CE"/>
    <w:rsid w:val="000B19B5"/>
    <w:rsid w:val="000B214B"/>
    <w:rsid w:val="000B2DE1"/>
    <w:rsid w:val="000B5D49"/>
    <w:rsid w:val="000C084A"/>
    <w:rsid w:val="000C12F1"/>
    <w:rsid w:val="000C5C26"/>
    <w:rsid w:val="000C61B0"/>
    <w:rsid w:val="000D3138"/>
    <w:rsid w:val="000D415E"/>
    <w:rsid w:val="000D55B3"/>
    <w:rsid w:val="000D618D"/>
    <w:rsid w:val="000D74D7"/>
    <w:rsid w:val="000E1465"/>
    <w:rsid w:val="000E17D8"/>
    <w:rsid w:val="000E2B63"/>
    <w:rsid w:val="000E2EB4"/>
    <w:rsid w:val="000E41A5"/>
    <w:rsid w:val="000E5A90"/>
    <w:rsid w:val="000E70DE"/>
    <w:rsid w:val="000F027B"/>
    <w:rsid w:val="000F0456"/>
    <w:rsid w:val="000F0749"/>
    <w:rsid w:val="000F0CAD"/>
    <w:rsid w:val="000F11C5"/>
    <w:rsid w:val="000F278D"/>
    <w:rsid w:val="000F3AC2"/>
    <w:rsid w:val="000F3E4B"/>
    <w:rsid w:val="000F6475"/>
    <w:rsid w:val="00101D2E"/>
    <w:rsid w:val="001021FE"/>
    <w:rsid w:val="00102C97"/>
    <w:rsid w:val="001035CD"/>
    <w:rsid w:val="00103BCE"/>
    <w:rsid w:val="0010556F"/>
    <w:rsid w:val="00107710"/>
    <w:rsid w:val="0011050E"/>
    <w:rsid w:val="001113FB"/>
    <w:rsid w:val="0011213F"/>
    <w:rsid w:val="00113AE3"/>
    <w:rsid w:val="00113C98"/>
    <w:rsid w:val="001159AC"/>
    <w:rsid w:val="00116953"/>
    <w:rsid w:val="00116FCF"/>
    <w:rsid w:val="00116FD7"/>
    <w:rsid w:val="0011766E"/>
    <w:rsid w:val="00121600"/>
    <w:rsid w:val="001252C0"/>
    <w:rsid w:val="00126685"/>
    <w:rsid w:val="00126715"/>
    <w:rsid w:val="00126BDB"/>
    <w:rsid w:val="0013075C"/>
    <w:rsid w:val="0013082D"/>
    <w:rsid w:val="0013089E"/>
    <w:rsid w:val="00131FC4"/>
    <w:rsid w:val="001323DD"/>
    <w:rsid w:val="0013417E"/>
    <w:rsid w:val="00134E2B"/>
    <w:rsid w:val="00136311"/>
    <w:rsid w:val="001368A6"/>
    <w:rsid w:val="00137816"/>
    <w:rsid w:val="001405B5"/>
    <w:rsid w:val="00140780"/>
    <w:rsid w:val="001407D2"/>
    <w:rsid w:val="00141E25"/>
    <w:rsid w:val="00144CF3"/>
    <w:rsid w:val="0014608C"/>
    <w:rsid w:val="0015072B"/>
    <w:rsid w:val="001516D0"/>
    <w:rsid w:val="00151869"/>
    <w:rsid w:val="00151FFC"/>
    <w:rsid w:val="00152305"/>
    <w:rsid w:val="0015263C"/>
    <w:rsid w:val="00153DB0"/>
    <w:rsid w:val="00156088"/>
    <w:rsid w:val="0015697F"/>
    <w:rsid w:val="00157108"/>
    <w:rsid w:val="001578C5"/>
    <w:rsid w:val="00157E63"/>
    <w:rsid w:val="001616ED"/>
    <w:rsid w:val="00161A7B"/>
    <w:rsid w:val="001624C7"/>
    <w:rsid w:val="00162E28"/>
    <w:rsid w:val="001635D1"/>
    <w:rsid w:val="0016375C"/>
    <w:rsid w:val="001656FA"/>
    <w:rsid w:val="00167227"/>
    <w:rsid w:val="00167FFC"/>
    <w:rsid w:val="001702B3"/>
    <w:rsid w:val="00172248"/>
    <w:rsid w:val="00172370"/>
    <w:rsid w:val="00174E06"/>
    <w:rsid w:val="00175598"/>
    <w:rsid w:val="00176FC9"/>
    <w:rsid w:val="0017721B"/>
    <w:rsid w:val="00177BAD"/>
    <w:rsid w:val="001802AF"/>
    <w:rsid w:val="00180FAE"/>
    <w:rsid w:val="00181BF7"/>
    <w:rsid w:val="00184A8B"/>
    <w:rsid w:val="00185D2B"/>
    <w:rsid w:val="00186327"/>
    <w:rsid w:val="001869AB"/>
    <w:rsid w:val="00186C50"/>
    <w:rsid w:val="00190B8C"/>
    <w:rsid w:val="00192C18"/>
    <w:rsid w:val="00193E91"/>
    <w:rsid w:val="00193EF3"/>
    <w:rsid w:val="00194E5A"/>
    <w:rsid w:val="00195F54"/>
    <w:rsid w:val="0019602D"/>
    <w:rsid w:val="00196A40"/>
    <w:rsid w:val="001975EF"/>
    <w:rsid w:val="00197ADC"/>
    <w:rsid w:val="001A36F4"/>
    <w:rsid w:val="001A38C9"/>
    <w:rsid w:val="001A6C81"/>
    <w:rsid w:val="001A7C8F"/>
    <w:rsid w:val="001A7F29"/>
    <w:rsid w:val="001B07DB"/>
    <w:rsid w:val="001B4A21"/>
    <w:rsid w:val="001B4B3A"/>
    <w:rsid w:val="001B4CCD"/>
    <w:rsid w:val="001B7F20"/>
    <w:rsid w:val="001C0F31"/>
    <w:rsid w:val="001C2A57"/>
    <w:rsid w:val="001C2F28"/>
    <w:rsid w:val="001C30BE"/>
    <w:rsid w:val="001C744C"/>
    <w:rsid w:val="001D067A"/>
    <w:rsid w:val="001D0A31"/>
    <w:rsid w:val="001D0D8B"/>
    <w:rsid w:val="001D14CE"/>
    <w:rsid w:val="001D28F1"/>
    <w:rsid w:val="001D2EB5"/>
    <w:rsid w:val="001D3DB6"/>
    <w:rsid w:val="001D6422"/>
    <w:rsid w:val="001E0DAE"/>
    <w:rsid w:val="001E15C7"/>
    <w:rsid w:val="001E20B6"/>
    <w:rsid w:val="001E23EE"/>
    <w:rsid w:val="001E27A0"/>
    <w:rsid w:val="001E37C0"/>
    <w:rsid w:val="001F036B"/>
    <w:rsid w:val="001F052C"/>
    <w:rsid w:val="001F2827"/>
    <w:rsid w:val="001F3667"/>
    <w:rsid w:val="001F429B"/>
    <w:rsid w:val="001F45A0"/>
    <w:rsid w:val="001F537F"/>
    <w:rsid w:val="001F7971"/>
    <w:rsid w:val="002009B2"/>
    <w:rsid w:val="002029E4"/>
    <w:rsid w:val="002034AE"/>
    <w:rsid w:val="00203E72"/>
    <w:rsid w:val="002056AD"/>
    <w:rsid w:val="00206777"/>
    <w:rsid w:val="0021057B"/>
    <w:rsid w:val="00211181"/>
    <w:rsid w:val="00211A1F"/>
    <w:rsid w:val="00215003"/>
    <w:rsid w:val="002152E3"/>
    <w:rsid w:val="00215789"/>
    <w:rsid w:val="0021745C"/>
    <w:rsid w:val="00220670"/>
    <w:rsid w:val="00223437"/>
    <w:rsid w:val="00223520"/>
    <w:rsid w:val="00224E98"/>
    <w:rsid w:val="00226483"/>
    <w:rsid w:val="00232516"/>
    <w:rsid w:val="0023303B"/>
    <w:rsid w:val="002349AB"/>
    <w:rsid w:val="00235FB1"/>
    <w:rsid w:val="00236ABC"/>
    <w:rsid w:val="00237170"/>
    <w:rsid w:val="0023767E"/>
    <w:rsid w:val="00240511"/>
    <w:rsid w:val="0024162F"/>
    <w:rsid w:val="0024180A"/>
    <w:rsid w:val="002418A8"/>
    <w:rsid w:val="00241C45"/>
    <w:rsid w:val="00242667"/>
    <w:rsid w:val="00244E97"/>
    <w:rsid w:val="002454BD"/>
    <w:rsid w:val="00245CED"/>
    <w:rsid w:val="00246092"/>
    <w:rsid w:val="00250039"/>
    <w:rsid w:val="00253E74"/>
    <w:rsid w:val="00254AE0"/>
    <w:rsid w:val="002556C0"/>
    <w:rsid w:val="00256E3B"/>
    <w:rsid w:val="00261B93"/>
    <w:rsid w:val="00262A85"/>
    <w:rsid w:val="00262C74"/>
    <w:rsid w:val="00264F5A"/>
    <w:rsid w:val="0026527F"/>
    <w:rsid w:val="002652B8"/>
    <w:rsid w:val="00265CB2"/>
    <w:rsid w:val="0026688B"/>
    <w:rsid w:val="00266D8A"/>
    <w:rsid w:val="0027170D"/>
    <w:rsid w:val="00271901"/>
    <w:rsid w:val="00273BEB"/>
    <w:rsid w:val="00273C66"/>
    <w:rsid w:val="00274578"/>
    <w:rsid w:val="00275752"/>
    <w:rsid w:val="002771C9"/>
    <w:rsid w:val="002772BA"/>
    <w:rsid w:val="0027751D"/>
    <w:rsid w:val="00281175"/>
    <w:rsid w:val="00281640"/>
    <w:rsid w:val="00281E6F"/>
    <w:rsid w:val="00281E9A"/>
    <w:rsid w:val="002849EF"/>
    <w:rsid w:val="002858CB"/>
    <w:rsid w:val="00286197"/>
    <w:rsid w:val="002863C3"/>
    <w:rsid w:val="00286F46"/>
    <w:rsid w:val="00287891"/>
    <w:rsid w:val="00290720"/>
    <w:rsid w:val="002909B8"/>
    <w:rsid w:val="00293747"/>
    <w:rsid w:val="00293A0C"/>
    <w:rsid w:val="00296821"/>
    <w:rsid w:val="00296990"/>
    <w:rsid w:val="0029742B"/>
    <w:rsid w:val="00297C18"/>
    <w:rsid w:val="00297C7F"/>
    <w:rsid w:val="002A0EA7"/>
    <w:rsid w:val="002A28DC"/>
    <w:rsid w:val="002A2933"/>
    <w:rsid w:val="002A2E25"/>
    <w:rsid w:val="002A30C7"/>
    <w:rsid w:val="002A31B1"/>
    <w:rsid w:val="002A5A5B"/>
    <w:rsid w:val="002A65CC"/>
    <w:rsid w:val="002A6747"/>
    <w:rsid w:val="002A78BA"/>
    <w:rsid w:val="002B0410"/>
    <w:rsid w:val="002B08DB"/>
    <w:rsid w:val="002B0BF4"/>
    <w:rsid w:val="002B1D6D"/>
    <w:rsid w:val="002B51DD"/>
    <w:rsid w:val="002B5FFD"/>
    <w:rsid w:val="002B6DF2"/>
    <w:rsid w:val="002B7D41"/>
    <w:rsid w:val="002C11A9"/>
    <w:rsid w:val="002C202F"/>
    <w:rsid w:val="002C2FD5"/>
    <w:rsid w:val="002C6EB1"/>
    <w:rsid w:val="002C7A77"/>
    <w:rsid w:val="002D04E7"/>
    <w:rsid w:val="002D0817"/>
    <w:rsid w:val="002D413A"/>
    <w:rsid w:val="002D4208"/>
    <w:rsid w:val="002D45F4"/>
    <w:rsid w:val="002D4BC6"/>
    <w:rsid w:val="002D55B5"/>
    <w:rsid w:val="002D650E"/>
    <w:rsid w:val="002D6594"/>
    <w:rsid w:val="002D7324"/>
    <w:rsid w:val="002D7485"/>
    <w:rsid w:val="002E02A4"/>
    <w:rsid w:val="002E0FC5"/>
    <w:rsid w:val="002E1B39"/>
    <w:rsid w:val="002E2B4B"/>
    <w:rsid w:val="002E3C20"/>
    <w:rsid w:val="002E3F76"/>
    <w:rsid w:val="002E45F5"/>
    <w:rsid w:val="002E59B3"/>
    <w:rsid w:val="002E603C"/>
    <w:rsid w:val="002E6BAB"/>
    <w:rsid w:val="002E7BCB"/>
    <w:rsid w:val="002F110E"/>
    <w:rsid w:val="002F24F0"/>
    <w:rsid w:val="002F27C8"/>
    <w:rsid w:val="002F3B1D"/>
    <w:rsid w:val="002F5344"/>
    <w:rsid w:val="002F5A86"/>
    <w:rsid w:val="002F5E10"/>
    <w:rsid w:val="002F5FC0"/>
    <w:rsid w:val="002F6CC9"/>
    <w:rsid w:val="002F73C5"/>
    <w:rsid w:val="002F7B09"/>
    <w:rsid w:val="003006FF"/>
    <w:rsid w:val="003011EE"/>
    <w:rsid w:val="00301F18"/>
    <w:rsid w:val="00303FF6"/>
    <w:rsid w:val="003058AE"/>
    <w:rsid w:val="0031070C"/>
    <w:rsid w:val="00310C09"/>
    <w:rsid w:val="003119AB"/>
    <w:rsid w:val="00312692"/>
    <w:rsid w:val="003141A0"/>
    <w:rsid w:val="00314E6A"/>
    <w:rsid w:val="00315A79"/>
    <w:rsid w:val="00316025"/>
    <w:rsid w:val="0031612F"/>
    <w:rsid w:val="0031657E"/>
    <w:rsid w:val="00320207"/>
    <w:rsid w:val="00320953"/>
    <w:rsid w:val="0032394C"/>
    <w:rsid w:val="00324266"/>
    <w:rsid w:val="00324F0E"/>
    <w:rsid w:val="00325A40"/>
    <w:rsid w:val="003272DD"/>
    <w:rsid w:val="003311B1"/>
    <w:rsid w:val="00331881"/>
    <w:rsid w:val="00333A75"/>
    <w:rsid w:val="00334AD0"/>
    <w:rsid w:val="00335AE6"/>
    <w:rsid w:val="00337236"/>
    <w:rsid w:val="003402F7"/>
    <w:rsid w:val="003406AF"/>
    <w:rsid w:val="00341519"/>
    <w:rsid w:val="00342974"/>
    <w:rsid w:val="003450F8"/>
    <w:rsid w:val="0034515C"/>
    <w:rsid w:val="0034612C"/>
    <w:rsid w:val="003505EA"/>
    <w:rsid w:val="003520CC"/>
    <w:rsid w:val="0035211B"/>
    <w:rsid w:val="00352636"/>
    <w:rsid w:val="00352788"/>
    <w:rsid w:val="00353BEE"/>
    <w:rsid w:val="00353F4B"/>
    <w:rsid w:val="00354414"/>
    <w:rsid w:val="00354906"/>
    <w:rsid w:val="00354A45"/>
    <w:rsid w:val="00355E23"/>
    <w:rsid w:val="003562D4"/>
    <w:rsid w:val="00356D2F"/>
    <w:rsid w:val="0036019D"/>
    <w:rsid w:val="003608DB"/>
    <w:rsid w:val="00361094"/>
    <w:rsid w:val="0036273A"/>
    <w:rsid w:val="00364A0F"/>
    <w:rsid w:val="003658A4"/>
    <w:rsid w:val="00365A1A"/>
    <w:rsid w:val="00366554"/>
    <w:rsid w:val="00367160"/>
    <w:rsid w:val="003674CB"/>
    <w:rsid w:val="00367CDC"/>
    <w:rsid w:val="00367E32"/>
    <w:rsid w:val="00370C73"/>
    <w:rsid w:val="003712DB"/>
    <w:rsid w:val="00372331"/>
    <w:rsid w:val="00372EE2"/>
    <w:rsid w:val="00373201"/>
    <w:rsid w:val="00373727"/>
    <w:rsid w:val="00382794"/>
    <w:rsid w:val="00383E5E"/>
    <w:rsid w:val="00384722"/>
    <w:rsid w:val="0038602D"/>
    <w:rsid w:val="00386565"/>
    <w:rsid w:val="00387E5F"/>
    <w:rsid w:val="00392276"/>
    <w:rsid w:val="00392A29"/>
    <w:rsid w:val="00393A62"/>
    <w:rsid w:val="00395D7A"/>
    <w:rsid w:val="00396C2B"/>
    <w:rsid w:val="003A0BEB"/>
    <w:rsid w:val="003A1C20"/>
    <w:rsid w:val="003A1DC5"/>
    <w:rsid w:val="003A282B"/>
    <w:rsid w:val="003A2C7A"/>
    <w:rsid w:val="003A46C9"/>
    <w:rsid w:val="003A5360"/>
    <w:rsid w:val="003A63B1"/>
    <w:rsid w:val="003A7B19"/>
    <w:rsid w:val="003B2D6F"/>
    <w:rsid w:val="003B2E68"/>
    <w:rsid w:val="003B355B"/>
    <w:rsid w:val="003B4A00"/>
    <w:rsid w:val="003B5B37"/>
    <w:rsid w:val="003B6E2C"/>
    <w:rsid w:val="003B774D"/>
    <w:rsid w:val="003B79EC"/>
    <w:rsid w:val="003C0AA8"/>
    <w:rsid w:val="003C1664"/>
    <w:rsid w:val="003C1CE0"/>
    <w:rsid w:val="003C2D06"/>
    <w:rsid w:val="003C5680"/>
    <w:rsid w:val="003C6923"/>
    <w:rsid w:val="003C77C6"/>
    <w:rsid w:val="003D1367"/>
    <w:rsid w:val="003D1756"/>
    <w:rsid w:val="003D2170"/>
    <w:rsid w:val="003D262B"/>
    <w:rsid w:val="003D3795"/>
    <w:rsid w:val="003D527C"/>
    <w:rsid w:val="003D690B"/>
    <w:rsid w:val="003D7B17"/>
    <w:rsid w:val="003E2969"/>
    <w:rsid w:val="003E3480"/>
    <w:rsid w:val="003E34B6"/>
    <w:rsid w:val="003E3712"/>
    <w:rsid w:val="003E4465"/>
    <w:rsid w:val="003E4AE4"/>
    <w:rsid w:val="003E752D"/>
    <w:rsid w:val="003E7C25"/>
    <w:rsid w:val="003F0A5D"/>
    <w:rsid w:val="003F111C"/>
    <w:rsid w:val="003F1CBC"/>
    <w:rsid w:val="003F20D9"/>
    <w:rsid w:val="003F240E"/>
    <w:rsid w:val="003F2A65"/>
    <w:rsid w:val="003F2B87"/>
    <w:rsid w:val="003F2DC0"/>
    <w:rsid w:val="003F3CB2"/>
    <w:rsid w:val="003F4474"/>
    <w:rsid w:val="003F4B13"/>
    <w:rsid w:val="003F4FDD"/>
    <w:rsid w:val="003F621C"/>
    <w:rsid w:val="003F6867"/>
    <w:rsid w:val="003F763F"/>
    <w:rsid w:val="00400618"/>
    <w:rsid w:val="00400BD2"/>
    <w:rsid w:val="0040103F"/>
    <w:rsid w:val="00401585"/>
    <w:rsid w:val="00401674"/>
    <w:rsid w:val="004023EA"/>
    <w:rsid w:val="0040295E"/>
    <w:rsid w:val="00404E25"/>
    <w:rsid w:val="00405968"/>
    <w:rsid w:val="00410305"/>
    <w:rsid w:val="00411CB3"/>
    <w:rsid w:val="004126E7"/>
    <w:rsid w:val="00412D69"/>
    <w:rsid w:val="00412FD3"/>
    <w:rsid w:val="00415165"/>
    <w:rsid w:val="00415C36"/>
    <w:rsid w:val="00416928"/>
    <w:rsid w:val="00421002"/>
    <w:rsid w:val="00422FC1"/>
    <w:rsid w:val="00427F62"/>
    <w:rsid w:val="00432D42"/>
    <w:rsid w:val="004349F9"/>
    <w:rsid w:val="004357A4"/>
    <w:rsid w:val="00441E73"/>
    <w:rsid w:val="0044311B"/>
    <w:rsid w:val="00443F4E"/>
    <w:rsid w:val="00444F35"/>
    <w:rsid w:val="004454C9"/>
    <w:rsid w:val="00445F1B"/>
    <w:rsid w:val="00445FBA"/>
    <w:rsid w:val="00446D7C"/>
    <w:rsid w:val="004527B2"/>
    <w:rsid w:val="004535FB"/>
    <w:rsid w:val="00453D19"/>
    <w:rsid w:val="00454A4A"/>
    <w:rsid w:val="00455D32"/>
    <w:rsid w:val="004567DC"/>
    <w:rsid w:val="004570D5"/>
    <w:rsid w:val="00466A0A"/>
    <w:rsid w:val="00470C1B"/>
    <w:rsid w:val="00471026"/>
    <w:rsid w:val="00471466"/>
    <w:rsid w:val="00471EC2"/>
    <w:rsid w:val="004751A1"/>
    <w:rsid w:val="004753C1"/>
    <w:rsid w:val="0047563E"/>
    <w:rsid w:val="00476AA0"/>
    <w:rsid w:val="00476C01"/>
    <w:rsid w:val="00480A7D"/>
    <w:rsid w:val="00482952"/>
    <w:rsid w:val="00482C05"/>
    <w:rsid w:val="004832FD"/>
    <w:rsid w:val="0048382F"/>
    <w:rsid w:val="00483E48"/>
    <w:rsid w:val="00484A40"/>
    <w:rsid w:val="00485718"/>
    <w:rsid w:val="00490BEF"/>
    <w:rsid w:val="004910D2"/>
    <w:rsid w:val="004923B9"/>
    <w:rsid w:val="00492718"/>
    <w:rsid w:val="00493164"/>
    <w:rsid w:val="00494FB8"/>
    <w:rsid w:val="0049521B"/>
    <w:rsid w:val="004955FB"/>
    <w:rsid w:val="00496118"/>
    <w:rsid w:val="0049660B"/>
    <w:rsid w:val="0049662D"/>
    <w:rsid w:val="00496A31"/>
    <w:rsid w:val="004A04D3"/>
    <w:rsid w:val="004A0A3F"/>
    <w:rsid w:val="004A1077"/>
    <w:rsid w:val="004A1D8B"/>
    <w:rsid w:val="004A5027"/>
    <w:rsid w:val="004A721C"/>
    <w:rsid w:val="004B00F1"/>
    <w:rsid w:val="004B0659"/>
    <w:rsid w:val="004B57AC"/>
    <w:rsid w:val="004B5CF4"/>
    <w:rsid w:val="004B6921"/>
    <w:rsid w:val="004B70A2"/>
    <w:rsid w:val="004B7D86"/>
    <w:rsid w:val="004C037A"/>
    <w:rsid w:val="004C0386"/>
    <w:rsid w:val="004C0C8A"/>
    <w:rsid w:val="004C0F47"/>
    <w:rsid w:val="004C1DE6"/>
    <w:rsid w:val="004C221A"/>
    <w:rsid w:val="004C3212"/>
    <w:rsid w:val="004C3A42"/>
    <w:rsid w:val="004C3CE9"/>
    <w:rsid w:val="004C411F"/>
    <w:rsid w:val="004C44A4"/>
    <w:rsid w:val="004C72F4"/>
    <w:rsid w:val="004D08C4"/>
    <w:rsid w:val="004D0BE3"/>
    <w:rsid w:val="004D10A2"/>
    <w:rsid w:val="004D15A0"/>
    <w:rsid w:val="004D24D3"/>
    <w:rsid w:val="004D33D0"/>
    <w:rsid w:val="004D37AF"/>
    <w:rsid w:val="004D3992"/>
    <w:rsid w:val="004D52F3"/>
    <w:rsid w:val="004D5AE9"/>
    <w:rsid w:val="004D5B90"/>
    <w:rsid w:val="004D7A93"/>
    <w:rsid w:val="004E0326"/>
    <w:rsid w:val="004E0B60"/>
    <w:rsid w:val="004E0CF7"/>
    <w:rsid w:val="004E1835"/>
    <w:rsid w:val="004E1A90"/>
    <w:rsid w:val="004E3BEF"/>
    <w:rsid w:val="004E4223"/>
    <w:rsid w:val="004E46B4"/>
    <w:rsid w:val="004E4FA2"/>
    <w:rsid w:val="004E5088"/>
    <w:rsid w:val="004E7B69"/>
    <w:rsid w:val="004E7CC1"/>
    <w:rsid w:val="004E7DB2"/>
    <w:rsid w:val="004E7F1B"/>
    <w:rsid w:val="004F0000"/>
    <w:rsid w:val="004F0784"/>
    <w:rsid w:val="004F1F58"/>
    <w:rsid w:val="004F2A2D"/>
    <w:rsid w:val="004F3BC8"/>
    <w:rsid w:val="004F4219"/>
    <w:rsid w:val="004F43F0"/>
    <w:rsid w:val="004F4B47"/>
    <w:rsid w:val="004F6614"/>
    <w:rsid w:val="00501030"/>
    <w:rsid w:val="005010A4"/>
    <w:rsid w:val="005025D9"/>
    <w:rsid w:val="00502BED"/>
    <w:rsid w:val="00503F82"/>
    <w:rsid w:val="00504642"/>
    <w:rsid w:val="005049FA"/>
    <w:rsid w:val="005053E4"/>
    <w:rsid w:val="00505F14"/>
    <w:rsid w:val="005072FC"/>
    <w:rsid w:val="0050781C"/>
    <w:rsid w:val="005078AF"/>
    <w:rsid w:val="005102E1"/>
    <w:rsid w:val="00514A24"/>
    <w:rsid w:val="00515608"/>
    <w:rsid w:val="00516F00"/>
    <w:rsid w:val="005174F6"/>
    <w:rsid w:val="00517FDD"/>
    <w:rsid w:val="005220B9"/>
    <w:rsid w:val="00522C72"/>
    <w:rsid w:val="00522D7F"/>
    <w:rsid w:val="00523981"/>
    <w:rsid w:val="005242E5"/>
    <w:rsid w:val="0052491C"/>
    <w:rsid w:val="00525756"/>
    <w:rsid w:val="00526FB8"/>
    <w:rsid w:val="005270E8"/>
    <w:rsid w:val="00531705"/>
    <w:rsid w:val="00532420"/>
    <w:rsid w:val="00532C29"/>
    <w:rsid w:val="005341EC"/>
    <w:rsid w:val="005348F3"/>
    <w:rsid w:val="00535BBA"/>
    <w:rsid w:val="00535CCF"/>
    <w:rsid w:val="00536E9B"/>
    <w:rsid w:val="00537FEB"/>
    <w:rsid w:val="005401A1"/>
    <w:rsid w:val="005405C1"/>
    <w:rsid w:val="00540714"/>
    <w:rsid w:val="00540E72"/>
    <w:rsid w:val="00543341"/>
    <w:rsid w:val="0054341C"/>
    <w:rsid w:val="00546A07"/>
    <w:rsid w:val="00550739"/>
    <w:rsid w:val="0055336C"/>
    <w:rsid w:val="00560677"/>
    <w:rsid w:val="00561316"/>
    <w:rsid w:val="0056331B"/>
    <w:rsid w:val="00567322"/>
    <w:rsid w:val="00571A70"/>
    <w:rsid w:val="00572E8F"/>
    <w:rsid w:val="005734D1"/>
    <w:rsid w:val="005755A3"/>
    <w:rsid w:val="00580AE3"/>
    <w:rsid w:val="005810FE"/>
    <w:rsid w:val="00582A3F"/>
    <w:rsid w:val="00583E3A"/>
    <w:rsid w:val="00584068"/>
    <w:rsid w:val="0058487B"/>
    <w:rsid w:val="00584AFE"/>
    <w:rsid w:val="005850FB"/>
    <w:rsid w:val="00585893"/>
    <w:rsid w:val="00585AA3"/>
    <w:rsid w:val="00587E14"/>
    <w:rsid w:val="00590320"/>
    <w:rsid w:val="0059177C"/>
    <w:rsid w:val="00592135"/>
    <w:rsid w:val="0059258B"/>
    <w:rsid w:val="005947EA"/>
    <w:rsid w:val="00594D81"/>
    <w:rsid w:val="00595449"/>
    <w:rsid w:val="00595518"/>
    <w:rsid w:val="00595CE6"/>
    <w:rsid w:val="0059685B"/>
    <w:rsid w:val="0059776B"/>
    <w:rsid w:val="005A0BF0"/>
    <w:rsid w:val="005A14F3"/>
    <w:rsid w:val="005A1F39"/>
    <w:rsid w:val="005A238C"/>
    <w:rsid w:val="005A2932"/>
    <w:rsid w:val="005A2CEA"/>
    <w:rsid w:val="005A3015"/>
    <w:rsid w:val="005A3A6E"/>
    <w:rsid w:val="005A3BC1"/>
    <w:rsid w:val="005A4C4C"/>
    <w:rsid w:val="005A608F"/>
    <w:rsid w:val="005A633D"/>
    <w:rsid w:val="005A768C"/>
    <w:rsid w:val="005B0EC3"/>
    <w:rsid w:val="005B29B7"/>
    <w:rsid w:val="005B3BBD"/>
    <w:rsid w:val="005B5B4A"/>
    <w:rsid w:val="005B76AF"/>
    <w:rsid w:val="005C1472"/>
    <w:rsid w:val="005C47B4"/>
    <w:rsid w:val="005C4881"/>
    <w:rsid w:val="005C612E"/>
    <w:rsid w:val="005C6173"/>
    <w:rsid w:val="005C6468"/>
    <w:rsid w:val="005C718B"/>
    <w:rsid w:val="005C7ECC"/>
    <w:rsid w:val="005D04C3"/>
    <w:rsid w:val="005D0D02"/>
    <w:rsid w:val="005D4032"/>
    <w:rsid w:val="005D44BC"/>
    <w:rsid w:val="005D68AA"/>
    <w:rsid w:val="005D69A7"/>
    <w:rsid w:val="005D74C8"/>
    <w:rsid w:val="005E00BB"/>
    <w:rsid w:val="005E0971"/>
    <w:rsid w:val="005E2BDB"/>
    <w:rsid w:val="005E31C9"/>
    <w:rsid w:val="005E6361"/>
    <w:rsid w:val="005F1364"/>
    <w:rsid w:val="005F1D1E"/>
    <w:rsid w:val="005F227D"/>
    <w:rsid w:val="005F22F9"/>
    <w:rsid w:val="005F4DA5"/>
    <w:rsid w:val="005F4F69"/>
    <w:rsid w:val="00601971"/>
    <w:rsid w:val="00602298"/>
    <w:rsid w:val="006023A1"/>
    <w:rsid w:val="00602650"/>
    <w:rsid w:val="00603031"/>
    <w:rsid w:val="0060390C"/>
    <w:rsid w:val="00603EEF"/>
    <w:rsid w:val="006046E7"/>
    <w:rsid w:val="00604C52"/>
    <w:rsid w:val="0061105B"/>
    <w:rsid w:val="00611389"/>
    <w:rsid w:val="00611AD2"/>
    <w:rsid w:val="00612AF9"/>
    <w:rsid w:val="00613F2F"/>
    <w:rsid w:val="00616CC8"/>
    <w:rsid w:val="006171DF"/>
    <w:rsid w:val="00617E59"/>
    <w:rsid w:val="00621246"/>
    <w:rsid w:val="00622555"/>
    <w:rsid w:val="00623F2C"/>
    <w:rsid w:val="006240F9"/>
    <w:rsid w:val="0062462D"/>
    <w:rsid w:val="00624972"/>
    <w:rsid w:val="00625AC9"/>
    <w:rsid w:val="00626663"/>
    <w:rsid w:val="00627906"/>
    <w:rsid w:val="00631D1B"/>
    <w:rsid w:val="00631D3F"/>
    <w:rsid w:val="006321F4"/>
    <w:rsid w:val="0063226C"/>
    <w:rsid w:val="006337A3"/>
    <w:rsid w:val="00633A09"/>
    <w:rsid w:val="00633BE8"/>
    <w:rsid w:val="00634598"/>
    <w:rsid w:val="00634B8D"/>
    <w:rsid w:val="00634EAB"/>
    <w:rsid w:val="00635D67"/>
    <w:rsid w:val="006414A3"/>
    <w:rsid w:val="00642A88"/>
    <w:rsid w:val="006439E8"/>
    <w:rsid w:val="006441FC"/>
    <w:rsid w:val="006447CB"/>
    <w:rsid w:val="00644C43"/>
    <w:rsid w:val="00644CD6"/>
    <w:rsid w:val="00645B5D"/>
    <w:rsid w:val="006474E3"/>
    <w:rsid w:val="00647C01"/>
    <w:rsid w:val="00652C4A"/>
    <w:rsid w:val="00654E9B"/>
    <w:rsid w:val="006614E1"/>
    <w:rsid w:val="00663050"/>
    <w:rsid w:val="00663984"/>
    <w:rsid w:val="006650B6"/>
    <w:rsid w:val="00666F07"/>
    <w:rsid w:val="00667042"/>
    <w:rsid w:val="00667D23"/>
    <w:rsid w:val="00670CA5"/>
    <w:rsid w:val="00673A1A"/>
    <w:rsid w:val="00673BAB"/>
    <w:rsid w:val="0067457D"/>
    <w:rsid w:val="00675CC3"/>
    <w:rsid w:val="0067629A"/>
    <w:rsid w:val="006809A7"/>
    <w:rsid w:val="00681436"/>
    <w:rsid w:val="00681942"/>
    <w:rsid w:val="00681B68"/>
    <w:rsid w:val="00684FF8"/>
    <w:rsid w:val="00685631"/>
    <w:rsid w:val="00686062"/>
    <w:rsid w:val="0068717B"/>
    <w:rsid w:val="006903D7"/>
    <w:rsid w:val="00690AAB"/>
    <w:rsid w:val="0069180C"/>
    <w:rsid w:val="00691BC1"/>
    <w:rsid w:val="00691F59"/>
    <w:rsid w:val="00693B46"/>
    <w:rsid w:val="0069779C"/>
    <w:rsid w:val="006A01F6"/>
    <w:rsid w:val="006A0407"/>
    <w:rsid w:val="006A0811"/>
    <w:rsid w:val="006A0EFA"/>
    <w:rsid w:val="006A2907"/>
    <w:rsid w:val="006A3B60"/>
    <w:rsid w:val="006A3C2E"/>
    <w:rsid w:val="006A4683"/>
    <w:rsid w:val="006B2034"/>
    <w:rsid w:val="006B2902"/>
    <w:rsid w:val="006B5122"/>
    <w:rsid w:val="006B51CD"/>
    <w:rsid w:val="006B5732"/>
    <w:rsid w:val="006B5BB6"/>
    <w:rsid w:val="006C01F2"/>
    <w:rsid w:val="006C1686"/>
    <w:rsid w:val="006C1712"/>
    <w:rsid w:val="006C1EF7"/>
    <w:rsid w:val="006C25CC"/>
    <w:rsid w:val="006C3AC9"/>
    <w:rsid w:val="006C4886"/>
    <w:rsid w:val="006C571F"/>
    <w:rsid w:val="006C62D3"/>
    <w:rsid w:val="006C680F"/>
    <w:rsid w:val="006C760E"/>
    <w:rsid w:val="006D032C"/>
    <w:rsid w:val="006D12D5"/>
    <w:rsid w:val="006D2265"/>
    <w:rsid w:val="006D3D72"/>
    <w:rsid w:val="006D4B09"/>
    <w:rsid w:val="006D4C51"/>
    <w:rsid w:val="006D59E5"/>
    <w:rsid w:val="006D761E"/>
    <w:rsid w:val="006E09F9"/>
    <w:rsid w:val="006E1759"/>
    <w:rsid w:val="006E20DE"/>
    <w:rsid w:val="006E2488"/>
    <w:rsid w:val="006E32B9"/>
    <w:rsid w:val="006E62D6"/>
    <w:rsid w:val="006E7C99"/>
    <w:rsid w:val="006F39D4"/>
    <w:rsid w:val="006F42C7"/>
    <w:rsid w:val="006F4652"/>
    <w:rsid w:val="006F5AFF"/>
    <w:rsid w:val="006F6AB1"/>
    <w:rsid w:val="006F6E00"/>
    <w:rsid w:val="00700F25"/>
    <w:rsid w:val="0070110F"/>
    <w:rsid w:val="0070145E"/>
    <w:rsid w:val="007015DD"/>
    <w:rsid w:val="00701BC1"/>
    <w:rsid w:val="007042A8"/>
    <w:rsid w:val="00704D7A"/>
    <w:rsid w:val="00705FE8"/>
    <w:rsid w:val="00706BF8"/>
    <w:rsid w:val="00706FA7"/>
    <w:rsid w:val="00707AB2"/>
    <w:rsid w:val="00710228"/>
    <w:rsid w:val="007109EC"/>
    <w:rsid w:val="007131F5"/>
    <w:rsid w:val="007138CC"/>
    <w:rsid w:val="00713EE7"/>
    <w:rsid w:val="00713FC0"/>
    <w:rsid w:val="007143EA"/>
    <w:rsid w:val="007144F6"/>
    <w:rsid w:val="00716B41"/>
    <w:rsid w:val="00717C75"/>
    <w:rsid w:val="00717DD6"/>
    <w:rsid w:val="00720639"/>
    <w:rsid w:val="00722111"/>
    <w:rsid w:val="007239B0"/>
    <w:rsid w:val="007239BB"/>
    <w:rsid w:val="00723AA8"/>
    <w:rsid w:val="007258B4"/>
    <w:rsid w:val="0072732A"/>
    <w:rsid w:val="0072761A"/>
    <w:rsid w:val="00730494"/>
    <w:rsid w:val="00732566"/>
    <w:rsid w:val="007330C2"/>
    <w:rsid w:val="00735736"/>
    <w:rsid w:val="007403E7"/>
    <w:rsid w:val="007404FC"/>
    <w:rsid w:val="0074219B"/>
    <w:rsid w:val="00742272"/>
    <w:rsid w:val="007425DF"/>
    <w:rsid w:val="007425F3"/>
    <w:rsid w:val="00742850"/>
    <w:rsid w:val="007433D6"/>
    <w:rsid w:val="00743FF9"/>
    <w:rsid w:val="00745B93"/>
    <w:rsid w:val="00745E30"/>
    <w:rsid w:val="00746533"/>
    <w:rsid w:val="007465D2"/>
    <w:rsid w:val="00746F7E"/>
    <w:rsid w:val="007475F5"/>
    <w:rsid w:val="00750242"/>
    <w:rsid w:val="007508F5"/>
    <w:rsid w:val="00753720"/>
    <w:rsid w:val="00753CBC"/>
    <w:rsid w:val="00754615"/>
    <w:rsid w:val="00755CDB"/>
    <w:rsid w:val="00756EB1"/>
    <w:rsid w:val="00757925"/>
    <w:rsid w:val="00761179"/>
    <w:rsid w:val="00762366"/>
    <w:rsid w:val="00763C15"/>
    <w:rsid w:val="0076481F"/>
    <w:rsid w:val="00764885"/>
    <w:rsid w:val="007667AF"/>
    <w:rsid w:val="007669F0"/>
    <w:rsid w:val="00767DBD"/>
    <w:rsid w:val="00767F16"/>
    <w:rsid w:val="0077228A"/>
    <w:rsid w:val="00773105"/>
    <w:rsid w:val="0077366A"/>
    <w:rsid w:val="007742E1"/>
    <w:rsid w:val="0077461C"/>
    <w:rsid w:val="0077541E"/>
    <w:rsid w:val="007758BB"/>
    <w:rsid w:val="00777785"/>
    <w:rsid w:val="0078009D"/>
    <w:rsid w:val="007809AB"/>
    <w:rsid w:val="00780F3F"/>
    <w:rsid w:val="007811D1"/>
    <w:rsid w:val="00783335"/>
    <w:rsid w:val="007842AE"/>
    <w:rsid w:val="00784616"/>
    <w:rsid w:val="0078468A"/>
    <w:rsid w:val="007846C7"/>
    <w:rsid w:val="00786C14"/>
    <w:rsid w:val="00786CF8"/>
    <w:rsid w:val="00790478"/>
    <w:rsid w:val="0079049A"/>
    <w:rsid w:val="0079119B"/>
    <w:rsid w:val="007917ED"/>
    <w:rsid w:val="007932E7"/>
    <w:rsid w:val="00795129"/>
    <w:rsid w:val="00796D67"/>
    <w:rsid w:val="00796E82"/>
    <w:rsid w:val="00797B73"/>
    <w:rsid w:val="007A17CC"/>
    <w:rsid w:val="007A1A9D"/>
    <w:rsid w:val="007A2216"/>
    <w:rsid w:val="007A3006"/>
    <w:rsid w:val="007A31FD"/>
    <w:rsid w:val="007A3CFD"/>
    <w:rsid w:val="007A4862"/>
    <w:rsid w:val="007A4EC5"/>
    <w:rsid w:val="007A6555"/>
    <w:rsid w:val="007A70BE"/>
    <w:rsid w:val="007B1FB9"/>
    <w:rsid w:val="007B41BE"/>
    <w:rsid w:val="007B4E25"/>
    <w:rsid w:val="007B6193"/>
    <w:rsid w:val="007B68A4"/>
    <w:rsid w:val="007B6E9D"/>
    <w:rsid w:val="007B70CE"/>
    <w:rsid w:val="007B7214"/>
    <w:rsid w:val="007C15E7"/>
    <w:rsid w:val="007C16B5"/>
    <w:rsid w:val="007C2393"/>
    <w:rsid w:val="007C2C28"/>
    <w:rsid w:val="007C31E7"/>
    <w:rsid w:val="007C400B"/>
    <w:rsid w:val="007C48FA"/>
    <w:rsid w:val="007C5CFF"/>
    <w:rsid w:val="007C6C26"/>
    <w:rsid w:val="007C7948"/>
    <w:rsid w:val="007C7E7D"/>
    <w:rsid w:val="007D1024"/>
    <w:rsid w:val="007D381D"/>
    <w:rsid w:val="007D508B"/>
    <w:rsid w:val="007D6638"/>
    <w:rsid w:val="007D68F1"/>
    <w:rsid w:val="007D7F55"/>
    <w:rsid w:val="007E0C94"/>
    <w:rsid w:val="007E1659"/>
    <w:rsid w:val="007E20F1"/>
    <w:rsid w:val="007E2847"/>
    <w:rsid w:val="007E2B0F"/>
    <w:rsid w:val="007E2D4B"/>
    <w:rsid w:val="007E553E"/>
    <w:rsid w:val="007E68C5"/>
    <w:rsid w:val="007E7786"/>
    <w:rsid w:val="007F002A"/>
    <w:rsid w:val="007F1458"/>
    <w:rsid w:val="007F29D1"/>
    <w:rsid w:val="007F3DFC"/>
    <w:rsid w:val="007F4A14"/>
    <w:rsid w:val="007F4BF1"/>
    <w:rsid w:val="007F52CA"/>
    <w:rsid w:val="007F5317"/>
    <w:rsid w:val="007F6657"/>
    <w:rsid w:val="007F67B3"/>
    <w:rsid w:val="007F72FF"/>
    <w:rsid w:val="007F7978"/>
    <w:rsid w:val="008012B4"/>
    <w:rsid w:val="008026D5"/>
    <w:rsid w:val="00803D72"/>
    <w:rsid w:val="008042FB"/>
    <w:rsid w:val="0080530D"/>
    <w:rsid w:val="008062A1"/>
    <w:rsid w:val="00807E74"/>
    <w:rsid w:val="00810149"/>
    <w:rsid w:val="00812B10"/>
    <w:rsid w:val="00812D12"/>
    <w:rsid w:val="0081306B"/>
    <w:rsid w:val="0081331D"/>
    <w:rsid w:val="00813655"/>
    <w:rsid w:val="00815DE4"/>
    <w:rsid w:val="0081753C"/>
    <w:rsid w:val="00820339"/>
    <w:rsid w:val="00820AC9"/>
    <w:rsid w:val="0082142A"/>
    <w:rsid w:val="00822257"/>
    <w:rsid w:val="0082249F"/>
    <w:rsid w:val="00823259"/>
    <w:rsid w:val="008239BD"/>
    <w:rsid w:val="0082662C"/>
    <w:rsid w:val="00827DE4"/>
    <w:rsid w:val="008321C0"/>
    <w:rsid w:val="008331E5"/>
    <w:rsid w:val="0083325A"/>
    <w:rsid w:val="008349F1"/>
    <w:rsid w:val="0083580F"/>
    <w:rsid w:val="00836A4B"/>
    <w:rsid w:val="00837FAD"/>
    <w:rsid w:val="00840142"/>
    <w:rsid w:val="0084016A"/>
    <w:rsid w:val="00840FE7"/>
    <w:rsid w:val="0084166F"/>
    <w:rsid w:val="00841AAB"/>
    <w:rsid w:val="008437FB"/>
    <w:rsid w:val="00844410"/>
    <w:rsid w:val="00847CA1"/>
    <w:rsid w:val="008506CE"/>
    <w:rsid w:val="00850931"/>
    <w:rsid w:val="00850E78"/>
    <w:rsid w:val="00851C50"/>
    <w:rsid w:val="00853A80"/>
    <w:rsid w:val="00854470"/>
    <w:rsid w:val="00855262"/>
    <w:rsid w:val="008571E1"/>
    <w:rsid w:val="00857FF1"/>
    <w:rsid w:val="00860279"/>
    <w:rsid w:val="008611BF"/>
    <w:rsid w:val="0086132C"/>
    <w:rsid w:val="00864954"/>
    <w:rsid w:val="00864F94"/>
    <w:rsid w:val="0086594B"/>
    <w:rsid w:val="008664AF"/>
    <w:rsid w:val="008705EA"/>
    <w:rsid w:val="00870F6B"/>
    <w:rsid w:val="00872A40"/>
    <w:rsid w:val="00872D14"/>
    <w:rsid w:val="00872F93"/>
    <w:rsid w:val="0087321C"/>
    <w:rsid w:val="00873322"/>
    <w:rsid w:val="00873386"/>
    <w:rsid w:val="008748BA"/>
    <w:rsid w:val="00876AB4"/>
    <w:rsid w:val="0087773A"/>
    <w:rsid w:val="00877A12"/>
    <w:rsid w:val="0088039D"/>
    <w:rsid w:val="008809A0"/>
    <w:rsid w:val="00880ADE"/>
    <w:rsid w:val="00883A35"/>
    <w:rsid w:val="00883F8E"/>
    <w:rsid w:val="00886F57"/>
    <w:rsid w:val="00887700"/>
    <w:rsid w:val="00887CD9"/>
    <w:rsid w:val="00890084"/>
    <w:rsid w:val="00891F5C"/>
    <w:rsid w:val="00892B80"/>
    <w:rsid w:val="00892E8C"/>
    <w:rsid w:val="00894B35"/>
    <w:rsid w:val="008956BB"/>
    <w:rsid w:val="0089645D"/>
    <w:rsid w:val="00896810"/>
    <w:rsid w:val="00896C79"/>
    <w:rsid w:val="008A089C"/>
    <w:rsid w:val="008A1213"/>
    <w:rsid w:val="008A127C"/>
    <w:rsid w:val="008A196C"/>
    <w:rsid w:val="008A1FA5"/>
    <w:rsid w:val="008A2244"/>
    <w:rsid w:val="008A2560"/>
    <w:rsid w:val="008A350F"/>
    <w:rsid w:val="008A5BC7"/>
    <w:rsid w:val="008B07E1"/>
    <w:rsid w:val="008B0BF7"/>
    <w:rsid w:val="008B2223"/>
    <w:rsid w:val="008B257B"/>
    <w:rsid w:val="008B2813"/>
    <w:rsid w:val="008B4379"/>
    <w:rsid w:val="008B5874"/>
    <w:rsid w:val="008B7152"/>
    <w:rsid w:val="008B7337"/>
    <w:rsid w:val="008B76D7"/>
    <w:rsid w:val="008B78C3"/>
    <w:rsid w:val="008B7BE1"/>
    <w:rsid w:val="008C038B"/>
    <w:rsid w:val="008C0F10"/>
    <w:rsid w:val="008C1284"/>
    <w:rsid w:val="008C12E9"/>
    <w:rsid w:val="008C18FD"/>
    <w:rsid w:val="008C19D6"/>
    <w:rsid w:val="008C2EF7"/>
    <w:rsid w:val="008C40D0"/>
    <w:rsid w:val="008C4744"/>
    <w:rsid w:val="008D1F6E"/>
    <w:rsid w:val="008D23F1"/>
    <w:rsid w:val="008D25AD"/>
    <w:rsid w:val="008D3365"/>
    <w:rsid w:val="008D379B"/>
    <w:rsid w:val="008D3C58"/>
    <w:rsid w:val="008D56D6"/>
    <w:rsid w:val="008D5831"/>
    <w:rsid w:val="008D5EF1"/>
    <w:rsid w:val="008D6B36"/>
    <w:rsid w:val="008D7C32"/>
    <w:rsid w:val="008E2384"/>
    <w:rsid w:val="008E475A"/>
    <w:rsid w:val="008E4A45"/>
    <w:rsid w:val="008E4F56"/>
    <w:rsid w:val="008E615D"/>
    <w:rsid w:val="008E786C"/>
    <w:rsid w:val="008F09DD"/>
    <w:rsid w:val="008F1A8F"/>
    <w:rsid w:val="008F1F6F"/>
    <w:rsid w:val="008F23F3"/>
    <w:rsid w:val="008F2428"/>
    <w:rsid w:val="008F2ED7"/>
    <w:rsid w:val="008F4F87"/>
    <w:rsid w:val="008F55B8"/>
    <w:rsid w:val="008F679B"/>
    <w:rsid w:val="008F76CA"/>
    <w:rsid w:val="00902068"/>
    <w:rsid w:val="0090269A"/>
    <w:rsid w:val="00902E69"/>
    <w:rsid w:val="009030B8"/>
    <w:rsid w:val="00903301"/>
    <w:rsid w:val="009043F0"/>
    <w:rsid w:val="0090440A"/>
    <w:rsid w:val="00904A17"/>
    <w:rsid w:val="00905A28"/>
    <w:rsid w:val="0090610F"/>
    <w:rsid w:val="00906B68"/>
    <w:rsid w:val="0091171A"/>
    <w:rsid w:val="00911B92"/>
    <w:rsid w:val="0091283C"/>
    <w:rsid w:val="00914E14"/>
    <w:rsid w:val="0091513A"/>
    <w:rsid w:val="00916009"/>
    <w:rsid w:val="009162B5"/>
    <w:rsid w:val="009201E3"/>
    <w:rsid w:val="0092169D"/>
    <w:rsid w:val="00921FE5"/>
    <w:rsid w:val="009221DE"/>
    <w:rsid w:val="00922784"/>
    <w:rsid w:val="00922E6F"/>
    <w:rsid w:val="00924A2E"/>
    <w:rsid w:val="00924CFB"/>
    <w:rsid w:val="00926499"/>
    <w:rsid w:val="009319D5"/>
    <w:rsid w:val="009323FB"/>
    <w:rsid w:val="00932910"/>
    <w:rsid w:val="00933076"/>
    <w:rsid w:val="009359A3"/>
    <w:rsid w:val="0093627B"/>
    <w:rsid w:val="00936775"/>
    <w:rsid w:val="00936D73"/>
    <w:rsid w:val="00937CFE"/>
    <w:rsid w:val="009408DB"/>
    <w:rsid w:val="00940EEF"/>
    <w:rsid w:val="00941651"/>
    <w:rsid w:val="0094279E"/>
    <w:rsid w:val="00943AEC"/>
    <w:rsid w:val="00944704"/>
    <w:rsid w:val="009454BD"/>
    <w:rsid w:val="00946524"/>
    <w:rsid w:val="009468BE"/>
    <w:rsid w:val="00946B66"/>
    <w:rsid w:val="00947547"/>
    <w:rsid w:val="00947ED8"/>
    <w:rsid w:val="00950177"/>
    <w:rsid w:val="00951811"/>
    <w:rsid w:val="00952E02"/>
    <w:rsid w:val="00953AE0"/>
    <w:rsid w:val="00953DB2"/>
    <w:rsid w:val="00955143"/>
    <w:rsid w:val="00955BD8"/>
    <w:rsid w:val="00957752"/>
    <w:rsid w:val="00957CE7"/>
    <w:rsid w:val="0096015D"/>
    <w:rsid w:val="00961EB0"/>
    <w:rsid w:val="009635BF"/>
    <w:rsid w:val="00963CAB"/>
    <w:rsid w:val="00964ACB"/>
    <w:rsid w:val="00966831"/>
    <w:rsid w:val="0096765D"/>
    <w:rsid w:val="0097005C"/>
    <w:rsid w:val="00970225"/>
    <w:rsid w:val="009719C2"/>
    <w:rsid w:val="00971B94"/>
    <w:rsid w:val="00972643"/>
    <w:rsid w:val="00973AC1"/>
    <w:rsid w:val="00974CC1"/>
    <w:rsid w:val="00975E52"/>
    <w:rsid w:val="00976102"/>
    <w:rsid w:val="009774FB"/>
    <w:rsid w:val="009835EC"/>
    <w:rsid w:val="00983891"/>
    <w:rsid w:val="00983CDB"/>
    <w:rsid w:val="00983FA9"/>
    <w:rsid w:val="00984131"/>
    <w:rsid w:val="00984D14"/>
    <w:rsid w:val="00986227"/>
    <w:rsid w:val="009864B9"/>
    <w:rsid w:val="00992A4C"/>
    <w:rsid w:val="00992FF1"/>
    <w:rsid w:val="009939DE"/>
    <w:rsid w:val="00993AE2"/>
    <w:rsid w:val="00993CB3"/>
    <w:rsid w:val="00994D7A"/>
    <w:rsid w:val="00996342"/>
    <w:rsid w:val="00996BAE"/>
    <w:rsid w:val="00997C01"/>
    <w:rsid w:val="009A0563"/>
    <w:rsid w:val="009A064B"/>
    <w:rsid w:val="009A0BC4"/>
    <w:rsid w:val="009A516D"/>
    <w:rsid w:val="009A51E9"/>
    <w:rsid w:val="009A5863"/>
    <w:rsid w:val="009A63D6"/>
    <w:rsid w:val="009A6BE2"/>
    <w:rsid w:val="009B17FF"/>
    <w:rsid w:val="009B210F"/>
    <w:rsid w:val="009B2473"/>
    <w:rsid w:val="009B26C4"/>
    <w:rsid w:val="009B5A12"/>
    <w:rsid w:val="009B5EFB"/>
    <w:rsid w:val="009B5F07"/>
    <w:rsid w:val="009B6977"/>
    <w:rsid w:val="009C12A4"/>
    <w:rsid w:val="009C1425"/>
    <w:rsid w:val="009C252C"/>
    <w:rsid w:val="009C2819"/>
    <w:rsid w:val="009C2F33"/>
    <w:rsid w:val="009C390B"/>
    <w:rsid w:val="009C3AAD"/>
    <w:rsid w:val="009C40DC"/>
    <w:rsid w:val="009C42A3"/>
    <w:rsid w:val="009C6B93"/>
    <w:rsid w:val="009C73A7"/>
    <w:rsid w:val="009C7CA6"/>
    <w:rsid w:val="009D2266"/>
    <w:rsid w:val="009D273F"/>
    <w:rsid w:val="009D65EC"/>
    <w:rsid w:val="009D69EC"/>
    <w:rsid w:val="009D6FE3"/>
    <w:rsid w:val="009D70A3"/>
    <w:rsid w:val="009E0DA2"/>
    <w:rsid w:val="009E2139"/>
    <w:rsid w:val="009E2805"/>
    <w:rsid w:val="009E281D"/>
    <w:rsid w:val="009E39FC"/>
    <w:rsid w:val="009E699A"/>
    <w:rsid w:val="009F0181"/>
    <w:rsid w:val="009F1D42"/>
    <w:rsid w:val="009F2141"/>
    <w:rsid w:val="009F560B"/>
    <w:rsid w:val="009F6349"/>
    <w:rsid w:val="009F6D17"/>
    <w:rsid w:val="009F6FBF"/>
    <w:rsid w:val="009F70BF"/>
    <w:rsid w:val="009F7194"/>
    <w:rsid w:val="009F74B4"/>
    <w:rsid w:val="009F779F"/>
    <w:rsid w:val="00A004BA"/>
    <w:rsid w:val="00A017C5"/>
    <w:rsid w:val="00A01D0A"/>
    <w:rsid w:val="00A02215"/>
    <w:rsid w:val="00A022AE"/>
    <w:rsid w:val="00A05DCC"/>
    <w:rsid w:val="00A06B5F"/>
    <w:rsid w:val="00A06F34"/>
    <w:rsid w:val="00A077D8"/>
    <w:rsid w:val="00A07CEC"/>
    <w:rsid w:val="00A10285"/>
    <w:rsid w:val="00A10850"/>
    <w:rsid w:val="00A10957"/>
    <w:rsid w:val="00A119F8"/>
    <w:rsid w:val="00A11FC9"/>
    <w:rsid w:val="00A137F0"/>
    <w:rsid w:val="00A152ED"/>
    <w:rsid w:val="00A16C81"/>
    <w:rsid w:val="00A20480"/>
    <w:rsid w:val="00A20FB3"/>
    <w:rsid w:val="00A23282"/>
    <w:rsid w:val="00A234C5"/>
    <w:rsid w:val="00A23D23"/>
    <w:rsid w:val="00A27011"/>
    <w:rsid w:val="00A3190F"/>
    <w:rsid w:val="00A32CAE"/>
    <w:rsid w:val="00A33861"/>
    <w:rsid w:val="00A34927"/>
    <w:rsid w:val="00A37A4E"/>
    <w:rsid w:val="00A41B31"/>
    <w:rsid w:val="00A41C35"/>
    <w:rsid w:val="00A42A99"/>
    <w:rsid w:val="00A470B4"/>
    <w:rsid w:val="00A50F4B"/>
    <w:rsid w:val="00A510E9"/>
    <w:rsid w:val="00A5195C"/>
    <w:rsid w:val="00A51F7B"/>
    <w:rsid w:val="00A5225B"/>
    <w:rsid w:val="00A524D2"/>
    <w:rsid w:val="00A53E37"/>
    <w:rsid w:val="00A53F73"/>
    <w:rsid w:val="00A548A1"/>
    <w:rsid w:val="00A55990"/>
    <w:rsid w:val="00A5624A"/>
    <w:rsid w:val="00A6002C"/>
    <w:rsid w:val="00A60A7E"/>
    <w:rsid w:val="00A60F8D"/>
    <w:rsid w:val="00A62922"/>
    <w:rsid w:val="00A6345D"/>
    <w:rsid w:val="00A64B23"/>
    <w:rsid w:val="00A67C5D"/>
    <w:rsid w:val="00A70A69"/>
    <w:rsid w:val="00A7110D"/>
    <w:rsid w:val="00A73A09"/>
    <w:rsid w:val="00A74C8D"/>
    <w:rsid w:val="00A76969"/>
    <w:rsid w:val="00A77650"/>
    <w:rsid w:val="00A77C04"/>
    <w:rsid w:val="00A81849"/>
    <w:rsid w:val="00A81BA2"/>
    <w:rsid w:val="00A82376"/>
    <w:rsid w:val="00A82BF9"/>
    <w:rsid w:val="00A82CAA"/>
    <w:rsid w:val="00A836CF"/>
    <w:rsid w:val="00A875FD"/>
    <w:rsid w:val="00A876AA"/>
    <w:rsid w:val="00A900E8"/>
    <w:rsid w:val="00A90D8A"/>
    <w:rsid w:val="00A919F6"/>
    <w:rsid w:val="00A97B48"/>
    <w:rsid w:val="00AA0A52"/>
    <w:rsid w:val="00AA0B3C"/>
    <w:rsid w:val="00AA1D82"/>
    <w:rsid w:val="00AA3AB8"/>
    <w:rsid w:val="00AA67D3"/>
    <w:rsid w:val="00AB0E7F"/>
    <w:rsid w:val="00AB46C9"/>
    <w:rsid w:val="00AB5290"/>
    <w:rsid w:val="00AB5735"/>
    <w:rsid w:val="00AB598D"/>
    <w:rsid w:val="00AB69E2"/>
    <w:rsid w:val="00AC09B2"/>
    <w:rsid w:val="00AC33BC"/>
    <w:rsid w:val="00AC43C2"/>
    <w:rsid w:val="00AC4A46"/>
    <w:rsid w:val="00AD066F"/>
    <w:rsid w:val="00AD1E74"/>
    <w:rsid w:val="00AD5198"/>
    <w:rsid w:val="00AD534E"/>
    <w:rsid w:val="00AD5550"/>
    <w:rsid w:val="00AD628E"/>
    <w:rsid w:val="00AD69B8"/>
    <w:rsid w:val="00AE07B9"/>
    <w:rsid w:val="00AE1FD2"/>
    <w:rsid w:val="00AE2076"/>
    <w:rsid w:val="00AE4B4E"/>
    <w:rsid w:val="00AE4B6B"/>
    <w:rsid w:val="00AE558B"/>
    <w:rsid w:val="00AE5E63"/>
    <w:rsid w:val="00AE7518"/>
    <w:rsid w:val="00AF1183"/>
    <w:rsid w:val="00AF13EB"/>
    <w:rsid w:val="00AF4510"/>
    <w:rsid w:val="00AF5820"/>
    <w:rsid w:val="00B003F8"/>
    <w:rsid w:val="00B00BA2"/>
    <w:rsid w:val="00B0192C"/>
    <w:rsid w:val="00B019DB"/>
    <w:rsid w:val="00B02837"/>
    <w:rsid w:val="00B02CD2"/>
    <w:rsid w:val="00B0741C"/>
    <w:rsid w:val="00B104FF"/>
    <w:rsid w:val="00B10E35"/>
    <w:rsid w:val="00B12C5E"/>
    <w:rsid w:val="00B16926"/>
    <w:rsid w:val="00B16EE9"/>
    <w:rsid w:val="00B1713A"/>
    <w:rsid w:val="00B17333"/>
    <w:rsid w:val="00B17547"/>
    <w:rsid w:val="00B2028E"/>
    <w:rsid w:val="00B21EC2"/>
    <w:rsid w:val="00B21F22"/>
    <w:rsid w:val="00B223D8"/>
    <w:rsid w:val="00B23C57"/>
    <w:rsid w:val="00B244F9"/>
    <w:rsid w:val="00B24D0D"/>
    <w:rsid w:val="00B27DC2"/>
    <w:rsid w:val="00B3161D"/>
    <w:rsid w:val="00B31896"/>
    <w:rsid w:val="00B3297B"/>
    <w:rsid w:val="00B3426A"/>
    <w:rsid w:val="00B358E0"/>
    <w:rsid w:val="00B36D73"/>
    <w:rsid w:val="00B373B2"/>
    <w:rsid w:val="00B4091D"/>
    <w:rsid w:val="00B41663"/>
    <w:rsid w:val="00B41DE7"/>
    <w:rsid w:val="00B421B7"/>
    <w:rsid w:val="00B44546"/>
    <w:rsid w:val="00B44AA2"/>
    <w:rsid w:val="00B45529"/>
    <w:rsid w:val="00B46E25"/>
    <w:rsid w:val="00B528F3"/>
    <w:rsid w:val="00B5472D"/>
    <w:rsid w:val="00B55AEC"/>
    <w:rsid w:val="00B5696C"/>
    <w:rsid w:val="00B57ED8"/>
    <w:rsid w:val="00B57FA7"/>
    <w:rsid w:val="00B60972"/>
    <w:rsid w:val="00B62115"/>
    <w:rsid w:val="00B63B12"/>
    <w:rsid w:val="00B64476"/>
    <w:rsid w:val="00B64506"/>
    <w:rsid w:val="00B650B5"/>
    <w:rsid w:val="00B662E7"/>
    <w:rsid w:val="00B6655B"/>
    <w:rsid w:val="00B67AD8"/>
    <w:rsid w:val="00B71844"/>
    <w:rsid w:val="00B71D2E"/>
    <w:rsid w:val="00B72815"/>
    <w:rsid w:val="00B73B98"/>
    <w:rsid w:val="00B748C2"/>
    <w:rsid w:val="00B748CE"/>
    <w:rsid w:val="00B75F4F"/>
    <w:rsid w:val="00B76D00"/>
    <w:rsid w:val="00B779DB"/>
    <w:rsid w:val="00B80B35"/>
    <w:rsid w:val="00B8306B"/>
    <w:rsid w:val="00B83D8D"/>
    <w:rsid w:val="00B86F0E"/>
    <w:rsid w:val="00B93303"/>
    <w:rsid w:val="00B9521D"/>
    <w:rsid w:val="00B97169"/>
    <w:rsid w:val="00BA0539"/>
    <w:rsid w:val="00BA18EA"/>
    <w:rsid w:val="00BA2219"/>
    <w:rsid w:val="00BA2520"/>
    <w:rsid w:val="00BA38D7"/>
    <w:rsid w:val="00BA40BA"/>
    <w:rsid w:val="00BA5BAA"/>
    <w:rsid w:val="00BA5F4C"/>
    <w:rsid w:val="00BA763A"/>
    <w:rsid w:val="00BA7FAE"/>
    <w:rsid w:val="00BB0167"/>
    <w:rsid w:val="00BB1119"/>
    <w:rsid w:val="00BB24C2"/>
    <w:rsid w:val="00BB25B8"/>
    <w:rsid w:val="00BB3238"/>
    <w:rsid w:val="00BB5609"/>
    <w:rsid w:val="00BB57FD"/>
    <w:rsid w:val="00BB75A3"/>
    <w:rsid w:val="00BB78EB"/>
    <w:rsid w:val="00BB7DF2"/>
    <w:rsid w:val="00BC06CA"/>
    <w:rsid w:val="00BC38B2"/>
    <w:rsid w:val="00BC55C4"/>
    <w:rsid w:val="00BC5D83"/>
    <w:rsid w:val="00BC5EE6"/>
    <w:rsid w:val="00BC6909"/>
    <w:rsid w:val="00BC73AB"/>
    <w:rsid w:val="00BC7DAA"/>
    <w:rsid w:val="00BD032C"/>
    <w:rsid w:val="00BD186B"/>
    <w:rsid w:val="00BD1A90"/>
    <w:rsid w:val="00BD1B1E"/>
    <w:rsid w:val="00BD2DF2"/>
    <w:rsid w:val="00BD306D"/>
    <w:rsid w:val="00BD4C3E"/>
    <w:rsid w:val="00BD4C5D"/>
    <w:rsid w:val="00BD4DD8"/>
    <w:rsid w:val="00BD5191"/>
    <w:rsid w:val="00BD5CC7"/>
    <w:rsid w:val="00BD62A8"/>
    <w:rsid w:val="00BD673C"/>
    <w:rsid w:val="00BD684A"/>
    <w:rsid w:val="00BD6914"/>
    <w:rsid w:val="00BE1589"/>
    <w:rsid w:val="00BE2BEE"/>
    <w:rsid w:val="00BE3E4F"/>
    <w:rsid w:val="00BE4309"/>
    <w:rsid w:val="00BE5DC0"/>
    <w:rsid w:val="00BE629E"/>
    <w:rsid w:val="00BE77FA"/>
    <w:rsid w:val="00BE7CAF"/>
    <w:rsid w:val="00BF11B3"/>
    <w:rsid w:val="00BF59AA"/>
    <w:rsid w:val="00BF60F5"/>
    <w:rsid w:val="00C0034E"/>
    <w:rsid w:val="00C017B1"/>
    <w:rsid w:val="00C0340C"/>
    <w:rsid w:val="00C0344D"/>
    <w:rsid w:val="00C03539"/>
    <w:rsid w:val="00C04648"/>
    <w:rsid w:val="00C05088"/>
    <w:rsid w:val="00C054F5"/>
    <w:rsid w:val="00C1066F"/>
    <w:rsid w:val="00C1363F"/>
    <w:rsid w:val="00C147A7"/>
    <w:rsid w:val="00C15D8E"/>
    <w:rsid w:val="00C1607F"/>
    <w:rsid w:val="00C16AFB"/>
    <w:rsid w:val="00C17E94"/>
    <w:rsid w:val="00C21896"/>
    <w:rsid w:val="00C22C68"/>
    <w:rsid w:val="00C23628"/>
    <w:rsid w:val="00C2655B"/>
    <w:rsid w:val="00C27DCC"/>
    <w:rsid w:val="00C27FF7"/>
    <w:rsid w:val="00C31D1E"/>
    <w:rsid w:val="00C31D48"/>
    <w:rsid w:val="00C33D1E"/>
    <w:rsid w:val="00C35224"/>
    <w:rsid w:val="00C364BC"/>
    <w:rsid w:val="00C373C9"/>
    <w:rsid w:val="00C404C6"/>
    <w:rsid w:val="00C40EEF"/>
    <w:rsid w:val="00C423FF"/>
    <w:rsid w:val="00C440B5"/>
    <w:rsid w:val="00C44895"/>
    <w:rsid w:val="00C46D50"/>
    <w:rsid w:val="00C475B7"/>
    <w:rsid w:val="00C47A6D"/>
    <w:rsid w:val="00C523AF"/>
    <w:rsid w:val="00C55050"/>
    <w:rsid w:val="00C558B9"/>
    <w:rsid w:val="00C56CC0"/>
    <w:rsid w:val="00C61B53"/>
    <w:rsid w:val="00C646C0"/>
    <w:rsid w:val="00C65A74"/>
    <w:rsid w:val="00C65D37"/>
    <w:rsid w:val="00C66270"/>
    <w:rsid w:val="00C66C27"/>
    <w:rsid w:val="00C67138"/>
    <w:rsid w:val="00C6737B"/>
    <w:rsid w:val="00C708C9"/>
    <w:rsid w:val="00C70E21"/>
    <w:rsid w:val="00C71CBD"/>
    <w:rsid w:val="00C71E3C"/>
    <w:rsid w:val="00C7299D"/>
    <w:rsid w:val="00C73376"/>
    <w:rsid w:val="00C762D6"/>
    <w:rsid w:val="00C8442D"/>
    <w:rsid w:val="00C85B0E"/>
    <w:rsid w:val="00C85B73"/>
    <w:rsid w:val="00C86868"/>
    <w:rsid w:val="00C9156B"/>
    <w:rsid w:val="00C923E9"/>
    <w:rsid w:val="00C92610"/>
    <w:rsid w:val="00C92F2E"/>
    <w:rsid w:val="00C92FEE"/>
    <w:rsid w:val="00C936AE"/>
    <w:rsid w:val="00C95ABF"/>
    <w:rsid w:val="00C95F13"/>
    <w:rsid w:val="00C965E3"/>
    <w:rsid w:val="00CA10C4"/>
    <w:rsid w:val="00CA1F29"/>
    <w:rsid w:val="00CA2880"/>
    <w:rsid w:val="00CA4317"/>
    <w:rsid w:val="00CA59AC"/>
    <w:rsid w:val="00CA5A71"/>
    <w:rsid w:val="00CA7D5A"/>
    <w:rsid w:val="00CB1B6D"/>
    <w:rsid w:val="00CB39CA"/>
    <w:rsid w:val="00CB4658"/>
    <w:rsid w:val="00CB6944"/>
    <w:rsid w:val="00CB7169"/>
    <w:rsid w:val="00CB7F9E"/>
    <w:rsid w:val="00CC09AD"/>
    <w:rsid w:val="00CC1F53"/>
    <w:rsid w:val="00CC4530"/>
    <w:rsid w:val="00CC4582"/>
    <w:rsid w:val="00CC49F9"/>
    <w:rsid w:val="00CC592E"/>
    <w:rsid w:val="00CC62BD"/>
    <w:rsid w:val="00CC73E7"/>
    <w:rsid w:val="00CC7787"/>
    <w:rsid w:val="00CC779F"/>
    <w:rsid w:val="00CD0CCA"/>
    <w:rsid w:val="00CD2DAC"/>
    <w:rsid w:val="00CD4D7B"/>
    <w:rsid w:val="00CD6390"/>
    <w:rsid w:val="00CD64B8"/>
    <w:rsid w:val="00CD6BB4"/>
    <w:rsid w:val="00CE014B"/>
    <w:rsid w:val="00CE168C"/>
    <w:rsid w:val="00CE3564"/>
    <w:rsid w:val="00CE44D2"/>
    <w:rsid w:val="00CE51DD"/>
    <w:rsid w:val="00CE559B"/>
    <w:rsid w:val="00CE6090"/>
    <w:rsid w:val="00CE6E96"/>
    <w:rsid w:val="00CE7A8B"/>
    <w:rsid w:val="00CE7DBB"/>
    <w:rsid w:val="00CE7FF1"/>
    <w:rsid w:val="00CF18A5"/>
    <w:rsid w:val="00CF229C"/>
    <w:rsid w:val="00CF4FCF"/>
    <w:rsid w:val="00CF5522"/>
    <w:rsid w:val="00CF724C"/>
    <w:rsid w:val="00D047BB"/>
    <w:rsid w:val="00D04B85"/>
    <w:rsid w:val="00D12790"/>
    <w:rsid w:val="00D13CBB"/>
    <w:rsid w:val="00D201A8"/>
    <w:rsid w:val="00D21FA1"/>
    <w:rsid w:val="00D22953"/>
    <w:rsid w:val="00D30856"/>
    <w:rsid w:val="00D31CD3"/>
    <w:rsid w:val="00D32B55"/>
    <w:rsid w:val="00D3365C"/>
    <w:rsid w:val="00D34C84"/>
    <w:rsid w:val="00D359E2"/>
    <w:rsid w:val="00D36ED4"/>
    <w:rsid w:val="00D42634"/>
    <w:rsid w:val="00D44E8A"/>
    <w:rsid w:val="00D512CF"/>
    <w:rsid w:val="00D521BA"/>
    <w:rsid w:val="00D527E3"/>
    <w:rsid w:val="00D52D0C"/>
    <w:rsid w:val="00D5593A"/>
    <w:rsid w:val="00D55F12"/>
    <w:rsid w:val="00D5617A"/>
    <w:rsid w:val="00D5652B"/>
    <w:rsid w:val="00D56797"/>
    <w:rsid w:val="00D60A9F"/>
    <w:rsid w:val="00D628B4"/>
    <w:rsid w:val="00D62B64"/>
    <w:rsid w:val="00D62CE3"/>
    <w:rsid w:val="00D63C99"/>
    <w:rsid w:val="00D6510C"/>
    <w:rsid w:val="00D65D79"/>
    <w:rsid w:val="00D66E28"/>
    <w:rsid w:val="00D670BC"/>
    <w:rsid w:val="00D67D50"/>
    <w:rsid w:val="00D700F5"/>
    <w:rsid w:val="00D71412"/>
    <w:rsid w:val="00D72677"/>
    <w:rsid w:val="00D73B76"/>
    <w:rsid w:val="00D75D18"/>
    <w:rsid w:val="00D761C4"/>
    <w:rsid w:val="00D80A13"/>
    <w:rsid w:val="00D81707"/>
    <w:rsid w:val="00D82314"/>
    <w:rsid w:val="00D83E09"/>
    <w:rsid w:val="00D83F51"/>
    <w:rsid w:val="00D85228"/>
    <w:rsid w:val="00D85DF9"/>
    <w:rsid w:val="00D908FC"/>
    <w:rsid w:val="00D90F31"/>
    <w:rsid w:val="00D92141"/>
    <w:rsid w:val="00D92CDF"/>
    <w:rsid w:val="00D92D6B"/>
    <w:rsid w:val="00D93B0B"/>
    <w:rsid w:val="00D95474"/>
    <w:rsid w:val="00D95997"/>
    <w:rsid w:val="00D966A4"/>
    <w:rsid w:val="00D96F4A"/>
    <w:rsid w:val="00D970C2"/>
    <w:rsid w:val="00D9763A"/>
    <w:rsid w:val="00D97A7B"/>
    <w:rsid w:val="00DA0C9B"/>
    <w:rsid w:val="00DA1FD3"/>
    <w:rsid w:val="00DA2BE4"/>
    <w:rsid w:val="00DA350E"/>
    <w:rsid w:val="00DA4122"/>
    <w:rsid w:val="00DA51A6"/>
    <w:rsid w:val="00DA5F49"/>
    <w:rsid w:val="00DA74F8"/>
    <w:rsid w:val="00DA7C67"/>
    <w:rsid w:val="00DA7CFD"/>
    <w:rsid w:val="00DA7E42"/>
    <w:rsid w:val="00DB1AD8"/>
    <w:rsid w:val="00DB1E50"/>
    <w:rsid w:val="00DB22D4"/>
    <w:rsid w:val="00DB2E43"/>
    <w:rsid w:val="00DB42E6"/>
    <w:rsid w:val="00DB6968"/>
    <w:rsid w:val="00DB6F94"/>
    <w:rsid w:val="00DB72A3"/>
    <w:rsid w:val="00DC0216"/>
    <w:rsid w:val="00DC0679"/>
    <w:rsid w:val="00DC0A1B"/>
    <w:rsid w:val="00DC2286"/>
    <w:rsid w:val="00DC4E60"/>
    <w:rsid w:val="00DC4FDA"/>
    <w:rsid w:val="00DC52C9"/>
    <w:rsid w:val="00DC7CC9"/>
    <w:rsid w:val="00DC7E1E"/>
    <w:rsid w:val="00DC7F01"/>
    <w:rsid w:val="00DD08DF"/>
    <w:rsid w:val="00DD1550"/>
    <w:rsid w:val="00DD1616"/>
    <w:rsid w:val="00DD1811"/>
    <w:rsid w:val="00DD20D0"/>
    <w:rsid w:val="00DD236B"/>
    <w:rsid w:val="00DD2431"/>
    <w:rsid w:val="00DD3F16"/>
    <w:rsid w:val="00DD4341"/>
    <w:rsid w:val="00DD4C56"/>
    <w:rsid w:val="00DD6583"/>
    <w:rsid w:val="00DE1504"/>
    <w:rsid w:val="00DE154A"/>
    <w:rsid w:val="00DE3213"/>
    <w:rsid w:val="00DE45EA"/>
    <w:rsid w:val="00DE5F47"/>
    <w:rsid w:val="00DE753C"/>
    <w:rsid w:val="00DF02BE"/>
    <w:rsid w:val="00DF1B39"/>
    <w:rsid w:val="00DF27C1"/>
    <w:rsid w:val="00DF398D"/>
    <w:rsid w:val="00DF3A7A"/>
    <w:rsid w:val="00DF3B4F"/>
    <w:rsid w:val="00DF3CB7"/>
    <w:rsid w:val="00DF4BFD"/>
    <w:rsid w:val="00DF5BDC"/>
    <w:rsid w:val="00DF6AB3"/>
    <w:rsid w:val="00DF6BDB"/>
    <w:rsid w:val="00DF7840"/>
    <w:rsid w:val="00DF7B84"/>
    <w:rsid w:val="00E009C6"/>
    <w:rsid w:val="00E0223D"/>
    <w:rsid w:val="00E0475C"/>
    <w:rsid w:val="00E053B6"/>
    <w:rsid w:val="00E05D7A"/>
    <w:rsid w:val="00E067E6"/>
    <w:rsid w:val="00E072EC"/>
    <w:rsid w:val="00E12E5F"/>
    <w:rsid w:val="00E21AC6"/>
    <w:rsid w:val="00E23598"/>
    <w:rsid w:val="00E24627"/>
    <w:rsid w:val="00E24A5B"/>
    <w:rsid w:val="00E25CBE"/>
    <w:rsid w:val="00E25E4B"/>
    <w:rsid w:val="00E27C10"/>
    <w:rsid w:val="00E309A5"/>
    <w:rsid w:val="00E315D7"/>
    <w:rsid w:val="00E3592B"/>
    <w:rsid w:val="00E3766D"/>
    <w:rsid w:val="00E37C65"/>
    <w:rsid w:val="00E4117C"/>
    <w:rsid w:val="00E42198"/>
    <w:rsid w:val="00E433CA"/>
    <w:rsid w:val="00E448F1"/>
    <w:rsid w:val="00E44B12"/>
    <w:rsid w:val="00E44C16"/>
    <w:rsid w:val="00E45055"/>
    <w:rsid w:val="00E4624A"/>
    <w:rsid w:val="00E463C0"/>
    <w:rsid w:val="00E4711F"/>
    <w:rsid w:val="00E47FDD"/>
    <w:rsid w:val="00E520A2"/>
    <w:rsid w:val="00E52ED2"/>
    <w:rsid w:val="00E537AD"/>
    <w:rsid w:val="00E545F0"/>
    <w:rsid w:val="00E55E06"/>
    <w:rsid w:val="00E56DA5"/>
    <w:rsid w:val="00E57B15"/>
    <w:rsid w:val="00E60FDC"/>
    <w:rsid w:val="00E6303F"/>
    <w:rsid w:val="00E64379"/>
    <w:rsid w:val="00E64E86"/>
    <w:rsid w:val="00E6553E"/>
    <w:rsid w:val="00E663BE"/>
    <w:rsid w:val="00E666DC"/>
    <w:rsid w:val="00E679FA"/>
    <w:rsid w:val="00E702F4"/>
    <w:rsid w:val="00E70386"/>
    <w:rsid w:val="00E72598"/>
    <w:rsid w:val="00E7593F"/>
    <w:rsid w:val="00E76A2A"/>
    <w:rsid w:val="00E80BD4"/>
    <w:rsid w:val="00E80ECB"/>
    <w:rsid w:val="00E81970"/>
    <w:rsid w:val="00E824CB"/>
    <w:rsid w:val="00E84C85"/>
    <w:rsid w:val="00E85A62"/>
    <w:rsid w:val="00E866BE"/>
    <w:rsid w:val="00E90512"/>
    <w:rsid w:val="00E910B5"/>
    <w:rsid w:val="00E91997"/>
    <w:rsid w:val="00E9689E"/>
    <w:rsid w:val="00EA0B03"/>
    <w:rsid w:val="00EA0C33"/>
    <w:rsid w:val="00EA0FA8"/>
    <w:rsid w:val="00EA29B1"/>
    <w:rsid w:val="00EA51EE"/>
    <w:rsid w:val="00EA5373"/>
    <w:rsid w:val="00EA586F"/>
    <w:rsid w:val="00EA6F28"/>
    <w:rsid w:val="00EB0B39"/>
    <w:rsid w:val="00EB298E"/>
    <w:rsid w:val="00EB410F"/>
    <w:rsid w:val="00EB49D9"/>
    <w:rsid w:val="00EB4F59"/>
    <w:rsid w:val="00EB5F22"/>
    <w:rsid w:val="00EB63EF"/>
    <w:rsid w:val="00EB648B"/>
    <w:rsid w:val="00EB7E82"/>
    <w:rsid w:val="00EC2394"/>
    <w:rsid w:val="00EC247B"/>
    <w:rsid w:val="00EC2CE1"/>
    <w:rsid w:val="00EC34EF"/>
    <w:rsid w:val="00EC4ABD"/>
    <w:rsid w:val="00EC510F"/>
    <w:rsid w:val="00EC540E"/>
    <w:rsid w:val="00ED09FA"/>
    <w:rsid w:val="00ED1540"/>
    <w:rsid w:val="00ED36D9"/>
    <w:rsid w:val="00ED4421"/>
    <w:rsid w:val="00ED6763"/>
    <w:rsid w:val="00ED67F6"/>
    <w:rsid w:val="00ED6826"/>
    <w:rsid w:val="00EE0135"/>
    <w:rsid w:val="00EE06E1"/>
    <w:rsid w:val="00EE22C4"/>
    <w:rsid w:val="00EE2594"/>
    <w:rsid w:val="00EE268B"/>
    <w:rsid w:val="00EE3855"/>
    <w:rsid w:val="00EE5490"/>
    <w:rsid w:val="00EE5C40"/>
    <w:rsid w:val="00EE5D09"/>
    <w:rsid w:val="00EE6F36"/>
    <w:rsid w:val="00EE70FB"/>
    <w:rsid w:val="00EE71EB"/>
    <w:rsid w:val="00EE7994"/>
    <w:rsid w:val="00EE7E14"/>
    <w:rsid w:val="00EF0393"/>
    <w:rsid w:val="00EF1CDF"/>
    <w:rsid w:val="00EF2B8D"/>
    <w:rsid w:val="00EF37C9"/>
    <w:rsid w:val="00EF50A3"/>
    <w:rsid w:val="00EF65FD"/>
    <w:rsid w:val="00EF7F42"/>
    <w:rsid w:val="00F01E4F"/>
    <w:rsid w:val="00F052FA"/>
    <w:rsid w:val="00F05DFD"/>
    <w:rsid w:val="00F061A3"/>
    <w:rsid w:val="00F107C6"/>
    <w:rsid w:val="00F11625"/>
    <w:rsid w:val="00F12D69"/>
    <w:rsid w:val="00F1462F"/>
    <w:rsid w:val="00F15065"/>
    <w:rsid w:val="00F1686A"/>
    <w:rsid w:val="00F16D82"/>
    <w:rsid w:val="00F17D8A"/>
    <w:rsid w:val="00F21B73"/>
    <w:rsid w:val="00F2230F"/>
    <w:rsid w:val="00F2243E"/>
    <w:rsid w:val="00F247D8"/>
    <w:rsid w:val="00F24970"/>
    <w:rsid w:val="00F253D3"/>
    <w:rsid w:val="00F25EB7"/>
    <w:rsid w:val="00F277AE"/>
    <w:rsid w:val="00F27B11"/>
    <w:rsid w:val="00F302B7"/>
    <w:rsid w:val="00F3112A"/>
    <w:rsid w:val="00F31F94"/>
    <w:rsid w:val="00F32D2B"/>
    <w:rsid w:val="00F336B0"/>
    <w:rsid w:val="00F3385E"/>
    <w:rsid w:val="00F3459A"/>
    <w:rsid w:val="00F35204"/>
    <w:rsid w:val="00F36301"/>
    <w:rsid w:val="00F37FB3"/>
    <w:rsid w:val="00F41B76"/>
    <w:rsid w:val="00F422DB"/>
    <w:rsid w:val="00F44856"/>
    <w:rsid w:val="00F455AD"/>
    <w:rsid w:val="00F462F1"/>
    <w:rsid w:val="00F46623"/>
    <w:rsid w:val="00F46BCE"/>
    <w:rsid w:val="00F4747E"/>
    <w:rsid w:val="00F5031B"/>
    <w:rsid w:val="00F504C4"/>
    <w:rsid w:val="00F50A34"/>
    <w:rsid w:val="00F510D1"/>
    <w:rsid w:val="00F51245"/>
    <w:rsid w:val="00F539BA"/>
    <w:rsid w:val="00F5523F"/>
    <w:rsid w:val="00F5600E"/>
    <w:rsid w:val="00F566A5"/>
    <w:rsid w:val="00F636D1"/>
    <w:rsid w:val="00F6749C"/>
    <w:rsid w:val="00F67AC7"/>
    <w:rsid w:val="00F700B6"/>
    <w:rsid w:val="00F71675"/>
    <w:rsid w:val="00F7253E"/>
    <w:rsid w:val="00F72BE8"/>
    <w:rsid w:val="00F72D9F"/>
    <w:rsid w:val="00F72F48"/>
    <w:rsid w:val="00F73AF6"/>
    <w:rsid w:val="00F747B3"/>
    <w:rsid w:val="00F751A6"/>
    <w:rsid w:val="00F8001E"/>
    <w:rsid w:val="00F80970"/>
    <w:rsid w:val="00F80C22"/>
    <w:rsid w:val="00F83622"/>
    <w:rsid w:val="00F837EE"/>
    <w:rsid w:val="00F87BFA"/>
    <w:rsid w:val="00F91284"/>
    <w:rsid w:val="00F92F9A"/>
    <w:rsid w:val="00F941FF"/>
    <w:rsid w:val="00F95399"/>
    <w:rsid w:val="00F9711B"/>
    <w:rsid w:val="00FA003C"/>
    <w:rsid w:val="00FA2089"/>
    <w:rsid w:val="00FA2E82"/>
    <w:rsid w:val="00FA4C3C"/>
    <w:rsid w:val="00FA6306"/>
    <w:rsid w:val="00FA7D0C"/>
    <w:rsid w:val="00FB0473"/>
    <w:rsid w:val="00FB14C4"/>
    <w:rsid w:val="00FB1C34"/>
    <w:rsid w:val="00FB4394"/>
    <w:rsid w:val="00FB6680"/>
    <w:rsid w:val="00FC1000"/>
    <w:rsid w:val="00FC2BC3"/>
    <w:rsid w:val="00FC4700"/>
    <w:rsid w:val="00FC5491"/>
    <w:rsid w:val="00FC5621"/>
    <w:rsid w:val="00FC5E5D"/>
    <w:rsid w:val="00FC7A0F"/>
    <w:rsid w:val="00FD056C"/>
    <w:rsid w:val="00FD0E59"/>
    <w:rsid w:val="00FD1198"/>
    <w:rsid w:val="00FD2ABA"/>
    <w:rsid w:val="00FD2F1C"/>
    <w:rsid w:val="00FD3004"/>
    <w:rsid w:val="00FD637C"/>
    <w:rsid w:val="00FD6FA4"/>
    <w:rsid w:val="00FD72E2"/>
    <w:rsid w:val="00FD73AE"/>
    <w:rsid w:val="00FD7CEA"/>
    <w:rsid w:val="00FE12E6"/>
    <w:rsid w:val="00FE1757"/>
    <w:rsid w:val="00FE2F92"/>
    <w:rsid w:val="00FE3715"/>
    <w:rsid w:val="00FE6317"/>
    <w:rsid w:val="00FE6BF6"/>
    <w:rsid w:val="00FE771F"/>
    <w:rsid w:val="00FE782A"/>
    <w:rsid w:val="00FF2787"/>
    <w:rsid w:val="00FF37DB"/>
    <w:rsid w:val="00FF4186"/>
    <w:rsid w:val="00FF49C6"/>
    <w:rsid w:val="00FF6B40"/>
    <w:rsid w:val="00FF7AE6"/>
    <w:rsid w:val="05C1FCA2"/>
    <w:rsid w:val="0872EFA0"/>
    <w:rsid w:val="0A919ED4"/>
    <w:rsid w:val="100C89A8"/>
    <w:rsid w:val="111AE0FE"/>
    <w:rsid w:val="11508A47"/>
    <w:rsid w:val="14269F47"/>
    <w:rsid w:val="15315B6F"/>
    <w:rsid w:val="154A3A8B"/>
    <w:rsid w:val="19641217"/>
    <w:rsid w:val="1AFDE88E"/>
    <w:rsid w:val="1B6C49E9"/>
    <w:rsid w:val="1B8E428C"/>
    <w:rsid w:val="201F7274"/>
    <w:rsid w:val="271A79E0"/>
    <w:rsid w:val="2B565696"/>
    <w:rsid w:val="2B630DCB"/>
    <w:rsid w:val="2BFF1BCA"/>
    <w:rsid w:val="2D0139AF"/>
    <w:rsid w:val="2D17C6BA"/>
    <w:rsid w:val="2FCE6850"/>
    <w:rsid w:val="33EA18A2"/>
    <w:rsid w:val="377DE7A3"/>
    <w:rsid w:val="3AC4D1D7"/>
    <w:rsid w:val="40A8B32A"/>
    <w:rsid w:val="40D1922F"/>
    <w:rsid w:val="44EDD2B7"/>
    <w:rsid w:val="4648AFAB"/>
    <w:rsid w:val="47119C8F"/>
    <w:rsid w:val="4B97F7D6"/>
    <w:rsid w:val="567E8817"/>
    <w:rsid w:val="569982C5"/>
    <w:rsid w:val="57CCE7AD"/>
    <w:rsid w:val="5B1AED5C"/>
    <w:rsid w:val="6096C327"/>
    <w:rsid w:val="62DDA0C7"/>
    <w:rsid w:val="6552EE62"/>
    <w:rsid w:val="66E17D97"/>
    <w:rsid w:val="6BFDFE88"/>
    <w:rsid w:val="6D1B3EF7"/>
    <w:rsid w:val="70A54E67"/>
    <w:rsid w:val="72854E7D"/>
    <w:rsid w:val="7353C4DB"/>
    <w:rsid w:val="7CE94689"/>
    <w:rsid w:val="7D80E1FB"/>
    <w:rsid w:val="7EDAE14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5D3B"/>
  <w15:docId w15:val="{D6861868-5E35-4B36-B528-5CFBBD8DE6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pt-BR" w:eastAsia="pt-B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qFormat="1"/>
    <w:lsdException w:name="heading 4" w:uiPriority="9" w:semiHidden="1" w:unhideWhenUsed="1"/>
    <w:lsdException w:name="heading 5" w:uiPriority="9" w:semiHidden="1" w:unhideWhenUsed="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76102"/>
    <w:pPr>
      <w:autoSpaceDE w:val="0"/>
      <w:autoSpaceDN w:val="0"/>
      <w:adjustRightInd w:val="0"/>
      <w:spacing w:line="360" w:lineRule="auto"/>
      <w:ind w:firstLine="709"/>
      <w:jc w:val="both"/>
    </w:pPr>
    <w:rPr>
      <w:rFonts w:ascii="Arial" w:hAnsi="Arial" w:eastAsia="Times New Roman"/>
      <w:sz w:val="24"/>
      <w:szCs w:val="28"/>
    </w:rPr>
  </w:style>
  <w:style w:type="paragraph" w:styleId="Ttulo1">
    <w:name w:val="heading 1"/>
    <w:basedOn w:val="Normal"/>
    <w:next w:val="Normal"/>
    <w:link w:val="Ttulo1Char"/>
    <w:uiPriority w:val="9"/>
    <w:qFormat/>
    <w:rsid w:val="00F37FB3"/>
    <w:pPr>
      <w:keepNext/>
      <w:keepLines/>
      <w:spacing w:after="360"/>
      <w:ind w:firstLine="0"/>
      <w:jc w:val="left"/>
      <w:outlineLvl w:val="0"/>
    </w:pPr>
    <w:rPr>
      <w:rFonts w:ascii="Arial Negrito" w:hAnsi="Arial Negrito"/>
      <w:b/>
      <w:bCs/>
      <w:caps/>
    </w:rPr>
  </w:style>
  <w:style w:type="paragraph" w:styleId="Ttulo2">
    <w:name w:val="heading 2"/>
    <w:basedOn w:val="Normal"/>
    <w:next w:val="Normal"/>
    <w:link w:val="Ttulo2Char"/>
    <w:uiPriority w:val="9"/>
    <w:qFormat/>
    <w:rsid w:val="005F4DA5"/>
    <w:pPr>
      <w:keepNext/>
      <w:keepLines/>
      <w:spacing w:before="360" w:after="360"/>
      <w:ind w:firstLine="0"/>
      <w:jc w:val="left"/>
      <w:outlineLvl w:val="1"/>
    </w:pPr>
    <w:rPr>
      <w:b/>
      <w:bCs/>
      <w:szCs w:val="26"/>
    </w:rPr>
  </w:style>
  <w:style w:type="paragraph" w:styleId="Ttulo3">
    <w:name w:val="heading 3"/>
    <w:basedOn w:val="Normal"/>
    <w:next w:val="Normal"/>
    <w:link w:val="Ttulo3Char"/>
    <w:uiPriority w:val="9"/>
    <w:qFormat/>
    <w:rsid w:val="005F4DA5"/>
    <w:pPr>
      <w:keepNext/>
      <w:keepLines/>
      <w:spacing w:before="360" w:after="360"/>
      <w:ind w:firstLine="0"/>
      <w:outlineLvl w:val="2"/>
    </w:pPr>
    <w:rPr>
      <w:bCs/>
    </w:rPr>
  </w:style>
  <w:style w:type="paragraph" w:styleId="Ttulo4">
    <w:name w:val="heading 4"/>
    <w:basedOn w:val="Normal"/>
    <w:next w:val="Normal"/>
    <w:link w:val="Ttulo4Char"/>
    <w:uiPriority w:val="9"/>
    <w:semiHidden/>
    <w:rsid w:val="004567DC"/>
    <w:pPr>
      <w:keepNext/>
      <w:keepLines/>
      <w:spacing w:before="200"/>
      <w:outlineLvl w:val="3"/>
    </w:pPr>
    <w:rPr>
      <w:rFonts w:ascii="Calibri Light" w:hAnsi="Calibri Light"/>
      <w:b/>
      <w:bCs/>
      <w:i/>
      <w:iCs/>
      <w:color w:val="5B9BD5"/>
    </w:rPr>
  </w:style>
  <w:style w:type="paragraph" w:styleId="Ttulo5">
    <w:name w:val="heading 5"/>
    <w:basedOn w:val="Normal"/>
    <w:next w:val="Normal"/>
    <w:link w:val="Ttulo5Char"/>
    <w:uiPriority w:val="9"/>
    <w:semiHidden/>
    <w:qFormat/>
    <w:rsid w:val="004567DC"/>
    <w:pPr>
      <w:keepNext/>
      <w:keepLines/>
      <w:spacing w:before="200"/>
      <w:outlineLvl w:val="4"/>
    </w:pPr>
    <w:rPr>
      <w:rFonts w:ascii="Calibri Light" w:hAnsi="Calibri Light"/>
      <w:color w:val="1F4D78"/>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PPGEClinhaembranco" w:customStyle="1">
    <w:name w:val="PPGEC: linha em branco"/>
    <w:basedOn w:val="Normal"/>
    <w:uiPriority w:val="99"/>
    <w:semiHidden/>
    <w:rsid w:val="006C760E"/>
    <w:pPr>
      <w:autoSpaceDE/>
      <w:autoSpaceDN/>
      <w:adjustRightInd/>
    </w:pPr>
    <w:rPr>
      <w:szCs w:val="20"/>
    </w:rPr>
  </w:style>
  <w:style w:type="character" w:styleId="Refdecomentrio">
    <w:name w:val="annotation reference"/>
    <w:uiPriority w:val="99"/>
    <w:semiHidden/>
    <w:rsid w:val="006C760E"/>
    <w:rPr>
      <w:rFonts w:cs="Times New Roman"/>
      <w:sz w:val="16"/>
      <w:szCs w:val="16"/>
    </w:rPr>
  </w:style>
  <w:style w:type="paragraph" w:styleId="Textodecomentrio">
    <w:name w:val="annotation text"/>
    <w:basedOn w:val="Normal"/>
    <w:link w:val="TextodecomentrioChar"/>
    <w:uiPriority w:val="99"/>
    <w:semiHidden/>
    <w:rsid w:val="006C760E"/>
    <w:rPr>
      <w:sz w:val="20"/>
      <w:szCs w:val="20"/>
    </w:rPr>
  </w:style>
  <w:style w:type="character" w:styleId="TextodecomentrioChar" w:customStyle="1">
    <w:name w:val="Texto de comentário Char"/>
    <w:link w:val="Textodecomentrio"/>
    <w:uiPriority w:val="99"/>
    <w:semiHidden/>
    <w:rsid w:val="00DC7F01"/>
    <w:rPr>
      <w:rFonts w:ascii="Arial" w:hAnsi="Arial" w:eastAsia="Times New Roman" w:cs="Times New Roman"/>
      <w:sz w:val="20"/>
      <w:szCs w:val="20"/>
      <w:lang w:eastAsia="pt-BR"/>
    </w:rPr>
  </w:style>
  <w:style w:type="paragraph" w:styleId="Sumrio1">
    <w:name w:val="toc 1"/>
    <w:basedOn w:val="Normal"/>
    <w:next w:val="Normal"/>
    <w:uiPriority w:val="39"/>
    <w:rsid w:val="00017E13"/>
    <w:pPr>
      <w:ind w:firstLine="0"/>
    </w:pPr>
    <w:rPr>
      <w:rFonts w:ascii="Arial Negrito" w:hAnsi="Arial Negrito"/>
      <w:b/>
      <w:caps/>
    </w:rPr>
  </w:style>
  <w:style w:type="paragraph" w:styleId="Sumrio2">
    <w:name w:val="toc 2"/>
    <w:basedOn w:val="Normal"/>
    <w:next w:val="Normal"/>
    <w:uiPriority w:val="39"/>
    <w:rsid w:val="005F22F9"/>
    <w:pPr>
      <w:ind w:firstLine="0"/>
    </w:pPr>
    <w:rPr>
      <w:caps/>
    </w:rPr>
  </w:style>
  <w:style w:type="paragraph" w:styleId="Fontedasilustraes" w:customStyle="1">
    <w:name w:val="Fonte das ilustrações"/>
    <w:basedOn w:val="Normal"/>
    <w:next w:val="Normal"/>
    <w:rsid w:val="00A41C35"/>
    <w:pPr>
      <w:spacing w:before="120" w:after="360"/>
      <w:ind w:firstLine="0"/>
      <w:jc w:val="center"/>
    </w:pPr>
    <w:rPr>
      <w:sz w:val="22"/>
    </w:rPr>
  </w:style>
  <w:style w:type="character" w:styleId="Ttulo1Char" w:customStyle="1">
    <w:name w:val="Título 1 Char"/>
    <w:link w:val="Ttulo1"/>
    <w:uiPriority w:val="9"/>
    <w:rsid w:val="00F37FB3"/>
    <w:rPr>
      <w:rFonts w:ascii="Arial Negrito" w:hAnsi="Arial Negrito" w:eastAsia="Times New Roman"/>
      <w:b/>
      <w:bCs/>
      <w:caps/>
      <w:sz w:val="24"/>
      <w:szCs w:val="28"/>
    </w:rPr>
  </w:style>
  <w:style w:type="character" w:styleId="Ttulo2Char" w:customStyle="1">
    <w:name w:val="Título 2 Char"/>
    <w:link w:val="Ttulo2"/>
    <w:uiPriority w:val="9"/>
    <w:rsid w:val="005F4DA5"/>
    <w:rPr>
      <w:rFonts w:ascii="Arial" w:hAnsi="Arial" w:eastAsia="Times New Roman"/>
      <w:b/>
      <w:bCs/>
      <w:sz w:val="24"/>
      <w:szCs w:val="26"/>
    </w:rPr>
  </w:style>
  <w:style w:type="character" w:styleId="Ttulo3Char" w:customStyle="1">
    <w:name w:val="Título 3 Char"/>
    <w:link w:val="Ttulo3"/>
    <w:uiPriority w:val="9"/>
    <w:rsid w:val="005F4DA5"/>
    <w:rPr>
      <w:rFonts w:ascii="Arial" w:hAnsi="Arial" w:eastAsia="Times New Roman"/>
      <w:bCs/>
      <w:sz w:val="24"/>
      <w:szCs w:val="28"/>
    </w:rPr>
  </w:style>
  <w:style w:type="paragraph" w:styleId="Legenda">
    <w:name w:val="caption"/>
    <w:basedOn w:val="Normal"/>
    <w:next w:val="Normal"/>
    <w:link w:val="LegendaChar"/>
    <w:uiPriority w:val="99"/>
    <w:qFormat/>
    <w:rsid w:val="002858CB"/>
    <w:pPr>
      <w:spacing w:before="240"/>
      <w:ind w:firstLine="0"/>
      <w:jc w:val="center"/>
    </w:pPr>
    <w:rPr>
      <w:bCs/>
      <w:color w:val="000000"/>
      <w:szCs w:val="18"/>
    </w:rPr>
  </w:style>
  <w:style w:type="character" w:styleId="Refdenotaderodap">
    <w:name w:val="footnote reference"/>
    <w:qFormat/>
    <w:rsid w:val="001D3DB6"/>
    <w:rPr>
      <w:rFonts w:ascii="Arial" w:hAnsi="Arial"/>
      <w:b w:val="0"/>
      <w:i w:val="0"/>
      <w:caps w:val="0"/>
      <w:smallCaps w:val="0"/>
      <w:strike w:val="0"/>
      <w:dstrike w:val="0"/>
      <w:sz w:val="20"/>
      <w:vertAlign w:val="superscript"/>
    </w:rPr>
  </w:style>
  <w:style w:type="paragraph" w:styleId="Textodenotaderodap">
    <w:name w:val="footnote text"/>
    <w:basedOn w:val="Normal"/>
    <w:link w:val="TextodenotaderodapChar"/>
    <w:uiPriority w:val="99"/>
    <w:qFormat/>
    <w:rsid w:val="005F4DA5"/>
    <w:pPr>
      <w:spacing w:line="240" w:lineRule="auto"/>
      <w:ind w:firstLine="0"/>
    </w:pPr>
    <w:rPr>
      <w:sz w:val="20"/>
      <w:szCs w:val="20"/>
    </w:rPr>
  </w:style>
  <w:style w:type="character" w:styleId="TextodenotaderodapChar" w:customStyle="1">
    <w:name w:val="Texto de nota de rodapé Char"/>
    <w:link w:val="Textodenotaderodap"/>
    <w:uiPriority w:val="99"/>
    <w:rsid w:val="005F4DA5"/>
    <w:rPr>
      <w:rFonts w:ascii="Arial" w:hAnsi="Arial" w:eastAsia="Times New Roman"/>
    </w:rPr>
  </w:style>
  <w:style w:type="paragraph" w:styleId="Cabealho">
    <w:name w:val="header"/>
    <w:basedOn w:val="Normal"/>
    <w:link w:val="CabealhoChar"/>
    <w:uiPriority w:val="99"/>
    <w:semiHidden/>
    <w:rsid w:val="001D3DB6"/>
    <w:pPr>
      <w:tabs>
        <w:tab w:val="center" w:pos="4252"/>
        <w:tab w:val="right" w:pos="8504"/>
      </w:tabs>
      <w:spacing w:line="240" w:lineRule="auto"/>
    </w:pPr>
  </w:style>
  <w:style w:type="character" w:styleId="CabealhoChar" w:customStyle="1">
    <w:name w:val="Cabeçalho Char"/>
    <w:link w:val="Cabealho"/>
    <w:uiPriority w:val="99"/>
    <w:semiHidden/>
    <w:rsid w:val="00DC7F01"/>
    <w:rPr>
      <w:rFonts w:ascii="Arial" w:hAnsi="Arial" w:eastAsia="Times New Roman" w:cs="Times New Roman"/>
      <w:sz w:val="24"/>
      <w:szCs w:val="28"/>
      <w:lang w:eastAsia="pt-BR"/>
    </w:rPr>
  </w:style>
  <w:style w:type="paragraph" w:styleId="Rodap">
    <w:name w:val="footer"/>
    <w:basedOn w:val="Normal"/>
    <w:link w:val="RodapChar"/>
    <w:uiPriority w:val="99"/>
    <w:semiHidden/>
    <w:rsid w:val="001D3DB6"/>
    <w:pPr>
      <w:tabs>
        <w:tab w:val="center" w:pos="4252"/>
        <w:tab w:val="right" w:pos="8504"/>
      </w:tabs>
      <w:spacing w:line="240" w:lineRule="auto"/>
    </w:pPr>
  </w:style>
  <w:style w:type="character" w:styleId="RodapChar" w:customStyle="1">
    <w:name w:val="Rodapé Char"/>
    <w:link w:val="Rodap"/>
    <w:uiPriority w:val="99"/>
    <w:semiHidden/>
    <w:rsid w:val="00DC7F01"/>
    <w:rPr>
      <w:rFonts w:ascii="Arial" w:hAnsi="Arial" w:eastAsia="Times New Roman" w:cs="Times New Roman"/>
      <w:sz w:val="24"/>
      <w:szCs w:val="28"/>
      <w:lang w:eastAsia="pt-BR"/>
    </w:rPr>
  </w:style>
  <w:style w:type="paragraph" w:styleId="Sumrio3">
    <w:name w:val="toc 3"/>
    <w:basedOn w:val="Normal"/>
    <w:next w:val="Normal"/>
    <w:autoRedefine/>
    <w:uiPriority w:val="39"/>
    <w:rsid w:val="00017E13"/>
    <w:pPr>
      <w:tabs>
        <w:tab w:val="right" w:leader="dot" w:pos="9061"/>
      </w:tabs>
      <w:ind w:firstLine="0"/>
    </w:pPr>
  </w:style>
  <w:style w:type="character" w:styleId="Hyperlink">
    <w:name w:val="Hyperlink"/>
    <w:uiPriority w:val="99"/>
    <w:rsid w:val="00876AB4"/>
    <w:rPr>
      <w:color w:val="0563C1"/>
      <w:u w:val="single"/>
    </w:rPr>
  </w:style>
  <w:style w:type="paragraph" w:styleId="ALINEA" w:customStyle="1">
    <w:name w:val="ALINEA"/>
    <w:basedOn w:val="Normal"/>
    <w:next w:val="Normal"/>
    <w:uiPriority w:val="99"/>
    <w:semiHidden/>
    <w:rsid w:val="004567DC"/>
    <w:pPr>
      <w:numPr>
        <w:numId w:val="1"/>
      </w:numPr>
    </w:pPr>
  </w:style>
  <w:style w:type="paragraph" w:styleId="ALNEAS" w:customStyle="1">
    <w:name w:val="ALÍNEAS"/>
    <w:basedOn w:val="Normal"/>
    <w:semiHidden/>
    <w:rsid w:val="004567DC"/>
    <w:pPr>
      <w:numPr>
        <w:numId w:val="2"/>
      </w:numPr>
      <w:autoSpaceDE/>
      <w:autoSpaceDN/>
      <w:adjustRightInd/>
    </w:pPr>
    <w:rPr>
      <w:rFonts w:eastAsia="Calibri"/>
      <w:szCs w:val="22"/>
      <w:lang w:eastAsia="en-US"/>
    </w:rPr>
  </w:style>
  <w:style w:type="character" w:styleId="Ttulo4Char" w:customStyle="1">
    <w:name w:val="Título 4 Char"/>
    <w:link w:val="Ttulo4"/>
    <w:uiPriority w:val="9"/>
    <w:semiHidden/>
    <w:rsid w:val="00DC7F01"/>
    <w:rPr>
      <w:rFonts w:ascii="Calibri Light" w:hAnsi="Calibri Light" w:eastAsia="Times New Roman" w:cs="Times New Roman"/>
      <w:b/>
      <w:bCs/>
      <w:i/>
      <w:iCs/>
      <w:color w:val="5B9BD5"/>
      <w:sz w:val="24"/>
      <w:szCs w:val="28"/>
      <w:lang w:eastAsia="pt-BR"/>
    </w:rPr>
  </w:style>
  <w:style w:type="character" w:styleId="Ttulo5Char" w:customStyle="1">
    <w:name w:val="Título 5 Char"/>
    <w:link w:val="Ttulo5"/>
    <w:uiPriority w:val="9"/>
    <w:semiHidden/>
    <w:rsid w:val="00DC7F01"/>
    <w:rPr>
      <w:rFonts w:ascii="Calibri Light" w:hAnsi="Calibri Light" w:eastAsia="Times New Roman" w:cs="Times New Roman"/>
      <w:color w:val="1F4D78"/>
      <w:sz w:val="24"/>
      <w:szCs w:val="28"/>
      <w:lang w:eastAsia="pt-BR"/>
    </w:rPr>
  </w:style>
  <w:style w:type="character" w:styleId="LegendaChar" w:customStyle="1">
    <w:name w:val="Legenda Char"/>
    <w:link w:val="Legenda"/>
    <w:uiPriority w:val="99"/>
    <w:locked/>
    <w:rsid w:val="002858CB"/>
    <w:rPr>
      <w:rFonts w:ascii="Arial" w:hAnsi="Arial" w:eastAsia="Times New Roman"/>
      <w:bCs/>
      <w:color w:val="000000"/>
      <w:sz w:val="24"/>
      <w:szCs w:val="18"/>
    </w:rPr>
  </w:style>
  <w:style w:type="paragraph" w:styleId="FONTEDASILUSTRAES0" w:customStyle="1">
    <w:name w:val="FONTE DAS ILUSTRAÇÕES"/>
    <w:basedOn w:val="Normal"/>
    <w:next w:val="Normal"/>
    <w:qFormat/>
    <w:rsid w:val="00A76969"/>
    <w:pPr>
      <w:autoSpaceDE/>
      <w:autoSpaceDN/>
      <w:adjustRightInd/>
      <w:spacing w:before="60" w:after="240"/>
      <w:ind w:firstLine="0"/>
      <w:jc w:val="center"/>
    </w:pPr>
    <w:rPr>
      <w:rFonts w:eastAsia="Calibri" w:cs="Arial"/>
      <w:sz w:val="22"/>
      <w:szCs w:val="22"/>
      <w:lang w:eastAsia="en-US"/>
    </w:rPr>
  </w:style>
  <w:style w:type="paragraph" w:styleId="Textodebalo">
    <w:name w:val="Balloon Text"/>
    <w:basedOn w:val="Normal"/>
    <w:link w:val="TextodebaloChar"/>
    <w:uiPriority w:val="99"/>
    <w:semiHidden/>
    <w:rsid w:val="004567DC"/>
    <w:pPr>
      <w:spacing w:line="240" w:lineRule="auto"/>
    </w:pPr>
    <w:rPr>
      <w:rFonts w:ascii="Tahoma" w:hAnsi="Tahoma" w:cs="Tahoma"/>
      <w:sz w:val="16"/>
      <w:szCs w:val="16"/>
    </w:rPr>
  </w:style>
  <w:style w:type="character" w:styleId="TextodebaloChar" w:customStyle="1">
    <w:name w:val="Texto de balão Char"/>
    <w:link w:val="Textodebalo"/>
    <w:uiPriority w:val="99"/>
    <w:semiHidden/>
    <w:rsid w:val="00DC7F01"/>
    <w:rPr>
      <w:rFonts w:ascii="Tahoma" w:hAnsi="Tahoma" w:eastAsia="Times New Roman" w:cs="Tahoma"/>
      <w:sz w:val="16"/>
      <w:szCs w:val="16"/>
      <w:lang w:eastAsia="pt-BR"/>
    </w:rPr>
  </w:style>
  <w:style w:type="paragraph" w:styleId="PargrafoTexto" w:customStyle="1">
    <w:name w:val="Parágrafo Texto"/>
    <w:basedOn w:val="Normal"/>
    <w:link w:val="PargrafoTextoChar"/>
    <w:uiPriority w:val="99"/>
    <w:semiHidden/>
    <w:rsid w:val="004567DC"/>
  </w:style>
  <w:style w:type="character" w:styleId="PargrafoTextoChar" w:customStyle="1">
    <w:name w:val="Parágrafo Texto Char"/>
    <w:link w:val="PargrafoTexto"/>
    <w:uiPriority w:val="99"/>
    <w:semiHidden/>
    <w:locked/>
    <w:rsid w:val="00DC7F01"/>
    <w:rPr>
      <w:rFonts w:ascii="Arial" w:hAnsi="Arial" w:eastAsia="Times New Roman" w:cs="Times New Roman"/>
      <w:sz w:val="24"/>
      <w:szCs w:val="28"/>
      <w:lang w:eastAsia="pt-BR"/>
    </w:rPr>
  </w:style>
  <w:style w:type="paragraph" w:styleId="REFERNCIAS" w:customStyle="1">
    <w:name w:val="REFERÊNCIAS"/>
    <w:semiHidden/>
    <w:rsid w:val="004567DC"/>
    <w:pPr>
      <w:spacing w:after="240"/>
    </w:pPr>
    <w:rPr>
      <w:rFonts w:ascii="Arial" w:hAnsi="Arial" w:eastAsia="Times New Roman"/>
      <w:sz w:val="24"/>
      <w:szCs w:val="28"/>
      <w:lang w:eastAsia="en-US"/>
    </w:rPr>
  </w:style>
  <w:style w:type="paragraph" w:styleId="TtuloApendAnexo" w:customStyle="1">
    <w:name w:val="TítuloApend_Anexo"/>
    <w:basedOn w:val="Ttulo"/>
    <w:link w:val="TtuloApendAnexoChar"/>
    <w:uiPriority w:val="99"/>
    <w:semiHidden/>
    <w:rsid w:val="004567DC"/>
    <w:pPr>
      <w:pBdr>
        <w:bottom w:val="none" w:color="auto" w:sz="0" w:space="0"/>
      </w:pBdr>
      <w:spacing w:after="360" w:line="360" w:lineRule="auto"/>
      <w:jc w:val="center"/>
    </w:pPr>
    <w:rPr>
      <w:rFonts w:ascii="Arial" w:hAnsi="Arial" w:eastAsia="Calibri"/>
      <w:color w:val="auto"/>
      <w:sz w:val="24"/>
    </w:rPr>
  </w:style>
  <w:style w:type="character" w:styleId="TtuloApendAnexoChar" w:customStyle="1">
    <w:name w:val="TítuloApend_Anexo Char"/>
    <w:link w:val="TtuloApendAnexo"/>
    <w:uiPriority w:val="99"/>
    <w:semiHidden/>
    <w:locked/>
    <w:rsid w:val="00DC7F01"/>
    <w:rPr>
      <w:rFonts w:ascii="Arial" w:hAnsi="Arial" w:eastAsia="Calibri" w:cs="Times New Roman"/>
      <w:spacing w:val="5"/>
      <w:kern w:val="28"/>
      <w:sz w:val="24"/>
      <w:szCs w:val="52"/>
      <w:lang w:eastAsia="pt-BR"/>
    </w:rPr>
  </w:style>
  <w:style w:type="paragraph" w:styleId="Ttulo">
    <w:name w:val="Title"/>
    <w:basedOn w:val="Normal"/>
    <w:next w:val="Normal"/>
    <w:link w:val="TtuloChar"/>
    <w:uiPriority w:val="10"/>
    <w:semiHidden/>
    <w:rsid w:val="004567DC"/>
    <w:pPr>
      <w:pBdr>
        <w:bottom w:val="single" w:color="5B9BD5" w:sz="8" w:space="4"/>
      </w:pBdr>
      <w:spacing w:after="300" w:line="240" w:lineRule="auto"/>
      <w:contextualSpacing/>
    </w:pPr>
    <w:rPr>
      <w:rFonts w:ascii="Calibri Light" w:hAnsi="Calibri Light"/>
      <w:color w:val="323E4F"/>
      <w:spacing w:val="5"/>
      <w:kern w:val="28"/>
      <w:sz w:val="52"/>
      <w:szCs w:val="52"/>
    </w:rPr>
  </w:style>
  <w:style w:type="character" w:styleId="TtuloChar" w:customStyle="1">
    <w:name w:val="Título Char"/>
    <w:link w:val="Ttulo"/>
    <w:uiPriority w:val="10"/>
    <w:semiHidden/>
    <w:rsid w:val="00DC7F01"/>
    <w:rPr>
      <w:rFonts w:ascii="Calibri Light" w:hAnsi="Calibri Light" w:eastAsia="Times New Roman" w:cs="Times New Roman"/>
      <w:color w:val="323E4F"/>
      <w:spacing w:val="5"/>
      <w:kern w:val="28"/>
      <w:sz w:val="52"/>
      <w:szCs w:val="52"/>
      <w:lang w:eastAsia="pt-BR"/>
    </w:rPr>
  </w:style>
  <w:style w:type="paragraph" w:styleId="CITAOLONGA" w:customStyle="1">
    <w:name w:val="CITAÇÃO LONGA"/>
    <w:basedOn w:val="Normal"/>
    <w:next w:val="Normal"/>
    <w:qFormat/>
    <w:rsid w:val="00177BAD"/>
    <w:pPr>
      <w:spacing w:before="360" w:after="360" w:line="240" w:lineRule="auto"/>
      <w:ind w:left="2268" w:firstLine="0"/>
      <w:contextualSpacing/>
    </w:pPr>
    <w:rPr>
      <w:sz w:val="20"/>
    </w:rPr>
  </w:style>
  <w:style w:type="character" w:styleId="TextodecomentrioChar1" w:customStyle="1">
    <w:name w:val="Texto de comentário Char1"/>
    <w:uiPriority w:val="99"/>
    <w:semiHidden/>
    <w:locked/>
    <w:rsid w:val="00A6345D"/>
    <w:rPr>
      <w:rFonts w:ascii="Arial" w:hAnsi="Arial" w:eastAsia="Calibri" w:cs="Comic Sans MS"/>
      <w:sz w:val="20"/>
      <w:szCs w:val="24"/>
    </w:rPr>
  </w:style>
  <w:style w:type="paragraph" w:styleId="PargrafodaLista">
    <w:name w:val="List Paragraph"/>
    <w:basedOn w:val="Normal"/>
    <w:uiPriority w:val="34"/>
    <w:qFormat/>
    <w:rsid w:val="00B71844"/>
    <w:pPr>
      <w:ind w:left="720"/>
      <w:contextualSpacing/>
    </w:pPr>
  </w:style>
  <w:style w:type="paragraph" w:styleId="ndicedeilustraes">
    <w:name w:val="table of figures"/>
    <w:basedOn w:val="Normal"/>
    <w:next w:val="Normal"/>
    <w:uiPriority w:val="99"/>
    <w:rsid w:val="00BC55C4"/>
    <w:pPr>
      <w:ind w:firstLine="0"/>
    </w:pPr>
  </w:style>
  <w:style w:type="paragraph" w:styleId="FALASENTREVISTAS" w:customStyle="1">
    <w:name w:val="FALAS/ENTREVISTAS"/>
    <w:basedOn w:val="Normal"/>
    <w:next w:val="Normal"/>
    <w:qFormat/>
    <w:rsid w:val="004910D2"/>
    <w:pPr>
      <w:autoSpaceDE/>
      <w:autoSpaceDN/>
      <w:adjustRightInd/>
      <w:spacing w:before="360" w:after="360" w:line="240" w:lineRule="auto"/>
      <w:ind w:left="1134" w:firstLine="0"/>
      <w:contextualSpacing/>
    </w:pPr>
    <w:rPr>
      <w:rFonts w:eastAsia="Calibri"/>
      <w:i/>
      <w:szCs w:val="22"/>
      <w:lang w:eastAsia="en-US"/>
    </w:rPr>
  </w:style>
  <w:style w:type="paragraph" w:styleId="Pargrafo" w:customStyle="1">
    <w:name w:val="Parágrafo"/>
    <w:basedOn w:val="Normal"/>
    <w:link w:val="PargrafoChar"/>
    <w:qFormat/>
    <w:rsid w:val="001656FA"/>
    <w:pPr>
      <w:contextualSpacing/>
    </w:pPr>
  </w:style>
  <w:style w:type="paragraph" w:styleId="Default" w:customStyle="1">
    <w:name w:val="Default"/>
    <w:rsid w:val="00AE1FD2"/>
    <w:pPr>
      <w:autoSpaceDE w:val="0"/>
      <w:autoSpaceDN w:val="0"/>
      <w:adjustRightInd w:val="0"/>
    </w:pPr>
    <w:rPr>
      <w:rFonts w:ascii="Times New Roman" w:hAnsi="Times New Roman"/>
      <w:color w:val="000000"/>
      <w:sz w:val="24"/>
      <w:szCs w:val="24"/>
    </w:rPr>
  </w:style>
  <w:style w:type="character" w:styleId="PargrafoChar" w:customStyle="1">
    <w:name w:val="Parágrafo Char"/>
    <w:link w:val="Pargrafo"/>
    <w:rsid w:val="001656FA"/>
    <w:rPr>
      <w:rFonts w:ascii="Arial" w:hAnsi="Arial" w:eastAsia="Times New Roman"/>
      <w:sz w:val="24"/>
      <w:szCs w:val="28"/>
    </w:rPr>
  </w:style>
  <w:style w:type="paragraph" w:styleId="NormalWeb">
    <w:name w:val="Normal (Web)"/>
    <w:basedOn w:val="Normal"/>
    <w:uiPriority w:val="99"/>
    <w:semiHidden/>
    <w:unhideWhenUsed/>
    <w:rsid w:val="00992A4C"/>
    <w:rPr>
      <w:rFonts w:ascii="Times New Roman" w:hAnsi="Times New Roman"/>
      <w:szCs w:val="24"/>
    </w:rPr>
  </w:style>
  <w:style w:type="character" w:styleId="MenoPendente">
    <w:name w:val="Unresolved Mention"/>
    <w:uiPriority w:val="99"/>
    <w:semiHidden/>
    <w:unhideWhenUsed/>
    <w:rsid w:val="008D3365"/>
    <w:rPr>
      <w:color w:val="605E5C"/>
      <w:shd w:val="clear" w:color="auto" w:fill="E1DFDD"/>
    </w:rPr>
  </w:style>
  <w:style w:type="table" w:styleId="TableNormal1" w:customStyle="1">
    <w:name w:val="Table Normal1"/>
    <w:uiPriority w:val="2"/>
    <w:semiHidden/>
    <w:unhideWhenUsed/>
    <w:qFormat/>
    <w:rsid w:val="000F045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0456"/>
    <w:pPr>
      <w:widowControl w:val="0"/>
      <w:adjustRightInd/>
      <w:spacing w:line="240" w:lineRule="auto"/>
      <w:ind w:firstLine="0"/>
      <w:jc w:val="left"/>
    </w:pPr>
    <w:rPr>
      <w:rFonts w:ascii="Times New Roman" w:hAnsi="Times New Roman"/>
      <w:sz w:val="22"/>
      <w:szCs w:val="22"/>
      <w:lang w:val="pt-PT" w:eastAsia="en-US"/>
    </w:rPr>
  </w:style>
  <w:style w:type="table" w:styleId="Tabelacomgrade">
    <w:name w:val="Table Grid"/>
    <w:basedOn w:val="Tabelanormal"/>
    <w:uiPriority w:val="39"/>
    <w:rsid w:val="0010556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comgrade1" w:customStyle="1">
    <w:name w:val="Tabela com grade1"/>
    <w:basedOn w:val="Tabelanormal"/>
    <w:next w:val="Tabelacomgrade"/>
    <w:uiPriority w:val="59"/>
    <w:rsid w:val="00993CB3"/>
    <w:rPr>
      <w:rFonts w:ascii="Cambria" w:hAnsi="Cambria" w:eastAsia="MS Mincho"/>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bealhodoSumrio">
    <w:name w:val="TOC Heading"/>
    <w:basedOn w:val="Ttulo1"/>
    <w:next w:val="Normal"/>
    <w:uiPriority w:val="39"/>
    <w:unhideWhenUsed/>
    <w:qFormat/>
    <w:rsid w:val="00180FAE"/>
    <w:pPr>
      <w:autoSpaceDE/>
      <w:autoSpaceDN/>
      <w:adjustRightInd/>
      <w:spacing w:before="240" w:after="0" w:line="259" w:lineRule="auto"/>
      <w:outlineLvl w:val="9"/>
    </w:pPr>
    <w:rPr>
      <w:rFonts w:ascii="Aptos Display" w:hAnsi="Aptos Display"/>
      <w:b w:val="0"/>
      <w:bCs w:val="0"/>
      <w:caps w:val="0"/>
      <w:color w:val="0F476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7877">
      <w:bodyDiv w:val="1"/>
      <w:marLeft w:val="0"/>
      <w:marRight w:val="0"/>
      <w:marTop w:val="0"/>
      <w:marBottom w:val="0"/>
      <w:divBdr>
        <w:top w:val="none" w:sz="0" w:space="0" w:color="auto"/>
        <w:left w:val="none" w:sz="0" w:space="0" w:color="auto"/>
        <w:bottom w:val="none" w:sz="0" w:space="0" w:color="auto"/>
        <w:right w:val="none" w:sz="0" w:space="0" w:color="auto"/>
      </w:divBdr>
    </w:div>
    <w:div w:id="314529868">
      <w:bodyDiv w:val="1"/>
      <w:marLeft w:val="0"/>
      <w:marRight w:val="0"/>
      <w:marTop w:val="0"/>
      <w:marBottom w:val="0"/>
      <w:divBdr>
        <w:top w:val="none" w:sz="0" w:space="0" w:color="auto"/>
        <w:left w:val="none" w:sz="0" w:space="0" w:color="auto"/>
        <w:bottom w:val="none" w:sz="0" w:space="0" w:color="auto"/>
        <w:right w:val="none" w:sz="0" w:space="0" w:color="auto"/>
      </w:divBdr>
    </w:div>
    <w:div w:id="419449552">
      <w:bodyDiv w:val="1"/>
      <w:marLeft w:val="0"/>
      <w:marRight w:val="0"/>
      <w:marTop w:val="0"/>
      <w:marBottom w:val="0"/>
      <w:divBdr>
        <w:top w:val="none" w:sz="0" w:space="0" w:color="auto"/>
        <w:left w:val="none" w:sz="0" w:space="0" w:color="auto"/>
        <w:bottom w:val="none" w:sz="0" w:space="0" w:color="auto"/>
        <w:right w:val="none" w:sz="0" w:space="0" w:color="auto"/>
      </w:divBdr>
    </w:div>
    <w:div w:id="455418786">
      <w:bodyDiv w:val="1"/>
      <w:marLeft w:val="0"/>
      <w:marRight w:val="0"/>
      <w:marTop w:val="0"/>
      <w:marBottom w:val="0"/>
      <w:divBdr>
        <w:top w:val="none" w:sz="0" w:space="0" w:color="auto"/>
        <w:left w:val="none" w:sz="0" w:space="0" w:color="auto"/>
        <w:bottom w:val="none" w:sz="0" w:space="0" w:color="auto"/>
        <w:right w:val="none" w:sz="0" w:space="0" w:color="auto"/>
      </w:divBdr>
    </w:div>
    <w:div w:id="475994635">
      <w:bodyDiv w:val="1"/>
      <w:marLeft w:val="0"/>
      <w:marRight w:val="0"/>
      <w:marTop w:val="0"/>
      <w:marBottom w:val="0"/>
      <w:divBdr>
        <w:top w:val="none" w:sz="0" w:space="0" w:color="auto"/>
        <w:left w:val="none" w:sz="0" w:space="0" w:color="auto"/>
        <w:bottom w:val="none" w:sz="0" w:space="0" w:color="auto"/>
        <w:right w:val="none" w:sz="0" w:space="0" w:color="auto"/>
      </w:divBdr>
    </w:div>
    <w:div w:id="626666171">
      <w:bodyDiv w:val="1"/>
      <w:marLeft w:val="0"/>
      <w:marRight w:val="0"/>
      <w:marTop w:val="0"/>
      <w:marBottom w:val="0"/>
      <w:divBdr>
        <w:top w:val="none" w:sz="0" w:space="0" w:color="auto"/>
        <w:left w:val="none" w:sz="0" w:space="0" w:color="auto"/>
        <w:bottom w:val="none" w:sz="0" w:space="0" w:color="auto"/>
        <w:right w:val="none" w:sz="0" w:space="0" w:color="auto"/>
      </w:divBdr>
    </w:div>
    <w:div w:id="643317304">
      <w:bodyDiv w:val="1"/>
      <w:marLeft w:val="0"/>
      <w:marRight w:val="0"/>
      <w:marTop w:val="0"/>
      <w:marBottom w:val="0"/>
      <w:divBdr>
        <w:top w:val="none" w:sz="0" w:space="0" w:color="auto"/>
        <w:left w:val="none" w:sz="0" w:space="0" w:color="auto"/>
        <w:bottom w:val="none" w:sz="0" w:space="0" w:color="auto"/>
        <w:right w:val="none" w:sz="0" w:space="0" w:color="auto"/>
      </w:divBdr>
    </w:div>
    <w:div w:id="666326089">
      <w:bodyDiv w:val="1"/>
      <w:marLeft w:val="0"/>
      <w:marRight w:val="0"/>
      <w:marTop w:val="0"/>
      <w:marBottom w:val="0"/>
      <w:divBdr>
        <w:top w:val="none" w:sz="0" w:space="0" w:color="auto"/>
        <w:left w:val="none" w:sz="0" w:space="0" w:color="auto"/>
        <w:bottom w:val="none" w:sz="0" w:space="0" w:color="auto"/>
        <w:right w:val="none" w:sz="0" w:space="0" w:color="auto"/>
      </w:divBdr>
    </w:div>
    <w:div w:id="779182437">
      <w:bodyDiv w:val="1"/>
      <w:marLeft w:val="60"/>
      <w:marRight w:val="60"/>
      <w:marTop w:val="60"/>
      <w:marBottom w:val="15"/>
      <w:divBdr>
        <w:top w:val="none" w:sz="0" w:space="0" w:color="auto"/>
        <w:left w:val="none" w:sz="0" w:space="0" w:color="auto"/>
        <w:bottom w:val="none" w:sz="0" w:space="0" w:color="auto"/>
        <w:right w:val="none" w:sz="0" w:space="0" w:color="auto"/>
      </w:divBdr>
    </w:div>
    <w:div w:id="820731589">
      <w:bodyDiv w:val="1"/>
      <w:marLeft w:val="0"/>
      <w:marRight w:val="0"/>
      <w:marTop w:val="0"/>
      <w:marBottom w:val="0"/>
      <w:divBdr>
        <w:top w:val="none" w:sz="0" w:space="0" w:color="auto"/>
        <w:left w:val="none" w:sz="0" w:space="0" w:color="auto"/>
        <w:bottom w:val="none" w:sz="0" w:space="0" w:color="auto"/>
        <w:right w:val="none" w:sz="0" w:space="0" w:color="auto"/>
      </w:divBdr>
    </w:div>
    <w:div w:id="996573089">
      <w:bodyDiv w:val="1"/>
      <w:marLeft w:val="0"/>
      <w:marRight w:val="0"/>
      <w:marTop w:val="0"/>
      <w:marBottom w:val="0"/>
      <w:divBdr>
        <w:top w:val="none" w:sz="0" w:space="0" w:color="auto"/>
        <w:left w:val="none" w:sz="0" w:space="0" w:color="auto"/>
        <w:bottom w:val="none" w:sz="0" w:space="0" w:color="auto"/>
        <w:right w:val="none" w:sz="0" w:space="0" w:color="auto"/>
      </w:divBdr>
    </w:div>
    <w:div w:id="1021396350">
      <w:bodyDiv w:val="1"/>
      <w:marLeft w:val="0"/>
      <w:marRight w:val="0"/>
      <w:marTop w:val="0"/>
      <w:marBottom w:val="0"/>
      <w:divBdr>
        <w:top w:val="none" w:sz="0" w:space="0" w:color="auto"/>
        <w:left w:val="none" w:sz="0" w:space="0" w:color="auto"/>
        <w:bottom w:val="none" w:sz="0" w:space="0" w:color="auto"/>
        <w:right w:val="none" w:sz="0" w:space="0" w:color="auto"/>
      </w:divBdr>
    </w:div>
    <w:div w:id="1103189485">
      <w:bodyDiv w:val="1"/>
      <w:marLeft w:val="0"/>
      <w:marRight w:val="0"/>
      <w:marTop w:val="0"/>
      <w:marBottom w:val="0"/>
      <w:divBdr>
        <w:top w:val="none" w:sz="0" w:space="0" w:color="auto"/>
        <w:left w:val="none" w:sz="0" w:space="0" w:color="auto"/>
        <w:bottom w:val="none" w:sz="0" w:space="0" w:color="auto"/>
        <w:right w:val="none" w:sz="0" w:space="0" w:color="auto"/>
      </w:divBdr>
    </w:div>
    <w:div w:id="1258101052">
      <w:bodyDiv w:val="1"/>
      <w:marLeft w:val="0"/>
      <w:marRight w:val="0"/>
      <w:marTop w:val="0"/>
      <w:marBottom w:val="0"/>
      <w:divBdr>
        <w:top w:val="none" w:sz="0" w:space="0" w:color="auto"/>
        <w:left w:val="none" w:sz="0" w:space="0" w:color="auto"/>
        <w:bottom w:val="none" w:sz="0" w:space="0" w:color="auto"/>
        <w:right w:val="none" w:sz="0" w:space="0" w:color="auto"/>
      </w:divBdr>
    </w:div>
    <w:div w:id="1270775530">
      <w:bodyDiv w:val="1"/>
      <w:marLeft w:val="0"/>
      <w:marRight w:val="0"/>
      <w:marTop w:val="0"/>
      <w:marBottom w:val="0"/>
      <w:divBdr>
        <w:top w:val="none" w:sz="0" w:space="0" w:color="auto"/>
        <w:left w:val="none" w:sz="0" w:space="0" w:color="auto"/>
        <w:bottom w:val="none" w:sz="0" w:space="0" w:color="auto"/>
        <w:right w:val="none" w:sz="0" w:space="0" w:color="auto"/>
      </w:divBdr>
    </w:div>
    <w:div w:id="1405030373">
      <w:bodyDiv w:val="1"/>
      <w:marLeft w:val="0"/>
      <w:marRight w:val="0"/>
      <w:marTop w:val="0"/>
      <w:marBottom w:val="0"/>
      <w:divBdr>
        <w:top w:val="none" w:sz="0" w:space="0" w:color="auto"/>
        <w:left w:val="none" w:sz="0" w:space="0" w:color="auto"/>
        <w:bottom w:val="none" w:sz="0" w:space="0" w:color="auto"/>
        <w:right w:val="none" w:sz="0" w:space="0" w:color="auto"/>
      </w:divBdr>
    </w:div>
    <w:div w:id="1445418862">
      <w:bodyDiv w:val="1"/>
      <w:marLeft w:val="0"/>
      <w:marRight w:val="0"/>
      <w:marTop w:val="0"/>
      <w:marBottom w:val="0"/>
      <w:divBdr>
        <w:top w:val="none" w:sz="0" w:space="0" w:color="auto"/>
        <w:left w:val="none" w:sz="0" w:space="0" w:color="auto"/>
        <w:bottom w:val="none" w:sz="0" w:space="0" w:color="auto"/>
        <w:right w:val="none" w:sz="0" w:space="0" w:color="auto"/>
      </w:divBdr>
    </w:div>
    <w:div w:id="1750805315">
      <w:bodyDiv w:val="1"/>
      <w:marLeft w:val="0"/>
      <w:marRight w:val="0"/>
      <w:marTop w:val="0"/>
      <w:marBottom w:val="0"/>
      <w:divBdr>
        <w:top w:val="none" w:sz="0" w:space="0" w:color="auto"/>
        <w:left w:val="none" w:sz="0" w:space="0" w:color="auto"/>
        <w:bottom w:val="none" w:sz="0" w:space="0" w:color="auto"/>
        <w:right w:val="none" w:sz="0" w:space="0" w:color="auto"/>
      </w:divBdr>
    </w:div>
    <w:div w:id="1917471598">
      <w:bodyDiv w:val="1"/>
      <w:marLeft w:val="0"/>
      <w:marRight w:val="0"/>
      <w:marTop w:val="0"/>
      <w:marBottom w:val="0"/>
      <w:divBdr>
        <w:top w:val="none" w:sz="0" w:space="0" w:color="auto"/>
        <w:left w:val="none" w:sz="0" w:space="0" w:color="auto"/>
        <w:bottom w:val="none" w:sz="0" w:space="0" w:color="auto"/>
        <w:right w:val="none" w:sz="0" w:space="0" w:color="auto"/>
      </w:divBdr>
    </w:div>
    <w:div w:id="1983340886">
      <w:bodyDiv w:val="1"/>
      <w:marLeft w:val="0"/>
      <w:marRight w:val="0"/>
      <w:marTop w:val="0"/>
      <w:marBottom w:val="0"/>
      <w:divBdr>
        <w:top w:val="none" w:sz="0" w:space="0" w:color="auto"/>
        <w:left w:val="none" w:sz="0" w:space="0" w:color="auto"/>
        <w:bottom w:val="none" w:sz="0" w:space="0" w:color="auto"/>
        <w:right w:val="none" w:sz="0" w:space="0" w:color="auto"/>
      </w:divBdr>
    </w:div>
    <w:div w:id="2009866708">
      <w:bodyDiv w:val="1"/>
      <w:marLeft w:val="0"/>
      <w:marRight w:val="0"/>
      <w:marTop w:val="0"/>
      <w:marBottom w:val="0"/>
      <w:divBdr>
        <w:top w:val="none" w:sz="0" w:space="0" w:color="auto"/>
        <w:left w:val="none" w:sz="0" w:space="0" w:color="auto"/>
        <w:bottom w:val="none" w:sz="0" w:space="0" w:color="auto"/>
        <w:right w:val="none" w:sz="0" w:space="0" w:color="auto"/>
      </w:divBdr>
    </w:div>
    <w:div w:id="20765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135FB0E-D13B-48C8-9589-9B7AA4E4FC4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Unisinos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Unisinos</dc:creator>
  <keywords/>
  <dc:description/>
  <lastModifiedBy>Usuário Convidado</lastModifiedBy>
  <revision>9</revision>
  <dcterms:created xsi:type="dcterms:W3CDTF">2023-09-19T11:24:00.0000000Z</dcterms:created>
  <dcterms:modified xsi:type="dcterms:W3CDTF">2026-05-27T01:38:43.9301111Z</dcterms:modified>
</coreProperties>
</file>