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25027" w14:textId="77777777" w:rsidR="00BD4DCF" w:rsidRPr="00C2114E" w:rsidRDefault="0025772B" w:rsidP="000D1B1A">
      <w:pPr>
        <w:spacing w:after="0" w:line="360" w:lineRule="auto"/>
        <w:ind w:left="0" w:right="1"/>
        <w:jc w:val="center"/>
        <w:rPr>
          <w:b/>
        </w:rPr>
      </w:pPr>
      <w:r w:rsidRPr="00C2114E">
        <w:rPr>
          <w:rFonts w:cs="Arial"/>
          <w:b/>
        </w:rPr>
        <w:t xml:space="preserve">PONTIFÍCIA UNIVERSIDADE CATÓLICA DE GOIÁS </w:t>
      </w:r>
    </w:p>
    <w:p w14:paraId="2D09ACA7" w14:textId="77777777" w:rsidR="00BD4DCF" w:rsidRPr="00C2114E" w:rsidRDefault="0025772B" w:rsidP="000D1B1A">
      <w:pPr>
        <w:spacing w:after="0" w:line="360" w:lineRule="auto"/>
        <w:ind w:left="0" w:right="1"/>
        <w:jc w:val="center"/>
        <w:rPr>
          <w:b/>
        </w:rPr>
      </w:pPr>
      <w:r w:rsidRPr="00C2114E">
        <w:rPr>
          <w:rFonts w:cs="Arial"/>
          <w:b/>
        </w:rPr>
        <w:t xml:space="preserve">CURSO DE FARMÁCIA  </w:t>
      </w:r>
    </w:p>
    <w:p w14:paraId="67315D41" w14:textId="77777777" w:rsidR="00BD4DCF" w:rsidRPr="0072627E" w:rsidRDefault="00BD4DCF" w:rsidP="000D1B1A">
      <w:pPr>
        <w:spacing w:after="118" w:line="259" w:lineRule="auto"/>
        <w:ind w:left="0" w:right="1" w:firstLine="0"/>
        <w:jc w:val="center"/>
      </w:pPr>
    </w:p>
    <w:p w14:paraId="6BD3779A" w14:textId="77777777" w:rsidR="00BD4DCF" w:rsidRPr="0072627E" w:rsidRDefault="00BD4DCF" w:rsidP="000D1B1A">
      <w:pPr>
        <w:spacing w:after="115" w:line="259" w:lineRule="auto"/>
        <w:ind w:left="0" w:right="1" w:firstLine="0"/>
        <w:jc w:val="center"/>
      </w:pPr>
    </w:p>
    <w:p w14:paraId="2AA04BDA" w14:textId="77777777" w:rsidR="00BD4DCF" w:rsidRDefault="00BD4DCF" w:rsidP="000D1B1A">
      <w:pPr>
        <w:spacing w:after="159" w:line="259" w:lineRule="auto"/>
        <w:ind w:left="0" w:right="1" w:firstLine="0"/>
        <w:jc w:val="center"/>
      </w:pPr>
    </w:p>
    <w:p w14:paraId="628ABC3D" w14:textId="77777777" w:rsidR="000D1B1A" w:rsidRDefault="000D1B1A" w:rsidP="000D1B1A">
      <w:pPr>
        <w:spacing w:after="159" w:line="259" w:lineRule="auto"/>
        <w:ind w:left="0" w:right="1" w:firstLine="0"/>
        <w:jc w:val="center"/>
      </w:pPr>
    </w:p>
    <w:p w14:paraId="7F646C63" w14:textId="77777777" w:rsidR="000D1B1A" w:rsidRDefault="000D1B1A" w:rsidP="000D1B1A">
      <w:pPr>
        <w:spacing w:after="159" w:line="259" w:lineRule="auto"/>
        <w:ind w:left="0" w:right="1" w:firstLine="0"/>
        <w:jc w:val="center"/>
      </w:pPr>
    </w:p>
    <w:p w14:paraId="4A9F1850" w14:textId="77777777" w:rsidR="000D1B1A" w:rsidRPr="0072627E" w:rsidRDefault="000D1B1A" w:rsidP="000D1B1A">
      <w:pPr>
        <w:spacing w:after="159" w:line="259" w:lineRule="auto"/>
        <w:ind w:left="0" w:right="1" w:firstLine="0"/>
        <w:jc w:val="center"/>
      </w:pPr>
    </w:p>
    <w:p w14:paraId="547482C3" w14:textId="77777777" w:rsidR="00BD4DCF" w:rsidRPr="0072627E" w:rsidRDefault="000D1B1A" w:rsidP="000D1B1A">
      <w:pPr>
        <w:spacing w:after="0" w:line="360" w:lineRule="auto"/>
        <w:ind w:left="0" w:right="1"/>
        <w:jc w:val="center"/>
      </w:pPr>
      <w:r w:rsidRPr="0072627E">
        <w:t>GUILHERME DE PAULA MENDES</w:t>
      </w:r>
    </w:p>
    <w:p w14:paraId="14C95A8B" w14:textId="77777777" w:rsidR="00BD4DCF" w:rsidRPr="0072627E" w:rsidRDefault="000D1B1A" w:rsidP="000D1B1A">
      <w:pPr>
        <w:spacing w:after="0" w:line="360" w:lineRule="auto"/>
        <w:ind w:left="0" w:right="1"/>
        <w:jc w:val="center"/>
      </w:pPr>
      <w:r w:rsidRPr="0072627E">
        <w:t>BEATRIZ PEREIRA BRITO</w:t>
      </w:r>
    </w:p>
    <w:p w14:paraId="0BA348F6" w14:textId="77777777" w:rsidR="00BD4DCF" w:rsidRPr="0072627E" w:rsidRDefault="00BD4DCF" w:rsidP="000D1B1A">
      <w:pPr>
        <w:spacing w:after="0" w:line="259" w:lineRule="auto"/>
        <w:ind w:left="0" w:right="1" w:firstLine="0"/>
        <w:jc w:val="center"/>
      </w:pPr>
    </w:p>
    <w:p w14:paraId="1232BD44" w14:textId="77777777" w:rsidR="00BD4DCF" w:rsidRPr="0072627E" w:rsidRDefault="00BD4DCF" w:rsidP="000D1B1A">
      <w:pPr>
        <w:spacing w:after="118" w:line="259" w:lineRule="auto"/>
        <w:ind w:left="0" w:right="1" w:firstLine="0"/>
        <w:jc w:val="center"/>
      </w:pPr>
    </w:p>
    <w:p w14:paraId="3F93A083" w14:textId="77777777" w:rsidR="00BD4DCF" w:rsidRPr="0072627E" w:rsidRDefault="00BD4DCF" w:rsidP="000D1B1A">
      <w:pPr>
        <w:spacing w:after="114" w:line="259" w:lineRule="auto"/>
        <w:ind w:left="0" w:right="1" w:firstLine="0"/>
        <w:jc w:val="center"/>
      </w:pPr>
    </w:p>
    <w:p w14:paraId="1D818E05" w14:textId="77777777" w:rsidR="00BD4DCF" w:rsidRPr="0072627E" w:rsidRDefault="00BD4DCF" w:rsidP="000D1B1A">
      <w:pPr>
        <w:spacing w:after="114" w:line="259" w:lineRule="auto"/>
        <w:ind w:left="0" w:right="1" w:firstLine="0"/>
        <w:jc w:val="center"/>
      </w:pPr>
    </w:p>
    <w:p w14:paraId="0E3213C9" w14:textId="77777777" w:rsidR="00BD4DCF" w:rsidRPr="0072627E" w:rsidRDefault="00BD4DCF" w:rsidP="000D1B1A">
      <w:pPr>
        <w:spacing w:after="118" w:line="259" w:lineRule="auto"/>
        <w:ind w:left="0" w:right="1" w:firstLine="0"/>
        <w:jc w:val="center"/>
      </w:pPr>
    </w:p>
    <w:p w14:paraId="322DC1D0" w14:textId="77777777" w:rsidR="00BD4DCF" w:rsidRPr="0072627E" w:rsidRDefault="00BD4DCF" w:rsidP="000D1B1A">
      <w:pPr>
        <w:spacing w:after="114" w:line="259" w:lineRule="auto"/>
        <w:ind w:left="0" w:right="1" w:firstLine="0"/>
        <w:jc w:val="center"/>
      </w:pPr>
    </w:p>
    <w:p w14:paraId="20712075" w14:textId="77777777" w:rsidR="00BD4DCF" w:rsidRPr="0072627E" w:rsidRDefault="00BD4DCF" w:rsidP="000D1B1A">
      <w:pPr>
        <w:spacing w:after="118" w:line="259" w:lineRule="auto"/>
        <w:ind w:left="0" w:right="1" w:firstLine="0"/>
        <w:jc w:val="center"/>
      </w:pPr>
    </w:p>
    <w:p w14:paraId="2EF6DE74" w14:textId="77777777" w:rsidR="00BD4DCF" w:rsidRPr="0072627E" w:rsidRDefault="00BD4DCF" w:rsidP="000D1B1A">
      <w:pPr>
        <w:spacing w:after="114" w:line="259" w:lineRule="auto"/>
        <w:ind w:left="0" w:right="1" w:firstLine="0"/>
        <w:jc w:val="center"/>
      </w:pPr>
    </w:p>
    <w:p w14:paraId="4FC0D996" w14:textId="77777777" w:rsidR="00BD4DCF" w:rsidRPr="0072627E" w:rsidRDefault="00BD4DCF" w:rsidP="000D1B1A">
      <w:pPr>
        <w:spacing w:after="161" w:line="259" w:lineRule="auto"/>
        <w:ind w:left="0" w:right="1" w:firstLine="0"/>
        <w:jc w:val="center"/>
      </w:pPr>
    </w:p>
    <w:p w14:paraId="34683A57" w14:textId="77777777" w:rsidR="00DE65D0" w:rsidRPr="00C2114E" w:rsidRDefault="00DE65D0" w:rsidP="000D1B1A">
      <w:pPr>
        <w:spacing w:line="360" w:lineRule="auto"/>
        <w:ind w:left="0" w:right="1" w:firstLine="0"/>
        <w:jc w:val="center"/>
        <w:rPr>
          <w:b/>
          <w:bCs/>
        </w:rPr>
      </w:pPr>
      <w:r w:rsidRPr="00C2114E">
        <w:rPr>
          <w:b/>
          <w:bCs/>
        </w:rPr>
        <w:t xml:space="preserve">AUTOMEDICAÇÃO COM DESCONGESTIONANTES NASAIS À BASE DE NAFAZOLINA: EFEITOS ADVERSOS E O PAPEL DO FARMACÊUTICO NA ORIENTAÇÃO AO </w:t>
      </w:r>
      <w:r w:rsidR="000D1B1A" w:rsidRPr="00C2114E">
        <w:rPr>
          <w:b/>
          <w:bCs/>
        </w:rPr>
        <w:t>PACIENTE</w:t>
      </w:r>
    </w:p>
    <w:p w14:paraId="1D92F632" w14:textId="77777777" w:rsidR="00BD4DCF" w:rsidRPr="0072627E" w:rsidRDefault="00BD4DCF" w:rsidP="000D1B1A">
      <w:pPr>
        <w:pStyle w:val="Ttulo5"/>
        <w:ind w:left="0"/>
      </w:pPr>
    </w:p>
    <w:p w14:paraId="29FBA6CB" w14:textId="77777777" w:rsidR="00BD4DCF" w:rsidRPr="0072627E" w:rsidRDefault="00BD4DCF" w:rsidP="000D1B1A">
      <w:pPr>
        <w:spacing w:after="118" w:line="259" w:lineRule="auto"/>
        <w:ind w:left="0" w:right="1" w:firstLine="0"/>
        <w:jc w:val="center"/>
      </w:pPr>
    </w:p>
    <w:p w14:paraId="363A904A" w14:textId="77777777" w:rsidR="00BD4DCF" w:rsidRPr="0072627E" w:rsidRDefault="00BD4DCF" w:rsidP="000D1B1A">
      <w:pPr>
        <w:spacing w:after="114" w:line="259" w:lineRule="auto"/>
        <w:ind w:left="0" w:right="1" w:firstLine="0"/>
        <w:jc w:val="center"/>
      </w:pPr>
    </w:p>
    <w:p w14:paraId="7FBE38DA" w14:textId="77777777" w:rsidR="00BD4DCF" w:rsidRPr="0072627E" w:rsidRDefault="00BD4DCF" w:rsidP="000D1B1A">
      <w:pPr>
        <w:spacing w:after="118" w:line="259" w:lineRule="auto"/>
        <w:ind w:left="0" w:right="1" w:firstLine="0"/>
        <w:jc w:val="center"/>
      </w:pPr>
    </w:p>
    <w:p w14:paraId="3F97F875" w14:textId="77777777" w:rsidR="00BD4DCF" w:rsidRPr="0072627E" w:rsidRDefault="00BD4DCF" w:rsidP="000D1B1A">
      <w:pPr>
        <w:spacing w:after="114" w:line="259" w:lineRule="auto"/>
        <w:ind w:left="0" w:right="1" w:firstLine="0"/>
        <w:jc w:val="center"/>
      </w:pPr>
    </w:p>
    <w:p w14:paraId="442384AF" w14:textId="77777777" w:rsidR="00BD4DCF" w:rsidRPr="0072627E" w:rsidRDefault="00BD4DCF" w:rsidP="000D1B1A">
      <w:pPr>
        <w:spacing w:after="118" w:line="259" w:lineRule="auto"/>
        <w:ind w:left="0" w:right="1" w:firstLine="0"/>
        <w:jc w:val="center"/>
      </w:pPr>
    </w:p>
    <w:p w14:paraId="21A601CC" w14:textId="77777777" w:rsidR="00BD4DCF" w:rsidRPr="0072627E" w:rsidRDefault="00BD4DCF" w:rsidP="000D1B1A">
      <w:pPr>
        <w:spacing w:after="118" w:line="259" w:lineRule="auto"/>
        <w:ind w:left="0" w:right="1" w:firstLine="0"/>
        <w:jc w:val="center"/>
      </w:pPr>
    </w:p>
    <w:p w14:paraId="789FA8E0" w14:textId="77777777" w:rsidR="00BD4DCF" w:rsidRPr="0072627E" w:rsidRDefault="00BD4DCF" w:rsidP="000D1B1A">
      <w:pPr>
        <w:spacing w:after="114" w:line="259" w:lineRule="auto"/>
        <w:ind w:left="0" w:right="1" w:firstLine="0"/>
        <w:jc w:val="center"/>
      </w:pPr>
    </w:p>
    <w:p w14:paraId="201E9B4E" w14:textId="77777777" w:rsidR="00BD4DCF" w:rsidRPr="0072627E" w:rsidRDefault="00BD4DCF" w:rsidP="000D1B1A">
      <w:pPr>
        <w:spacing w:after="114" w:line="259" w:lineRule="auto"/>
        <w:ind w:left="0" w:right="1" w:firstLine="0"/>
        <w:jc w:val="center"/>
      </w:pPr>
    </w:p>
    <w:p w14:paraId="5138B176" w14:textId="77777777" w:rsidR="00BD4DCF" w:rsidRPr="000D1B1A" w:rsidRDefault="0025772B" w:rsidP="00C2114E">
      <w:pPr>
        <w:tabs>
          <w:tab w:val="left" w:pos="4536"/>
        </w:tabs>
        <w:spacing w:after="0" w:line="360" w:lineRule="auto"/>
        <w:ind w:left="0" w:right="1" w:firstLine="0"/>
        <w:jc w:val="center"/>
      </w:pPr>
      <w:r w:rsidRPr="000D1B1A">
        <w:rPr>
          <w:rFonts w:cs="Arial"/>
        </w:rPr>
        <w:t xml:space="preserve"> GOIÂNIA – GO  </w:t>
      </w:r>
    </w:p>
    <w:p w14:paraId="06FCE991" w14:textId="77777777" w:rsidR="00BD4DCF" w:rsidRPr="000D1B1A" w:rsidRDefault="0025772B" w:rsidP="000D1B1A">
      <w:pPr>
        <w:spacing w:after="0" w:line="360" w:lineRule="auto"/>
        <w:ind w:left="0" w:right="1"/>
        <w:jc w:val="center"/>
      </w:pPr>
      <w:r w:rsidRPr="000D1B1A">
        <w:rPr>
          <w:rFonts w:cs="Arial"/>
        </w:rPr>
        <w:t>2025</w:t>
      </w:r>
    </w:p>
    <w:p w14:paraId="2F991028" w14:textId="77777777" w:rsidR="00BD4DCF" w:rsidRPr="000D1B1A" w:rsidRDefault="00DE65D0" w:rsidP="00C2114E">
      <w:pPr>
        <w:tabs>
          <w:tab w:val="left" w:pos="3969"/>
          <w:tab w:val="left" w:pos="4536"/>
        </w:tabs>
        <w:spacing w:after="0" w:line="360" w:lineRule="auto"/>
        <w:ind w:left="0" w:right="1"/>
        <w:jc w:val="center"/>
      </w:pPr>
      <w:r w:rsidRPr="000D1B1A">
        <w:rPr>
          <w:rFonts w:cs="Arial"/>
        </w:rPr>
        <w:lastRenderedPageBreak/>
        <w:t>GUILHERME DE PAULA MENDES</w:t>
      </w:r>
    </w:p>
    <w:p w14:paraId="1E0D9604" w14:textId="77777777" w:rsidR="00BD4DCF" w:rsidRPr="000D1B1A" w:rsidRDefault="00DE65D0" w:rsidP="00C2114E">
      <w:pPr>
        <w:tabs>
          <w:tab w:val="left" w:pos="3969"/>
          <w:tab w:val="left" w:pos="4536"/>
        </w:tabs>
        <w:spacing w:after="0" w:line="360" w:lineRule="auto"/>
        <w:ind w:left="0" w:right="1"/>
        <w:jc w:val="center"/>
      </w:pPr>
      <w:r w:rsidRPr="000D1B1A">
        <w:rPr>
          <w:rFonts w:cs="Arial"/>
        </w:rPr>
        <w:t>BEATRIZ PEREIRA BRITO</w:t>
      </w:r>
    </w:p>
    <w:p w14:paraId="0A40D5DF" w14:textId="77777777" w:rsidR="00BD4DCF" w:rsidRPr="000D1B1A" w:rsidRDefault="00BD4DCF" w:rsidP="000D1B1A">
      <w:pPr>
        <w:tabs>
          <w:tab w:val="left" w:pos="3969"/>
          <w:tab w:val="left" w:pos="4536"/>
        </w:tabs>
        <w:spacing w:after="118" w:line="259" w:lineRule="auto"/>
        <w:ind w:left="0" w:right="1" w:firstLine="0"/>
        <w:jc w:val="center"/>
      </w:pPr>
    </w:p>
    <w:p w14:paraId="74598B40" w14:textId="77777777" w:rsidR="00BD4DCF" w:rsidRPr="000D1B1A" w:rsidRDefault="00BD4DCF" w:rsidP="000D1B1A">
      <w:pPr>
        <w:tabs>
          <w:tab w:val="left" w:pos="3969"/>
          <w:tab w:val="left" w:pos="4536"/>
        </w:tabs>
        <w:spacing w:after="115" w:line="259" w:lineRule="auto"/>
        <w:ind w:left="0" w:right="1" w:firstLine="0"/>
        <w:jc w:val="center"/>
      </w:pPr>
    </w:p>
    <w:p w14:paraId="2A3FFBC8" w14:textId="77777777" w:rsidR="00BD4DCF" w:rsidRPr="000D1B1A" w:rsidRDefault="00BD4DCF" w:rsidP="000D1B1A">
      <w:pPr>
        <w:tabs>
          <w:tab w:val="left" w:pos="3969"/>
          <w:tab w:val="left" w:pos="4536"/>
        </w:tabs>
        <w:spacing w:after="118" w:line="259" w:lineRule="auto"/>
        <w:ind w:left="0" w:right="1" w:firstLine="0"/>
        <w:jc w:val="center"/>
      </w:pPr>
    </w:p>
    <w:p w14:paraId="73AADFED" w14:textId="77777777" w:rsidR="00BD4DCF" w:rsidRPr="000D1B1A" w:rsidRDefault="00BD4DCF" w:rsidP="000D1B1A">
      <w:pPr>
        <w:tabs>
          <w:tab w:val="left" w:pos="3969"/>
          <w:tab w:val="left" w:pos="4536"/>
        </w:tabs>
        <w:spacing w:after="114" w:line="259" w:lineRule="auto"/>
        <w:ind w:left="0" w:right="1" w:firstLine="0"/>
        <w:jc w:val="center"/>
      </w:pPr>
    </w:p>
    <w:p w14:paraId="7D5D70BE" w14:textId="77777777" w:rsidR="00BD4DCF" w:rsidRPr="000D1B1A" w:rsidRDefault="00BD4DCF" w:rsidP="000D1B1A">
      <w:pPr>
        <w:tabs>
          <w:tab w:val="left" w:pos="3969"/>
          <w:tab w:val="left" w:pos="4536"/>
        </w:tabs>
        <w:spacing w:after="118" w:line="259" w:lineRule="auto"/>
        <w:ind w:left="0" w:right="1" w:firstLine="0"/>
        <w:jc w:val="center"/>
      </w:pPr>
    </w:p>
    <w:p w14:paraId="04BB2D93" w14:textId="77777777" w:rsidR="00BD4DCF" w:rsidRPr="000D1B1A" w:rsidRDefault="00BD4DCF" w:rsidP="000D1B1A">
      <w:pPr>
        <w:tabs>
          <w:tab w:val="left" w:pos="3969"/>
          <w:tab w:val="left" w:pos="4536"/>
        </w:tabs>
        <w:spacing w:after="114" w:line="259" w:lineRule="auto"/>
        <w:ind w:left="0" w:right="1" w:firstLine="0"/>
        <w:jc w:val="center"/>
      </w:pPr>
    </w:p>
    <w:p w14:paraId="1BD02052" w14:textId="77777777" w:rsidR="00BD4DCF" w:rsidRDefault="00BD4DCF" w:rsidP="009819C7">
      <w:pPr>
        <w:tabs>
          <w:tab w:val="left" w:pos="3969"/>
          <w:tab w:val="left" w:pos="4536"/>
        </w:tabs>
        <w:spacing w:after="161" w:line="259" w:lineRule="auto"/>
        <w:ind w:left="0" w:right="1" w:firstLine="0"/>
        <w:jc w:val="left"/>
      </w:pPr>
    </w:p>
    <w:p w14:paraId="1A749AF2" w14:textId="77777777" w:rsidR="00C2114E" w:rsidRPr="000D1B1A" w:rsidRDefault="00C2114E" w:rsidP="000D1B1A">
      <w:pPr>
        <w:tabs>
          <w:tab w:val="left" w:pos="3969"/>
          <w:tab w:val="left" w:pos="4536"/>
        </w:tabs>
        <w:spacing w:after="161" w:line="259" w:lineRule="auto"/>
        <w:ind w:left="0" w:right="1" w:firstLine="0"/>
        <w:jc w:val="center"/>
      </w:pPr>
    </w:p>
    <w:p w14:paraId="0668EF63" w14:textId="77777777" w:rsidR="007A3C60" w:rsidRPr="00C2114E" w:rsidRDefault="007A3C60" w:rsidP="000D1B1A">
      <w:pPr>
        <w:tabs>
          <w:tab w:val="left" w:pos="3969"/>
          <w:tab w:val="left" w:pos="4536"/>
        </w:tabs>
        <w:ind w:left="0" w:right="1" w:firstLine="0"/>
        <w:jc w:val="center"/>
        <w:rPr>
          <w:b/>
          <w:bCs/>
        </w:rPr>
      </w:pPr>
      <w:r w:rsidRPr="00C2114E">
        <w:rPr>
          <w:b/>
          <w:bCs/>
        </w:rPr>
        <w:t>AUTOMEDICAÇÃO COM DESCONGESTIONANTES NASAIS À BASE DE NAFAZOLINA: EFEITOS ADVERSOS E O PAPEL DO FARMACÊ</w:t>
      </w:r>
      <w:r w:rsidR="00C2114E">
        <w:rPr>
          <w:b/>
          <w:bCs/>
        </w:rPr>
        <w:t>UTICO NA ORIENTAÇÃO AO PACIENTE</w:t>
      </w:r>
    </w:p>
    <w:p w14:paraId="02B468A8" w14:textId="77777777" w:rsidR="00BD4DCF" w:rsidRPr="0072627E" w:rsidRDefault="00BD4DCF">
      <w:pPr>
        <w:spacing w:after="114" w:line="259" w:lineRule="auto"/>
        <w:ind w:left="67" w:right="0" w:firstLine="0"/>
        <w:jc w:val="center"/>
      </w:pPr>
    </w:p>
    <w:p w14:paraId="5E1FB7A4" w14:textId="77777777" w:rsidR="00BD4DCF" w:rsidRPr="0072627E" w:rsidRDefault="00BD4DCF">
      <w:pPr>
        <w:spacing w:after="118" w:line="259" w:lineRule="auto"/>
        <w:ind w:left="67" w:right="0" w:firstLine="0"/>
        <w:jc w:val="center"/>
      </w:pPr>
    </w:p>
    <w:p w14:paraId="01D4FAC8" w14:textId="77777777" w:rsidR="00BD4DCF" w:rsidRPr="0072627E" w:rsidRDefault="00BD4DCF" w:rsidP="000D1B1A">
      <w:pPr>
        <w:spacing w:after="0" w:line="240" w:lineRule="auto"/>
        <w:ind w:left="0" w:right="0" w:firstLine="0"/>
        <w:jc w:val="left"/>
      </w:pPr>
    </w:p>
    <w:p w14:paraId="62A579DC" w14:textId="77777777" w:rsidR="00BD4DCF" w:rsidRDefault="0025772B" w:rsidP="000D1B1A">
      <w:pPr>
        <w:spacing w:after="0" w:line="240" w:lineRule="auto"/>
        <w:ind w:left="4548" w:right="4"/>
      </w:pPr>
      <w:r w:rsidRPr="0072627E">
        <w:t xml:space="preserve">Trabalho de Conclusão de Curso apresentado a Pontifícia Universidade Católica de Goiás como requisito obrigatório à conclusão do curso de Farmácia. </w:t>
      </w:r>
    </w:p>
    <w:p w14:paraId="0140D767" w14:textId="77777777" w:rsidR="000D1B1A" w:rsidRPr="0072627E" w:rsidRDefault="000D1B1A" w:rsidP="000D1B1A">
      <w:pPr>
        <w:spacing w:after="0" w:line="240" w:lineRule="auto"/>
        <w:ind w:left="4548" w:right="4"/>
      </w:pPr>
    </w:p>
    <w:p w14:paraId="2F9432CE" w14:textId="77777777" w:rsidR="00BD4DCF" w:rsidRPr="0072627E" w:rsidRDefault="0025772B" w:rsidP="00C2114E">
      <w:pPr>
        <w:spacing w:after="0" w:line="240" w:lineRule="auto"/>
        <w:ind w:left="4536" w:right="4" w:firstLine="0"/>
      </w:pPr>
      <w:r w:rsidRPr="000D1B1A">
        <w:rPr>
          <w:rFonts w:cs="Arial"/>
        </w:rPr>
        <w:t xml:space="preserve">Orientadora:  </w:t>
      </w:r>
      <w:r w:rsidRPr="0072627E">
        <w:t xml:space="preserve">Prof.ª Dra. Wanessa </w:t>
      </w:r>
    </w:p>
    <w:p w14:paraId="636DDF01" w14:textId="77777777" w:rsidR="00BD4DCF" w:rsidRPr="0072627E" w:rsidRDefault="0025772B" w:rsidP="000D1B1A">
      <w:pPr>
        <w:spacing w:after="0" w:line="240" w:lineRule="auto"/>
        <w:ind w:left="1955" w:right="0"/>
        <w:jc w:val="center"/>
      </w:pPr>
      <w:r w:rsidRPr="0072627E">
        <w:t xml:space="preserve">Machado Andrade </w:t>
      </w:r>
    </w:p>
    <w:p w14:paraId="09110A5D" w14:textId="77777777" w:rsidR="00BD4DCF" w:rsidRPr="0072627E" w:rsidRDefault="00BD4DCF" w:rsidP="000D1B1A">
      <w:pPr>
        <w:spacing w:after="0" w:line="259" w:lineRule="auto"/>
        <w:ind w:left="67" w:right="0" w:firstLine="0"/>
        <w:jc w:val="center"/>
      </w:pPr>
    </w:p>
    <w:p w14:paraId="6DC7373F" w14:textId="77777777" w:rsidR="00BD4DCF" w:rsidRPr="0072627E" w:rsidRDefault="00BD4DCF">
      <w:pPr>
        <w:spacing w:after="114" w:line="259" w:lineRule="auto"/>
        <w:ind w:left="67" w:right="0" w:firstLine="0"/>
        <w:jc w:val="center"/>
      </w:pPr>
    </w:p>
    <w:p w14:paraId="0E9F6533" w14:textId="77777777" w:rsidR="00BD4DCF" w:rsidRPr="0072627E" w:rsidRDefault="00BD4DCF">
      <w:pPr>
        <w:spacing w:after="114" w:line="259" w:lineRule="auto"/>
        <w:ind w:left="67" w:right="0" w:firstLine="0"/>
        <w:jc w:val="center"/>
      </w:pPr>
    </w:p>
    <w:p w14:paraId="13FA0C01" w14:textId="77777777" w:rsidR="00BD4DCF" w:rsidRPr="0072627E" w:rsidRDefault="00BD4DCF">
      <w:pPr>
        <w:spacing w:after="119" w:line="259" w:lineRule="auto"/>
        <w:ind w:left="67" w:right="0" w:firstLine="0"/>
        <w:jc w:val="center"/>
      </w:pPr>
    </w:p>
    <w:p w14:paraId="7AAB37DC" w14:textId="77777777" w:rsidR="00BD4DCF" w:rsidRDefault="00BD4DCF">
      <w:pPr>
        <w:spacing w:after="114" w:line="259" w:lineRule="auto"/>
        <w:ind w:left="67" w:right="0" w:firstLine="0"/>
        <w:jc w:val="center"/>
      </w:pPr>
    </w:p>
    <w:p w14:paraId="158AE74A" w14:textId="77777777" w:rsidR="00C2114E" w:rsidRDefault="00C2114E">
      <w:pPr>
        <w:spacing w:after="114" w:line="259" w:lineRule="auto"/>
        <w:ind w:left="67" w:right="0" w:firstLine="0"/>
        <w:jc w:val="center"/>
      </w:pPr>
    </w:p>
    <w:p w14:paraId="0CD7B8CF" w14:textId="77777777" w:rsidR="00C2114E" w:rsidRDefault="00C2114E">
      <w:pPr>
        <w:spacing w:after="114" w:line="259" w:lineRule="auto"/>
        <w:ind w:left="67" w:right="0" w:firstLine="0"/>
        <w:jc w:val="center"/>
      </w:pPr>
    </w:p>
    <w:p w14:paraId="4AD99625" w14:textId="77777777" w:rsidR="00C2114E" w:rsidRDefault="00C2114E">
      <w:pPr>
        <w:spacing w:after="114" w:line="259" w:lineRule="auto"/>
        <w:ind w:left="67" w:right="0" w:firstLine="0"/>
        <w:jc w:val="center"/>
      </w:pPr>
    </w:p>
    <w:p w14:paraId="1861E515" w14:textId="77777777" w:rsidR="00C2114E" w:rsidRDefault="00C2114E">
      <w:pPr>
        <w:spacing w:after="114" w:line="259" w:lineRule="auto"/>
        <w:ind w:left="67" w:right="0" w:firstLine="0"/>
        <w:jc w:val="center"/>
      </w:pPr>
    </w:p>
    <w:p w14:paraId="7E9E0FB9" w14:textId="77777777" w:rsidR="000D1B1A" w:rsidRDefault="000D1B1A">
      <w:pPr>
        <w:spacing w:after="114" w:line="259" w:lineRule="auto"/>
        <w:ind w:left="67" w:right="0" w:firstLine="0"/>
        <w:jc w:val="center"/>
      </w:pPr>
    </w:p>
    <w:p w14:paraId="10CE15C9" w14:textId="77777777" w:rsidR="000D1B1A" w:rsidRPr="0072627E" w:rsidRDefault="000D1B1A">
      <w:pPr>
        <w:spacing w:after="114" w:line="259" w:lineRule="auto"/>
        <w:ind w:left="67" w:right="0" w:firstLine="0"/>
        <w:jc w:val="center"/>
      </w:pPr>
    </w:p>
    <w:p w14:paraId="4D2670F2" w14:textId="77777777" w:rsidR="007A3C60" w:rsidRPr="000D1B1A" w:rsidRDefault="0025772B" w:rsidP="000D1B1A">
      <w:pPr>
        <w:tabs>
          <w:tab w:val="left" w:pos="3969"/>
          <w:tab w:val="left" w:pos="4536"/>
        </w:tabs>
        <w:spacing w:after="0" w:line="360" w:lineRule="auto"/>
        <w:ind w:left="0" w:right="0" w:firstLine="0"/>
        <w:jc w:val="center"/>
        <w:rPr>
          <w:rFonts w:cs="Arial"/>
        </w:rPr>
      </w:pPr>
      <w:r w:rsidRPr="000D1B1A">
        <w:rPr>
          <w:rFonts w:cs="Arial"/>
        </w:rPr>
        <w:t xml:space="preserve"> GOIÂNIA – GO </w:t>
      </w:r>
    </w:p>
    <w:p w14:paraId="56C7E534" w14:textId="77777777" w:rsidR="00BD4DCF" w:rsidRPr="000D1B1A" w:rsidRDefault="0025772B" w:rsidP="000D1B1A">
      <w:pPr>
        <w:tabs>
          <w:tab w:val="left" w:pos="3969"/>
          <w:tab w:val="left" w:pos="4536"/>
        </w:tabs>
        <w:spacing w:after="0" w:line="360" w:lineRule="auto"/>
        <w:ind w:left="0" w:right="0" w:firstLine="0"/>
        <w:jc w:val="center"/>
      </w:pPr>
      <w:r w:rsidRPr="000D1B1A">
        <w:rPr>
          <w:rFonts w:cs="Arial"/>
        </w:rPr>
        <w:t xml:space="preserve"> 2025</w:t>
      </w:r>
    </w:p>
    <w:p w14:paraId="4DB0EE4E" w14:textId="77777777" w:rsidR="00BD4DCF" w:rsidRPr="0072627E" w:rsidRDefault="0025772B" w:rsidP="000D1B1A">
      <w:pPr>
        <w:pStyle w:val="Ttulo5"/>
        <w:spacing w:after="0" w:line="358" w:lineRule="auto"/>
        <w:jc w:val="center"/>
      </w:pPr>
      <w:r w:rsidRPr="0072627E">
        <w:lastRenderedPageBreak/>
        <w:t>RESUMO</w:t>
      </w:r>
    </w:p>
    <w:p w14:paraId="17B30E30" w14:textId="77777777" w:rsidR="00366B02" w:rsidRDefault="00366B02" w:rsidP="000D1B1A">
      <w:pPr>
        <w:spacing w:line="240" w:lineRule="auto"/>
        <w:ind w:left="11" w:right="0" w:firstLine="0"/>
        <w:rPr>
          <w:rFonts w:cs="Arial"/>
        </w:rPr>
      </w:pPr>
    </w:p>
    <w:p w14:paraId="4B3417D6" w14:textId="3DD2C461" w:rsidR="000F1AC6" w:rsidRPr="000D1B1A" w:rsidRDefault="00FE607E" w:rsidP="000D1B1A">
      <w:pPr>
        <w:spacing w:line="240" w:lineRule="auto"/>
        <w:ind w:left="11" w:right="0" w:firstLine="0"/>
        <w:rPr>
          <w:rFonts w:cs="Arial"/>
        </w:rPr>
      </w:pPr>
      <w:r w:rsidRPr="000D1B1A">
        <w:rPr>
          <w:rFonts w:cs="Arial"/>
        </w:rPr>
        <w:t xml:space="preserve">A automedicação com descongestionantes nasais que contêm nafazolina é uma prática comum e preocupante, muitas vezes associada ao uso prolongado e sem orientação médica. Esse comportamento aumenta o risco de efeitos adversos locais e sistêmicos, como rinite medicamentosa, taquicardia, hipertensão e dependência do medicamento. Este trabalho teve como objetivo </w:t>
      </w:r>
      <w:r w:rsidR="002D3EF0">
        <w:rPr>
          <w:rFonts w:cs="Arial"/>
        </w:rPr>
        <w:t>descrever</w:t>
      </w:r>
      <w:r w:rsidRPr="000D1B1A">
        <w:rPr>
          <w:rFonts w:cs="Arial"/>
        </w:rPr>
        <w:t xml:space="preserve"> os riscos do uso indiscriminado desses fármacos e destacar a atuação do farmacêutico na prevenção e orientação ao paciente. Trata-se de uma </w:t>
      </w:r>
      <w:r w:rsidRPr="00C021FE">
        <w:rPr>
          <w:rFonts w:cs="Arial"/>
        </w:rPr>
        <w:t>pesquisa</w:t>
      </w:r>
      <w:r w:rsidR="00C021FE">
        <w:rPr>
          <w:rFonts w:cs="Arial"/>
        </w:rPr>
        <w:t xml:space="preserve"> bibliográfica</w:t>
      </w:r>
      <w:r w:rsidRPr="000D1B1A">
        <w:rPr>
          <w:rFonts w:cs="Arial"/>
        </w:rPr>
        <w:t xml:space="preserve"> de caráter exploratório e descritivo, desenvolvida a partir de revisão bibliográfica em bases nacionais e internacionais (SciELO, PubMed, LILACS e Google Acadêmico), priorizando estudos publicados entre 2015 e 2024. Foram consultados artigos científicos, legislações, notas técnicas e documentos de órgãos reguladores, como ANVISA, OMS e OPAS. Os resultados evidenciaram que a venda sem prescrição e a percepção equivocada de segurança contribuem para o uso abusivo. Nesse cenário, o farmacêutico tem papel essencial na educação em saúde, no acompanhamento do paciente e na promoção do uso racional de medicamentos, sendo um elo fundamental para minimizar riscos e prevenir complicações.</w:t>
      </w:r>
    </w:p>
    <w:p w14:paraId="288342C3" w14:textId="77777777" w:rsidR="00BD4DCF" w:rsidRPr="000D1B1A" w:rsidRDefault="00BD4DCF" w:rsidP="000D1B1A">
      <w:pPr>
        <w:spacing w:after="114" w:line="259" w:lineRule="auto"/>
        <w:ind w:left="853" w:right="0" w:firstLine="0"/>
        <w:rPr>
          <w:rFonts w:cs="Arial"/>
        </w:rPr>
      </w:pPr>
    </w:p>
    <w:p w14:paraId="4EA4FA65" w14:textId="2793C651" w:rsidR="000F1AC6" w:rsidRPr="006A60B4" w:rsidRDefault="000D1B1A" w:rsidP="000D1B1A">
      <w:pPr>
        <w:ind w:firstLine="0"/>
      </w:pPr>
      <w:r w:rsidRPr="000D1B1A">
        <w:rPr>
          <w:rFonts w:cs="Arial"/>
          <w:b/>
        </w:rPr>
        <w:t>Palavras-C</w:t>
      </w:r>
      <w:r w:rsidR="0025772B" w:rsidRPr="000D1B1A">
        <w:rPr>
          <w:rFonts w:cs="Arial"/>
          <w:b/>
        </w:rPr>
        <w:t>have</w:t>
      </w:r>
      <w:r w:rsidR="00243D13" w:rsidRPr="000D1B1A">
        <w:rPr>
          <w:rFonts w:cs="Arial"/>
          <w:b/>
        </w:rPr>
        <w:t xml:space="preserve">: </w:t>
      </w:r>
      <w:r w:rsidR="000F1AC6" w:rsidRPr="006A60B4">
        <w:t xml:space="preserve">uso irracional de medicamentos, </w:t>
      </w:r>
      <w:r w:rsidR="006A60B4" w:rsidRPr="006A60B4">
        <w:t>rinite medicamentosa</w:t>
      </w:r>
      <w:r w:rsidR="000F1AC6" w:rsidRPr="006A60B4">
        <w:t>, vasoconstritores tópicos</w:t>
      </w:r>
      <w:r w:rsidR="00C021FE" w:rsidRPr="006A60B4">
        <w:t>.</w:t>
      </w:r>
    </w:p>
    <w:p w14:paraId="2A26E071" w14:textId="77777777" w:rsidR="00BD4DCF" w:rsidRPr="000D1B1A" w:rsidRDefault="0025772B" w:rsidP="000D1B1A">
      <w:pPr>
        <w:spacing w:line="398" w:lineRule="auto"/>
        <w:ind w:left="-5" w:right="4"/>
        <w:rPr>
          <w:rFonts w:cs="Arial"/>
        </w:rPr>
      </w:pPr>
      <w:r w:rsidRPr="000D1B1A">
        <w:rPr>
          <w:rFonts w:cs="Arial"/>
        </w:rPr>
        <w:t xml:space="preserve">. </w:t>
      </w:r>
    </w:p>
    <w:p w14:paraId="307D0A2C" w14:textId="77777777" w:rsidR="00BD4DCF" w:rsidRPr="0072627E" w:rsidRDefault="00BD4DCF">
      <w:pPr>
        <w:spacing w:after="118" w:line="259" w:lineRule="auto"/>
        <w:ind w:left="0" w:right="0" w:firstLine="0"/>
        <w:jc w:val="left"/>
      </w:pPr>
    </w:p>
    <w:p w14:paraId="47FBF986" w14:textId="77777777" w:rsidR="00BD4DCF" w:rsidRPr="0072627E" w:rsidRDefault="00BD4DCF">
      <w:pPr>
        <w:spacing w:after="114" w:line="259" w:lineRule="auto"/>
        <w:ind w:left="0" w:right="0" w:firstLine="0"/>
        <w:jc w:val="left"/>
      </w:pPr>
    </w:p>
    <w:p w14:paraId="28A064B8" w14:textId="77777777" w:rsidR="00BD4DCF" w:rsidRPr="0072627E" w:rsidRDefault="00BD4DCF">
      <w:pPr>
        <w:spacing w:after="118" w:line="259" w:lineRule="auto"/>
        <w:ind w:left="0" w:right="0" w:firstLine="0"/>
        <w:jc w:val="left"/>
      </w:pPr>
    </w:p>
    <w:p w14:paraId="2C44B4EC" w14:textId="77777777" w:rsidR="00BD4DCF" w:rsidRPr="0072627E" w:rsidRDefault="00BD4DCF">
      <w:pPr>
        <w:spacing w:after="114" w:line="259" w:lineRule="auto"/>
        <w:ind w:left="0" w:right="0" w:firstLine="0"/>
        <w:jc w:val="left"/>
      </w:pPr>
    </w:p>
    <w:p w14:paraId="62DD7F8C" w14:textId="77777777" w:rsidR="00BD4DCF" w:rsidRPr="0072627E" w:rsidRDefault="00BD4DCF">
      <w:pPr>
        <w:spacing w:after="118" w:line="259" w:lineRule="auto"/>
        <w:ind w:left="0" w:right="0" w:firstLine="0"/>
        <w:jc w:val="left"/>
      </w:pPr>
    </w:p>
    <w:p w14:paraId="66731871" w14:textId="77777777" w:rsidR="00BD4DCF" w:rsidRPr="0072627E" w:rsidRDefault="00BD4DCF">
      <w:pPr>
        <w:spacing w:after="114" w:line="259" w:lineRule="auto"/>
        <w:ind w:left="0" w:right="0" w:firstLine="0"/>
        <w:jc w:val="left"/>
      </w:pPr>
    </w:p>
    <w:p w14:paraId="687D872E" w14:textId="77777777" w:rsidR="00BD4DCF" w:rsidRPr="0072627E" w:rsidRDefault="00BD4DCF">
      <w:pPr>
        <w:spacing w:after="118" w:line="259" w:lineRule="auto"/>
        <w:ind w:left="0" w:right="0" w:firstLine="0"/>
        <w:jc w:val="left"/>
      </w:pPr>
    </w:p>
    <w:p w14:paraId="32B7F1A3" w14:textId="77777777" w:rsidR="00BD4DCF" w:rsidRPr="0072627E" w:rsidRDefault="00BD4DCF">
      <w:pPr>
        <w:spacing w:after="114" w:line="259" w:lineRule="auto"/>
        <w:ind w:left="0" w:right="0" w:firstLine="0"/>
        <w:jc w:val="left"/>
      </w:pPr>
    </w:p>
    <w:p w14:paraId="55BDD2B4" w14:textId="77777777" w:rsidR="00BD4DCF" w:rsidRPr="0072627E" w:rsidRDefault="00BD4DCF">
      <w:pPr>
        <w:spacing w:after="114" w:line="259" w:lineRule="auto"/>
        <w:ind w:left="0" w:right="0" w:firstLine="0"/>
        <w:jc w:val="left"/>
      </w:pPr>
    </w:p>
    <w:p w14:paraId="6E493115" w14:textId="77777777" w:rsidR="00BD4DCF" w:rsidRPr="0072627E" w:rsidRDefault="00BD4DCF">
      <w:pPr>
        <w:spacing w:after="119" w:line="259" w:lineRule="auto"/>
        <w:ind w:left="0" w:right="0" w:firstLine="0"/>
        <w:jc w:val="left"/>
      </w:pPr>
    </w:p>
    <w:p w14:paraId="08ECEFD6" w14:textId="77777777" w:rsidR="00BD4DCF" w:rsidRPr="0072627E" w:rsidRDefault="00BD4DCF">
      <w:pPr>
        <w:spacing w:after="114" w:line="259" w:lineRule="auto"/>
        <w:ind w:left="0" w:right="0" w:firstLine="0"/>
        <w:jc w:val="left"/>
      </w:pPr>
    </w:p>
    <w:p w14:paraId="04B9AC4D" w14:textId="77777777" w:rsidR="00BD4DCF" w:rsidRDefault="00BD4DCF">
      <w:pPr>
        <w:spacing w:after="118" w:line="259" w:lineRule="auto"/>
        <w:ind w:left="0" w:right="0" w:firstLine="0"/>
        <w:jc w:val="left"/>
      </w:pPr>
    </w:p>
    <w:p w14:paraId="6213CB5B" w14:textId="77777777" w:rsidR="00243D13" w:rsidRDefault="00243D13">
      <w:pPr>
        <w:spacing w:after="118" w:line="259" w:lineRule="auto"/>
        <w:ind w:left="0" w:right="0" w:firstLine="0"/>
        <w:jc w:val="left"/>
      </w:pPr>
    </w:p>
    <w:p w14:paraId="2C6D438B" w14:textId="77777777" w:rsidR="00243D13" w:rsidRPr="0072627E" w:rsidRDefault="00243D13">
      <w:pPr>
        <w:spacing w:after="118" w:line="259" w:lineRule="auto"/>
        <w:ind w:left="0" w:right="0" w:firstLine="0"/>
        <w:jc w:val="left"/>
      </w:pPr>
    </w:p>
    <w:p w14:paraId="76C4EB08" w14:textId="77777777" w:rsidR="00B506CA" w:rsidRPr="0072627E" w:rsidRDefault="00B506CA" w:rsidP="00527F4F">
      <w:pPr>
        <w:pStyle w:val="Sumrio1"/>
        <w:tabs>
          <w:tab w:val="left" w:pos="960"/>
          <w:tab w:val="right" w:leader="dot" w:pos="9064"/>
        </w:tabs>
        <w:jc w:val="both"/>
      </w:pPr>
    </w:p>
    <w:sdt>
      <w:sdtPr>
        <w:rPr>
          <w:b/>
        </w:rPr>
        <w:id w:val="-931744684"/>
        <w:docPartObj>
          <w:docPartGallery w:val="Table of Contents"/>
        </w:docPartObj>
      </w:sdtPr>
      <w:sdtEndPr>
        <w:rPr>
          <w:b w:val="0"/>
        </w:rPr>
      </w:sdtEndPr>
      <w:sdtContent>
        <w:p w14:paraId="7B79934E" w14:textId="77777777" w:rsidR="006428B1" w:rsidRPr="0072627E" w:rsidRDefault="006428B1" w:rsidP="00B506CA">
          <w:pPr>
            <w:spacing w:after="114" w:line="259" w:lineRule="auto"/>
            <w:ind w:left="0" w:right="0" w:firstLine="0"/>
            <w:jc w:val="left"/>
            <w:rPr>
              <w:b/>
            </w:rPr>
          </w:pPr>
        </w:p>
        <w:p w14:paraId="02150BDB" w14:textId="77777777" w:rsidR="006428B1" w:rsidRPr="0072627E" w:rsidRDefault="006428B1" w:rsidP="00527F4F">
          <w:pPr>
            <w:pStyle w:val="Sumrio1"/>
            <w:tabs>
              <w:tab w:val="left" w:pos="960"/>
              <w:tab w:val="right" w:leader="dot" w:pos="9064"/>
            </w:tabs>
            <w:jc w:val="both"/>
            <w:rPr>
              <w:rFonts w:cs="Times New Roman"/>
              <w:b w:val="0"/>
            </w:rPr>
          </w:pPr>
        </w:p>
        <w:p w14:paraId="7C746F0D" w14:textId="77777777" w:rsidR="006428B1" w:rsidRPr="0072627E" w:rsidRDefault="007A3C60" w:rsidP="000D1B1A">
          <w:pPr>
            <w:pStyle w:val="Sumrio1"/>
            <w:tabs>
              <w:tab w:val="left" w:pos="0"/>
              <w:tab w:val="right" w:leader="dot" w:pos="9064"/>
            </w:tabs>
            <w:jc w:val="center"/>
            <w:rPr>
              <w:rFonts w:cs="Times New Roman"/>
              <w:bCs/>
            </w:rPr>
          </w:pPr>
          <w:r w:rsidRPr="0072627E">
            <w:rPr>
              <w:rFonts w:cs="Times New Roman"/>
              <w:bCs/>
            </w:rPr>
            <w:t>SUMÁRIO</w:t>
          </w:r>
        </w:p>
        <w:p w14:paraId="19D54328" w14:textId="77777777" w:rsidR="006428B1" w:rsidRPr="0072627E" w:rsidRDefault="006428B1" w:rsidP="00527F4F">
          <w:pPr>
            <w:pStyle w:val="Sumrio1"/>
            <w:tabs>
              <w:tab w:val="left" w:pos="960"/>
              <w:tab w:val="right" w:leader="dot" w:pos="9064"/>
            </w:tabs>
            <w:jc w:val="both"/>
            <w:rPr>
              <w:rFonts w:cs="Times New Roman"/>
              <w:b w:val="0"/>
            </w:rPr>
          </w:pPr>
        </w:p>
        <w:p w14:paraId="257E227C" w14:textId="77777777" w:rsidR="00366B02" w:rsidRPr="00366B02" w:rsidRDefault="00470601" w:rsidP="00366B02">
          <w:pPr>
            <w:pStyle w:val="Sumrio1"/>
            <w:tabs>
              <w:tab w:val="left" w:pos="284"/>
              <w:tab w:val="right" w:leader="dot" w:pos="9063"/>
            </w:tabs>
            <w:rPr>
              <w:rFonts w:asciiTheme="minorHAnsi" w:eastAsiaTheme="minorEastAsia" w:hAnsiTheme="minorHAnsi" w:cstheme="minorBidi"/>
              <w:noProof/>
              <w:color w:val="auto"/>
              <w:kern w:val="0"/>
              <w:sz w:val="22"/>
              <w:szCs w:val="22"/>
            </w:rPr>
          </w:pPr>
          <w:r w:rsidRPr="0072627E">
            <w:fldChar w:fldCharType="begin"/>
          </w:r>
          <w:r w:rsidR="0025772B" w:rsidRPr="0072627E">
            <w:instrText xml:space="preserve"> TOC \o "1-4" \h \z \u </w:instrText>
          </w:r>
          <w:r w:rsidRPr="0072627E">
            <w:fldChar w:fldCharType="separate"/>
          </w:r>
          <w:hyperlink w:anchor="_Toc211152518" w:history="1">
            <w:r w:rsidR="00366B02" w:rsidRPr="00366B02">
              <w:rPr>
                <w:rStyle w:val="Hyperlink"/>
                <w:bCs/>
                <w:noProof/>
                <w:u w:color="000000"/>
              </w:rPr>
              <w:t>1.</w:t>
            </w:r>
            <w:r w:rsidR="00366B02" w:rsidRPr="00366B02">
              <w:rPr>
                <w:rFonts w:asciiTheme="minorHAnsi" w:eastAsiaTheme="minorEastAsia" w:hAnsiTheme="minorHAnsi" w:cstheme="minorBidi"/>
                <w:noProof/>
                <w:color w:val="auto"/>
                <w:kern w:val="0"/>
                <w:sz w:val="22"/>
                <w:szCs w:val="22"/>
              </w:rPr>
              <w:tab/>
            </w:r>
            <w:r w:rsidR="00366B02" w:rsidRPr="00366B02">
              <w:rPr>
                <w:rStyle w:val="Hyperlink"/>
                <w:noProof/>
              </w:rPr>
              <w:t>INTRODUÇÃO</w:t>
            </w:r>
            <w:r w:rsidR="00366B02" w:rsidRPr="00366B02">
              <w:rPr>
                <w:noProof/>
                <w:webHidden/>
              </w:rPr>
              <w:tab/>
            </w:r>
            <w:r w:rsidR="00366B02" w:rsidRPr="00366B02">
              <w:rPr>
                <w:noProof/>
                <w:webHidden/>
              </w:rPr>
              <w:fldChar w:fldCharType="begin"/>
            </w:r>
            <w:r w:rsidR="00366B02" w:rsidRPr="00366B02">
              <w:rPr>
                <w:noProof/>
                <w:webHidden/>
              </w:rPr>
              <w:instrText xml:space="preserve"> PAGEREF _Toc211152518 \h </w:instrText>
            </w:r>
            <w:r w:rsidR="00366B02" w:rsidRPr="00366B02">
              <w:rPr>
                <w:noProof/>
                <w:webHidden/>
              </w:rPr>
            </w:r>
            <w:r w:rsidR="00366B02" w:rsidRPr="00366B02">
              <w:rPr>
                <w:noProof/>
                <w:webHidden/>
              </w:rPr>
              <w:fldChar w:fldCharType="separate"/>
            </w:r>
            <w:r w:rsidR="00A93301">
              <w:rPr>
                <w:noProof/>
                <w:webHidden/>
              </w:rPr>
              <w:t>5</w:t>
            </w:r>
            <w:r w:rsidR="00366B02" w:rsidRPr="00366B02">
              <w:rPr>
                <w:noProof/>
                <w:webHidden/>
              </w:rPr>
              <w:fldChar w:fldCharType="end"/>
            </w:r>
          </w:hyperlink>
        </w:p>
        <w:p w14:paraId="72FDB76D" w14:textId="77777777" w:rsidR="00366B02" w:rsidRPr="00366B02" w:rsidRDefault="00366B02" w:rsidP="00366B02">
          <w:pPr>
            <w:pStyle w:val="Sumrio1"/>
            <w:tabs>
              <w:tab w:val="left" w:pos="284"/>
              <w:tab w:val="right" w:leader="dot" w:pos="9063"/>
            </w:tabs>
            <w:rPr>
              <w:rFonts w:asciiTheme="minorHAnsi" w:eastAsiaTheme="minorEastAsia" w:hAnsiTheme="minorHAnsi" w:cstheme="minorBidi"/>
              <w:noProof/>
              <w:color w:val="auto"/>
              <w:kern w:val="0"/>
              <w:sz w:val="22"/>
              <w:szCs w:val="22"/>
            </w:rPr>
          </w:pPr>
          <w:hyperlink w:anchor="_Toc211152519" w:history="1">
            <w:r w:rsidRPr="00366B02">
              <w:rPr>
                <w:rStyle w:val="Hyperlink"/>
                <w:bCs/>
                <w:noProof/>
                <w:u w:color="000000"/>
              </w:rPr>
              <w:t>2.</w:t>
            </w:r>
            <w:r w:rsidRPr="00366B02">
              <w:rPr>
                <w:rFonts w:asciiTheme="minorHAnsi" w:eastAsiaTheme="minorEastAsia" w:hAnsiTheme="minorHAnsi" w:cstheme="minorBidi"/>
                <w:noProof/>
                <w:color w:val="auto"/>
                <w:kern w:val="0"/>
                <w:sz w:val="22"/>
                <w:szCs w:val="22"/>
              </w:rPr>
              <w:tab/>
            </w:r>
            <w:r w:rsidRPr="00366B02">
              <w:rPr>
                <w:rStyle w:val="Hyperlink"/>
                <w:noProof/>
              </w:rPr>
              <w:t>METODOLOGIA</w:t>
            </w:r>
            <w:r w:rsidRPr="00366B02">
              <w:rPr>
                <w:noProof/>
                <w:webHidden/>
              </w:rPr>
              <w:tab/>
            </w:r>
            <w:r w:rsidRPr="00366B02">
              <w:rPr>
                <w:noProof/>
                <w:webHidden/>
              </w:rPr>
              <w:fldChar w:fldCharType="begin"/>
            </w:r>
            <w:r w:rsidRPr="00366B02">
              <w:rPr>
                <w:noProof/>
                <w:webHidden/>
              </w:rPr>
              <w:instrText xml:space="preserve"> PAGEREF _Toc211152519 \h </w:instrText>
            </w:r>
            <w:r w:rsidRPr="00366B02">
              <w:rPr>
                <w:noProof/>
                <w:webHidden/>
              </w:rPr>
            </w:r>
            <w:r w:rsidRPr="00366B02">
              <w:rPr>
                <w:noProof/>
                <w:webHidden/>
              </w:rPr>
              <w:fldChar w:fldCharType="separate"/>
            </w:r>
            <w:r w:rsidR="00A93301">
              <w:rPr>
                <w:noProof/>
                <w:webHidden/>
              </w:rPr>
              <w:t>7</w:t>
            </w:r>
            <w:r w:rsidRPr="00366B02">
              <w:rPr>
                <w:noProof/>
                <w:webHidden/>
              </w:rPr>
              <w:fldChar w:fldCharType="end"/>
            </w:r>
          </w:hyperlink>
        </w:p>
        <w:p w14:paraId="0A72BC46" w14:textId="77777777" w:rsidR="00366B02" w:rsidRPr="00366B02" w:rsidRDefault="00C2114E">
          <w:pPr>
            <w:pStyle w:val="Sumrio2"/>
            <w:tabs>
              <w:tab w:val="right" w:leader="dot" w:pos="9063"/>
            </w:tabs>
            <w:rPr>
              <w:rFonts w:asciiTheme="minorHAnsi" w:eastAsiaTheme="minorEastAsia" w:hAnsiTheme="minorHAnsi" w:cstheme="minorBidi"/>
              <w:b w:val="0"/>
              <w:noProof/>
              <w:color w:val="auto"/>
              <w:kern w:val="0"/>
              <w:sz w:val="22"/>
              <w:szCs w:val="22"/>
            </w:rPr>
          </w:pPr>
          <w:hyperlink w:anchor="_Toc211152520" w:history="1">
            <w:r>
              <w:rPr>
                <w:rStyle w:val="Hyperlink"/>
                <w:b w:val="0"/>
                <w:noProof/>
              </w:rPr>
              <w:t>2</w:t>
            </w:r>
            <w:r w:rsidR="00366B02" w:rsidRPr="00366B02">
              <w:rPr>
                <w:rStyle w:val="Hyperlink"/>
                <w:b w:val="0"/>
                <w:noProof/>
              </w:rPr>
              <w:t>.1 Levantamentos dos efeitos adversos com descongestionantes nasais a base de nafazolina</w:t>
            </w:r>
            <w:r w:rsidR="00366B02" w:rsidRPr="00366B02">
              <w:rPr>
                <w:b w:val="0"/>
                <w:noProof/>
                <w:webHidden/>
              </w:rPr>
              <w:tab/>
            </w:r>
            <w:r w:rsidR="00366B02" w:rsidRPr="00366B02">
              <w:rPr>
                <w:b w:val="0"/>
                <w:noProof/>
                <w:webHidden/>
              </w:rPr>
              <w:fldChar w:fldCharType="begin"/>
            </w:r>
            <w:r w:rsidR="00366B02" w:rsidRPr="00366B02">
              <w:rPr>
                <w:b w:val="0"/>
                <w:noProof/>
                <w:webHidden/>
              </w:rPr>
              <w:instrText xml:space="preserve"> PAGEREF _Toc211152520 \h </w:instrText>
            </w:r>
            <w:r w:rsidR="00366B02" w:rsidRPr="00366B02">
              <w:rPr>
                <w:b w:val="0"/>
                <w:noProof/>
                <w:webHidden/>
              </w:rPr>
            </w:r>
            <w:r w:rsidR="00366B02" w:rsidRPr="00366B02">
              <w:rPr>
                <w:b w:val="0"/>
                <w:noProof/>
                <w:webHidden/>
              </w:rPr>
              <w:fldChar w:fldCharType="separate"/>
            </w:r>
            <w:r w:rsidR="00A93301">
              <w:rPr>
                <w:b w:val="0"/>
                <w:noProof/>
                <w:webHidden/>
              </w:rPr>
              <w:t>7</w:t>
            </w:r>
            <w:r w:rsidR="00366B02" w:rsidRPr="00366B02">
              <w:rPr>
                <w:b w:val="0"/>
                <w:noProof/>
                <w:webHidden/>
              </w:rPr>
              <w:fldChar w:fldCharType="end"/>
            </w:r>
          </w:hyperlink>
        </w:p>
        <w:p w14:paraId="6EAD7DA7" w14:textId="77777777" w:rsidR="00366B02" w:rsidRPr="00366B02" w:rsidRDefault="00C2114E">
          <w:pPr>
            <w:pStyle w:val="Sumrio2"/>
            <w:tabs>
              <w:tab w:val="right" w:leader="dot" w:pos="9063"/>
            </w:tabs>
            <w:rPr>
              <w:rFonts w:asciiTheme="minorHAnsi" w:eastAsiaTheme="minorEastAsia" w:hAnsiTheme="minorHAnsi" w:cstheme="minorBidi"/>
              <w:b w:val="0"/>
              <w:noProof/>
              <w:color w:val="auto"/>
              <w:kern w:val="0"/>
              <w:sz w:val="22"/>
              <w:szCs w:val="22"/>
            </w:rPr>
          </w:pPr>
          <w:hyperlink w:anchor="_Toc211152521" w:history="1">
            <w:r>
              <w:rPr>
                <w:rStyle w:val="Hyperlink"/>
                <w:b w:val="0"/>
                <w:noProof/>
              </w:rPr>
              <w:t>2</w:t>
            </w:r>
            <w:r w:rsidR="00366B02" w:rsidRPr="00366B02">
              <w:rPr>
                <w:rStyle w:val="Hyperlink"/>
                <w:b w:val="0"/>
                <w:noProof/>
              </w:rPr>
              <w:t>.2 Levantamentos dos fatores que contribuem com a automedicação com nafazolina</w:t>
            </w:r>
            <w:r w:rsidR="00366B02" w:rsidRPr="00366B02">
              <w:rPr>
                <w:b w:val="0"/>
                <w:noProof/>
                <w:webHidden/>
              </w:rPr>
              <w:tab/>
            </w:r>
            <w:r w:rsidR="00366B02" w:rsidRPr="00366B02">
              <w:rPr>
                <w:b w:val="0"/>
                <w:noProof/>
                <w:webHidden/>
              </w:rPr>
              <w:fldChar w:fldCharType="begin"/>
            </w:r>
            <w:r w:rsidR="00366B02" w:rsidRPr="00366B02">
              <w:rPr>
                <w:b w:val="0"/>
                <w:noProof/>
                <w:webHidden/>
              </w:rPr>
              <w:instrText xml:space="preserve"> PAGEREF _Toc211152521 \h </w:instrText>
            </w:r>
            <w:r w:rsidR="00366B02" w:rsidRPr="00366B02">
              <w:rPr>
                <w:b w:val="0"/>
                <w:noProof/>
                <w:webHidden/>
              </w:rPr>
            </w:r>
            <w:r w:rsidR="00366B02" w:rsidRPr="00366B02">
              <w:rPr>
                <w:b w:val="0"/>
                <w:noProof/>
                <w:webHidden/>
              </w:rPr>
              <w:fldChar w:fldCharType="separate"/>
            </w:r>
            <w:r w:rsidR="00A93301">
              <w:rPr>
                <w:b w:val="0"/>
                <w:noProof/>
                <w:webHidden/>
              </w:rPr>
              <w:t>8</w:t>
            </w:r>
            <w:r w:rsidR="00366B02" w:rsidRPr="00366B02">
              <w:rPr>
                <w:b w:val="0"/>
                <w:noProof/>
                <w:webHidden/>
              </w:rPr>
              <w:fldChar w:fldCharType="end"/>
            </w:r>
          </w:hyperlink>
        </w:p>
        <w:p w14:paraId="10BA60AA" w14:textId="77777777" w:rsidR="00366B02" w:rsidRPr="00366B02" w:rsidRDefault="00C2114E">
          <w:pPr>
            <w:pStyle w:val="Sumrio2"/>
            <w:tabs>
              <w:tab w:val="right" w:leader="dot" w:pos="9063"/>
            </w:tabs>
            <w:rPr>
              <w:rFonts w:asciiTheme="minorHAnsi" w:eastAsiaTheme="minorEastAsia" w:hAnsiTheme="minorHAnsi" w:cstheme="minorBidi"/>
              <w:b w:val="0"/>
              <w:noProof/>
              <w:color w:val="auto"/>
              <w:kern w:val="0"/>
              <w:sz w:val="22"/>
              <w:szCs w:val="22"/>
            </w:rPr>
          </w:pPr>
          <w:hyperlink w:anchor="_Toc211152522" w:history="1">
            <w:r>
              <w:rPr>
                <w:rStyle w:val="Hyperlink"/>
                <w:b w:val="0"/>
                <w:noProof/>
              </w:rPr>
              <w:t>2</w:t>
            </w:r>
            <w:r w:rsidR="00366B02" w:rsidRPr="00366B02">
              <w:rPr>
                <w:rStyle w:val="Hyperlink"/>
                <w:b w:val="0"/>
                <w:noProof/>
              </w:rPr>
              <w:t>.3 Levantamentos da atuação do farmacêutico na orientação e conscientização sobre os riscos do uso de nafazolina</w:t>
            </w:r>
            <w:r w:rsidR="00366B02" w:rsidRPr="00366B02">
              <w:rPr>
                <w:b w:val="0"/>
                <w:noProof/>
                <w:webHidden/>
              </w:rPr>
              <w:tab/>
            </w:r>
            <w:r w:rsidR="00366B02" w:rsidRPr="00366B02">
              <w:rPr>
                <w:b w:val="0"/>
                <w:noProof/>
                <w:webHidden/>
              </w:rPr>
              <w:fldChar w:fldCharType="begin"/>
            </w:r>
            <w:r w:rsidR="00366B02" w:rsidRPr="00366B02">
              <w:rPr>
                <w:b w:val="0"/>
                <w:noProof/>
                <w:webHidden/>
              </w:rPr>
              <w:instrText xml:space="preserve"> PAGEREF _Toc211152522 \h </w:instrText>
            </w:r>
            <w:r w:rsidR="00366B02" w:rsidRPr="00366B02">
              <w:rPr>
                <w:b w:val="0"/>
                <w:noProof/>
                <w:webHidden/>
              </w:rPr>
            </w:r>
            <w:r w:rsidR="00366B02" w:rsidRPr="00366B02">
              <w:rPr>
                <w:b w:val="0"/>
                <w:noProof/>
                <w:webHidden/>
              </w:rPr>
              <w:fldChar w:fldCharType="separate"/>
            </w:r>
            <w:r w:rsidR="00A93301">
              <w:rPr>
                <w:b w:val="0"/>
                <w:noProof/>
                <w:webHidden/>
              </w:rPr>
              <w:t>8</w:t>
            </w:r>
            <w:r w:rsidR="00366B02" w:rsidRPr="00366B02">
              <w:rPr>
                <w:b w:val="0"/>
                <w:noProof/>
                <w:webHidden/>
              </w:rPr>
              <w:fldChar w:fldCharType="end"/>
            </w:r>
          </w:hyperlink>
        </w:p>
        <w:p w14:paraId="591B09EF" w14:textId="77777777" w:rsidR="00366B02" w:rsidRPr="00366B02" w:rsidRDefault="00C2114E">
          <w:pPr>
            <w:pStyle w:val="Sumrio2"/>
            <w:tabs>
              <w:tab w:val="right" w:leader="dot" w:pos="9063"/>
            </w:tabs>
            <w:rPr>
              <w:rFonts w:asciiTheme="minorHAnsi" w:eastAsiaTheme="minorEastAsia" w:hAnsiTheme="minorHAnsi" w:cstheme="minorBidi"/>
              <w:b w:val="0"/>
              <w:noProof/>
              <w:color w:val="auto"/>
              <w:kern w:val="0"/>
              <w:sz w:val="22"/>
              <w:szCs w:val="22"/>
            </w:rPr>
          </w:pPr>
          <w:hyperlink w:anchor="_Toc211152523" w:history="1">
            <w:r>
              <w:rPr>
                <w:rStyle w:val="Hyperlink"/>
                <w:b w:val="0"/>
                <w:noProof/>
              </w:rPr>
              <w:t>2</w:t>
            </w:r>
            <w:r w:rsidR="00366B02" w:rsidRPr="00366B02">
              <w:rPr>
                <w:rStyle w:val="Hyperlink"/>
                <w:b w:val="0"/>
                <w:noProof/>
              </w:rPr>
              <w:t>.4 Levantamentos dos descongestionantes nasais tópicos mais vendidos no Brasil</w:t>
            </w:r>
            <w:r w:rsidR="00366B02" w:rsidRPr="00366B02">
              <w:rPr>
                <w:b w:val="0"/>
                <w:noProof/>
                <w:webHidden/>
              </w:rPr>
              <w:tab/>
            </w:r>
            <w:r w:rsidR="00366B02" w:rsidRPr="00366B02">
              <w:rPr>
                <w:b w:val="0"/>
                <w:noProof/>
                <w:webHidden/>
              </w:rPr>
              <w:fldChar w:fldCharType="begin"/>
            </w:r>
            <w:r w:rsidR="00366B02" w:rsidRPr="00366B02">
              <w:rPr>
                <w:b w:val="0"/>
                <w:noProof/>
                <w:webHidden/>
              </w:rPr>
              <w:instrText xml:space="preserve"> PAGEREF _Toc211152523 \h </w:instrText>
            </w:r>
            <w:r w:rsidR="00366B02" w:rsidRPr="00366B02">
              <w:rPr>
                <w:b w:val="0"/>
                <w:noProof/>
                <w:webHidden/>
              </w:rPr>
            </w:r>
            <w:r w:rsidR="00366B02" w:rsidRPr="00366B02">
              <w:rPr>
                <w:b w:val="0"/>
                <w:noProof/>
                <w:webHidden/>
              </w:rPr>
              <w:fldChar w:fldCharType="separate"/>
            </w:r>
            <w:r w:rsidR="00A93301">
              <w:rPr>
                <w:b w:val="0"/>
                <w:noProof/>
                <w:webHidden/>
              </w:rPr>
              <w:t>8</w:t>
            </w:r>
            <w:r w:rsidR="00366B02" w:rsidRPr="00366B02">
              <w:rPr>
                <w:b w:val="0"/>
                <w:noProof/>
                <w:webHidden/>
              </w:rPr>
              <w:fldChar w:fldCharType="end"/>
            </w:r>
          </w:hyperlink>
        </w:p>
        <w:p w14:paraId="7D590E28" w14:textId="77777777" w:rsidR="00366B02" w:rsidRPr="00366B02" w:rsidRDefault="00366B02" w:rsidP="00366B02">
          <w:pPr>
            <w:pStyle w:val="Sumrio1"/>
            <w:tabs>
              <w:tab w:val="left" w:pos="284"/>
              <w:tab w:val="right" w:leader="dot" w:pos="9063"/>
            </w:tabs>
            <w:rPr>
              <w:rFonts w:asciiTheme="minorHAnsi" w:eastAsiaTheme="minorEastAsia" w:hAnsiTheme="minorHAnsi" w:cstheme="minorBidi"/>
              <w:noProof/>
              <w:color w:val="auto"/>
              <w:kern w:val="0"/>
              <w:sz w:val="22"/>
              <w:szCs w:val="22"/>
            </w:rPr>
          </w:pPr>
          <w:hyperlink w:anchor="_Toc211152524" w:history="1">
            <w:r w:rsidRPr="00366B02">
              <w:rPr>
                <w:rStyle w:val="Hyperlink"/>
                <w:bCs/>
                <w:noProof/>
                <w:u w:color="000000"/>
              </w:rPr>
              <w:t>3.</w:t>
            </w:r>
            <w:r w:rsidRPr="00366B02">
              <w:rPr>
                <w:rFonts w:asciiTheme="minorHAnsi" w:eastAsiaTheme="minorEastAsia" w:hAnsiTheme="minorHAnsi" w:cstheme="minorBidi"/>
                <w:noProof/>
                <w:color w:val="auto"/>
                <w:kern w:val="0"/>
                <w:sz w:val="22"/>
                <w:szCs w:val="22"/>
              </w:rPr>
              <w:tab/>
            </w:r>
            <w:r w:rsidRPr="00366B02">
              <w:rPr>
                <w:rStyle w:val="Hyperlink"/>
                <w:noProof/>
              </w:rPr>
              <w:t>RESULTADOS</w:t>
            </w:r>
            <w:r w:rsidRPr="00366B02">
              <w:rPr>
                <w:noProof/>
                <w:webHidden/>
              </w:rPr>
              <w:tab/>
            </w:r>
            <w:r w:rsidRPr="00366B02">
              <w:rPr>
                <w:noProof/>
                <w:webHidden/>
              </w:rPr>
              <w:fldChar w:fldCharType="begin"/>
            </w:r>
            <w:r w:rsidRPr="00366B02">
              <w:rPr>
                <w:noProof/>
                <w:webHidden/>
              </w:rPr>
              <w:instrText xml:space="preserve"> PAGEREF _Toc211152524 \h </w:instrText>
            </w:r>
            <w:r w:rsidRPr="00366B02">
              <w:rPr>
                <w:noProof/>
                <w:webHidden/>
              </w:rPr>
            </w:r>
            <w:r w:rsidRPr="00366B02">
              <w:rPr>
                <w:noProof/>
                <w:webHidden/>
              </w:rPr>
              <w:fldChar w:fldCharType="separate"/>
            </w:r>
            <w:r w:rsidR="00A93301">
              <w:rPr>
                <w:noProof/>
                <w:webHidden/>
              </w:rPr>
              <w:t>9</w:t>
            </w:r>
            <w:r w:rsidRPr="00366B02">
              <w:rPr>
                <w:noProof/>
                <w:webHidden/>
              </w:rPr>
              <w:fldChar w:fldCharType="end"/>
            </w:r>
          </w:hyperlink>
        </w:p>
        <w:p w14:paraId="5C8109CB" w14:textId="77777777" w:rsidR="00366B02" w:rsidRPr="00366B02" w:rsidRDefault="00C2114E">
          <w:pPr>
            <w:pStyle w:val="Sumrio2"/>
            <w:tabs>
              <w:tab w:val="right" w:leader="dot" w:pos="9063"/>
            </w:tabs>
            <w:rPr>
              <w:rFonts w:asciiTheme="minorHAnsi" w:eastAsiaTheme="minorEastAsia" w:hAnsiTheme="minorHAnsi" w:cstheme="minorBidi"/>
              <w:b w:val="0"/>
              <w:noProof/>
              <w:color w:val="auto"/>
              <w:kern w:val="0"/>
              <w:sz w:val="22"/>
              <w:szCs w:val="22"/>
            </w:rPr>
          </w:pPr>
          <w:hyperlink w:anchor="_Toc211152525" w:history="1">
            <w:r>
              <w:rPr>
                <w:rStyle w:val="Hyperlink"/>
                <w:b w:val="0"/>
                <w:noProof/>
              </w:rPr>
              <w:t>3</w:t>
            </w:r>
            <w:r w:rsidR="00366B02" w:rsidRPr="00366B02">
              <w:rPr>
                <w:rStyle w:val="Hyperlink"/>
                <w:b w:val="0"/>
                <w:noProof/>
              </w:rPr>
              <w:t>.1 Efeitos adversos dos descongestionantes nasais a base de nafazolina</w:t>
            </w:r>
            <w:r w:rsidR="00366B02" w:rsidRPr="00366B02">
              <w:rPr>
                <w:b w:val="0"/>
                <w:noProof/>
                <w:webHidden/>
              </w:rPr>
              <w:tab/>
            </w:r>
            <w:r w:rsidR="00366B02" w:rsidRPr="00366B02">
              <w:rPr>
                <w:b w:val="0"/>
                <w:noProof/>
                <w:webHidden/>
              </w:rPr>
              <w:fldChar w:fldCharType="begin"/>
            </w:r>
            <w:r w:rsidR="00366B02" w:rsidRPr="00366B02">
              <w:rPr>
                <w:b w:val="0"/>
                <w:noProof/>
                <w:webHidden/>
              </w:rPr>
              <w:instrText xml:space="preserve"> PAGEREF _Toc211152525 \h </w:instrText>
            </w:r>
            <w:r w:rsidR="00366B02" w:rsidRPr="00366B02">
              <w:rPr>
                <w:b w:val="0"/>
                <w:noProof/>
                <w:webHidden/>
              </w:rPr>
            </w:r>
            <w:r w:rsidR="00366B02" w:rsidRPr="00366B02">
              <w:rPr>
                <w:b w:val="0"/>
                <w:noProof/>
                <w:webHidden/>
              </w:rPr>
              <w:fldChar w:fldCharType="separate"/>
            </w:r>
            <w:r w:rsidR="00A93301">
              <w:rPr>
                <w:b w:val="0"/>
                <w:noProof/>
                <w:webHidden/>
              </w:rPr>
              <w:t>9</w:t>
            </w:r>
            <w:r w:rsidR="00366B02" w:rsidRPr="00366B02">
              <w:rPr>
                <w:b w:val="0"/>
                <w:noProof/>
                <w:webHidden/>
              </w:rPr>
              <w:fldChar w:fldCharType="end"/>
            </w:r>
          </w:hyperlink>
        </w:p>
        <w:p w14:paraId="5D6194EC" w14:textId="77777777" w:rsidR="00366B02" w:rsidRPr="00366B02" w:rsidRDefault="00C2114E">
          <w:pPr>
            <w:pStyle w:val="Sumrio2"/>
            <w:tabs>
              <w:tab w:val="right" w:leader="dot" w:pos="9063"/>
            </w:tabs>
            <w:rPr>
              <w:rFonts w:asciiTheme="minorHAnsi" w:eastAsiaTheme="minorEastAsia" w:hAnsiTheme="minorHAnsi" w:cstheme="minorBidi"/>
              <w:b w:val="0"/>
              <w:noProof/>
              <w:color w:val="auto"/>
              <w:kern w:val="0"/>
              <w:sz w:val="22"/>
              <w:szCs w:val="22"/>
            </w:rPr>
          </w:pPr>
          <w:hyperlink w:anchor="_Toc211152526" w:history="1">
            <w:r>
              <w:rPr>
                <w:rStyle w:val="Hyperlink"/>
                <w:b w:val="0"/>
                <w:noProof/>
              </w:rPr>
              <w:t>3</w:t>
            </w:r>
            <w:r w:rsidR="00366B02" w:rsidRPr="00366B02">
              <w:rPr>
                <w:rStyle w:val="Hyperlink"/>
                <w:b w:val="0"/>
                <w:noProof/>
              </w:rPr>
              <w:t>.2 Fatores que contribuem com a automedicação com nafazolina</w:t>
            </w:r>
            <w:r w:rsidR="00366B02" w:rsidRPr="00366B02">
              <w:rPr>
                <w:b w:val="0"/>
                <w:noProof/>
                <w:webHidden/>
              </w:rPr>
              <w:tab/>
            </w:r>
            <w:r w:rsidR="00366B02" w:rsidRPr="00366B02">
              <w:rPr>
                <w:b w:val="0"/>
                <w:noProof/>
                <w:webHidden/>
              </w:rPr>
              <w:fldChar w:fldCharType="begin"/>
            </w:r>
            <w:r w:rsidR="00366B02" w:rsidRPr="00366B02">
              <w:rPr>
                <w:b w:val="0"/>
                <w:noProof/>
                <w:webHidden/>
              </w:rPr>
              <w:instrText xml:space="preserve"> PAGEREF _Toc211152526 \h </w:instrText>
            </w:r>
            <w:r w:rsidR="00366B02" w:rsidRPr="00366B02">
              <w:rPr>
                <w:b w:val="0"/>
                <w:noProof/>
                <w:webHidden/>
              </w:rPr>
            </w:r>
            <w:r w:rsidR="00366B02" w:rsidRPr="00366B02">
              <w:rPr>
                <w:b w:val="0"/>
                <w:noProof/>
                <w:webHidden/>
              </w:rPr>
              <w:fldChar w:fldCharType="separate"/>
            </w:r>
            <w:r w:rsidR="00A93301">
              <w:rPr>
                <w:b w:val="0"/>
                <w:noProof/>
                <w:webHidden/>
              </w:rPr>
              <w:t>11</w:t>
            </w:r>
            <w:r w:rsidR="00366B02" w:rsidRPr="00366B02">
              <w:rPr>
                <w:b w:val="0"/>
                <w:noProof/>
                <w:webHidden/>
              </w:rPr>
              <w:fldChar w:fldCharType="end"/>
            </w:r>
          </w:hyperlink>
        </w:p>
        <w:p w14:paraId="039B1C52" w14:textId="77777777" w:rsidR="00366B02" w:rsidRPr="00366B02" w:rsidRDefault="00C2114E">
          <w:pPr>
            <w:pStyle w:val="Sumrio2"/>
            <w:tabs>
              <w:tab w:val="right" w:leader="dot" w:pos="9063"/>
            </w:tabs>
            <w:rPr>
              <w:rFonts w:asciiTheme="minorHAnsi" w:eastAsiaTheme="minorEastAsia" w:hAnsiTheme="minorHAnsi" w:cstheme="minorBidi"/>
              <w:b w:val="0"/>
              <w:noProof/>
              <w:color w:val="auto"/>
              <w:kern w:val="0"/>
              <w:sz w:val="22"/>
              <w:szCs w:val="22"/>
            </w:rPr>
          </w:pPr>
          <w:hyperlink w:anchor="_Toc211152527" w:history="1">
            <w:r>
              <w:rPr>
                <w:rStyle w:val="Hyperlink"/>
                <w:b w:val="0"/>
                <w:noProof/>
              </w:rPr>
              <w:t>3</w:t>
            </w:r>
            <w:r w:rsidR="00366B02" w:rsidRPr="00366B02">
              <w:rPr>
                <w:rStyle w:val="Hyperlink"/>
                <w:b w:val="0"/>
                <w:noProof/>
              </w:rPr>
              <w:t>.3 Atuações do farmacêutico na orientação e conscientização sobre os riscos do uso de nafazolina</w:t>
            </w:r>
            <w:r w:rsidR="00366B02" w:rsidRPr="00366B02">
              <w:rPr>
                <w:b w:val="0"/>
                <w:noProof/>
                <w:webHidden/>
              </w:rPr>
              <w:tab/>
            </w:r>
            <w:r w:rsidR="00366B02" w:rsidRPr="00366B02">
              <w:rPr>
                <w:b w:val="0"/>
                <w:noProof/>
                <w:webHidden/>
              </w:rPr>
              <w:fldChar w:fldCharType="begin"/>
            </w:r>
            <w:r w:rsidR="00366B02" w:rsidRPr="00366B02">
              <w:rPr>
                <w:b w:val="0"/>
                <w:noProof/>
                <w:webHidden/>
              </w:rPr>
              <w:instrText xml:space="preserve"> PAGEREF _Toc211152527 \h </w:instrText>
            </w:r>
            <w:r w:rsidR="00366B02" w:rsidRPr="00366B02">
              <w:rPr>
                <w:b w:val="0"/>
                <w:noProof/>
                <w:webHidden/>
              </w:rPr>
            </w:r>
            <w:r w:rsidR="00366B02" w:rsidRPr="00366B02">
              <w:rPr>
                <w:b w:val="0"/>
                <w:noProof/>
                <w:webHidden/>
              </w:rPr>
              <w:fldChar w:fldCharType="separate"/>
            </w:r>
            <w:r w:rsidR="00A93301">
              <w:rPr>
                <w:b w:val="0"/>
                <w:noProof/>
                <w:webHidden/>
              </w:rPr>
              <w:t>12</w:t>
            </w:r>
            <w:r w:rsidR="00366B02" w:rsidRPr="00366B02">
              <w:rPr>
                <w:b w:val="0"/>
                <w:noProof/>
                <w:webHidden/>
              </w:rPr>
              <w:fldChar w:fldCharType="end"/>
            </w:r>
          </w:hyperlink>
        </w:p>
        <w:p w14:paraId="709A2F8E" w14:textId="77777777" w:rsidR="00366B02" w:rsidRPr="00366B02" w:rsidRDefault="00C2114E">
          <w:pPr>
            <w:pStyle w:val="Sumrio2"/>
            <w:tabs>
              <w:tab w:val="right" w:leader="dot" w:pos="9063"/>
            </w:tabs>
            <w:rPr>
              <w:rFonts w:asciiTheme="minorHAnsi" w:eastAsiaTheme="minorEastAsia" w:hAnsiTheme="minorHAnsi" w:cstheme="minorBidi"/>
              <w:b w:val="0"/>
              <w:noProof/>
              <w:color w:val="auto"/>
              <w:kern w:val="0"/>
              <w:sz w:val="22"/>
              <w:szCs w:val="22"/>
            </w:rPr>
          </w:pPr>
          <w:hyperlink w:anchor="_Toc211152528" w:history="1">
            <w:r>
              <w:rPr>
                <w:rStyle w:val="Hyperlink"/>
                <w:b w:val="0"/>
                <w:noProof/>
              </w:rPr>
              <w:t>3</w:t>
            </w:r>
            <w:r w:rsidR="00366B02" w:rsidRPr="00366B02">
              <w:rPr>
                <w:rStyle w:val="Hyperlink"/>
                <w:b w:val="0"/>
                <w:noProof/>
              </w:rPr>
              <w:t>.4 Descongestionantes nasais tópicos mais vendidos no Brasil</w:t>
            </w:r>
            <w:r w:rsidR="00366B02" w:rsidRPr="00366B02">
              <w:rPr>
                <w:b w:val="0"/>
                <w:noProof/>
                <w:webHidden/>
              </w:rPr>
              <w:tab/>
            </w:r>
            <w:r w:rsidR="00366B02" w:rsidRPr="00366B02">
              <w:rPr>
                <w:b w:val="0"/>
                <w:noProof/>
                <w:webHidden/>
              </w:rPr>
              <w:fldChar w:fldCharType="begin"/>
            </w:r>
            <w:r w:rsidR="00366B02" w:rsidRPr="00366B02">
              <w:rPr>
                <w:b w:val="0"/>
                <w:noProof/>
                <w:webHidden/>
              </w:rPr>
              <w:instrText xml:space="preserve"> PAGEREF _Toc211152528 \h </w:instrText>
            </w:r>
            <w:r w:rsidR="00366B02" w:rsidRPr="00366B02">
              <w:rPr>
                <w:b w:val="0"/>
                <w:noProof/>
                <w:webHidden/>
              </w:rPr>
            </w:r>
            <w:r w:rsidR="00366B02" w:rsidRPr="00366B02">
              <w:rPr>
                <w:b w:val="0"/>
                <w:noProof/>
                <w:webHidden/>
              </w:rPr>
              <w:fldChar w:fldCharType="separate"/>
            </w:r>
            <w:r w:rsidR="00A93301">
              <w:rPr>
                <w:b w:val="0"/>
                <w:noProof/>
                <w:webHidden/>
              </w:rPr>
              <w:t>13</w:t>
            </w:r>
            <w:r w:rsidR="00366B02" w:rsidRPr="00366B02">
              <w:rPr>
                <w:b w:val="0"/>
                <w:noProof/>
                <w:webHidden/>
              </w:rPr>
              <w:fldChar w:fldCharType="end"/>
            </w:r>
          </w:hyperlink>
        </w:p>
        <w:p w14:paraId="661F5C82" w14:textId="77777777" w:rsidR="00366B02" w:rsidRPr="00366B02" w:rsidRDefault="00366B02" w:rsidP="00366B02">
          <w:pPr>
            <w:pStyle w:val="Sumrio1"/>
            <w:tabs>
              <w:tab w:val="left" w:pos="284"/>
              <w:tab w:val="right" w:leader="dot" w:pos="9063"/>
            </w:tabs>
            <w:rPr>
              <w:rFonts w:asciiTheme="minorHAnsi" w:eastAsiaTheme="minorEastAsia" w:hAnsiTheme="minorHAnsi" w:cstheme="minorBidi"/>
              <w:noProof/>
              <w:color w:val="auto"/>
              <w:kern w:val="0"/>
              <w:sz w:val="22"/>
              <w:szCs w:val="22"/>
            </w:rPr>
          </w:pPr>
          <w:hyperlink w:anchor="_Toc211152529" w:history="1">
            <w:r w:rsidRPr="00366B02">
              <w:rPr>
                <w:rStyle w:val="Hyperlink"/>
                <w:bCs/>
                <w:noProof/>
                <w:u w:color="000000"/>
              </w:rPr>
              <w:t>4.</w:t>
            </w:r>
            <w:r w:rsidRPr="00366B02">
              <w:rPr>
                <w:rFonts w:asciiTheme="minorHAnsi" w:eastAsiaTheme="minorEastAsia" w:hAnsiTheme="minorHAnsi" w:cstheme="minorBidi"/>
                <w:noProof/>
                <w:color w:val="auto"/>
                <w:kern w:val="0"/>
                <w:sz w:val="22"/>
                <w:szCs w:val="22"/>
              </w:rPr>
              <w:tab/>
            </w:r>
            <w:r w:rsidRPr="00366B02">
              <w:rPr>
                <w:rStyle w:val="Hyperlink"/>
                <w:noProof/>
              </w:rPr>
              <w:t>DISCUSSÃO</w:t>
            </w:r>
            <w:r w:rsidRPr="00366B02">
              <w:rPr>
                <w:noProof/>
                <w:webHidden/>
              </w:rPr>
              <w:tab/>
            </w:r>
            <w:r w:rsidRPr="00366B02">
              <w:rPr>
                <w:noProof/>
                <w:webHidden/>
              </w:rPr>
              <w:fldChar w:fldCharType="begin"/>
            </w:r>
            <w:r w:rsidRPr="00366B02">
              <w:rPr>
                <w:noProof/>
                <w:webHidden/>
              </w:rPr>
              <w:instrText xml:space="preserve"> PAGEREF _Toc211152529 \h </w:instrText>
            </w:r>
            <w:r w:rsidRPr="00366B02">
              <w:rPr>
                <w:noProof/>
                <w:webHidden/>
              </w:rPr>
            </w:r>
            <w:r w:rsidRPr="00366B02">
              <w:rPr>
                <w:noProof/>
                <w:webHidden/>
              </w:rPr>
              <w:fldChar w:fldCharType="separate"/>
            </w:r>
            <w:r w:rsidR="00A93301">
              <w:rPr>
                <w:noProof/>
                <w:webHidden/>
              </w:rPr>
              <w:t>15</w:t>
            </w:r>
            <w:r w:rsidRPr="00366B02">
              <w:rPr>
                <w:noProof/>
                <w:webHidden/>
              </w:rPr>
              <w:fldChar w:fldCharType="end"/>
            </w:r>
          </w:hyperlink>
        </w:p>
        <w:p w14:paraId="5C2CE614" w14:textId="77777777" w:rsidR="00366B02" w:rsidRPr="00366B02" w:rsidRDefault="00366B02" w:rsidP="00366B02">
          <w:pPr>
            <w:pStyle w:val="Sumrio1"/>
            <w:tabs>
              <w:tab w:val="left" w:pos="284"/>
              <w:tab w:val="right" w:leader="dot" w:pos="9063"/>
            </w:tabs>
            <w:rPr>
              <w:rFonts w:asciiTheme="minorHAnsi" w:eastAsiaTheme="minorEastAsia" w:hAnsiTheme="minorHAnsi" w:cstheme="minorBidi"/>
              <w:noProof/>
              <w:color w:val="auto"/>
              <w:kern w:val="0"/>
              <w:sz w:val="22"/>
              <w:szCs w:val="22"/>
            </w:rPr>
          </w:pPr>
          <w:hyperlink w:anchor="_Toc211152530" w:history="1">
            <w:r w:rsidRPr="00366B02">
              <w:rPr>
                <w:rStyle w:val="Hyperlink"/>
                <w:bCs/>
                <w:noProof/>
                <w:u w:color="000000"/>
              </w:rPr>
              <w:t>5.</w:t>
            </w:r>
            <w:r w:rsidRPr="00366B02">
              <w:rPr>
                <w:rFonts w:asciiTheme="minorHAnsi" w:eastAsiaTheme="minorEastAsia" w:hAnsiTheme="minorHAnsi" w:cstheme="minorBidi"/>
                <w:noProof/>
                <w:color w:val="auto"/>
                <w:kern w:val="0"/>
                <w:sz w:val="22"/>
                <w:szCs w:val="22"/>
              </w:rPr>
              <w:tab/>
            </w:r>
            <w:r w:rsidRPr="00366B02">
              <w:rPr>
                <w:rStyle w:val="Hyperlink"/>
                <w:noProof/>
              </w:rPr>
              <w:t>CONCLUSÃO</w:t>
            </w:r>
            <w:r w:rsidRPr="00366B02">
              <w:rPr>
                <w:noProof/>
                <w:webHidden/>
              </w:rPr>
              <w:tab/>
            </w:r>
            <w:r w:rsidRPr="00366B02">
              <w:rPr>
                <w:noProof/>
                <w:webHidden/>
              </w:rPr>
              <w:fldChar w:fldCharType="begin"/>
            </w:r>
            <w:r w:rsidRPr="00366B02">
              <w:rPr>
                <w:noProof/>
                <w:webHidden/>
              </w:rPr>
              <w:instrText xml:space="preserve"> PAGEREF _Toc211152530 \h </w:instrText>
            </w:r>
            <w:r w:rsidRPr="00366B02">
              <w:rPr>
                <w:noProof/>
                <w:webHidden/>
              </w:rPr>
            </w:r>
            <w:r w:rsidRPr="00366B02">
              <w:rPr>
                <w:noProof/>
                <w:webHidden/>
              </w:rPr>
              <w:fldChar w:fldCharType="separate"/>
            </w:r>
            <w:r w:rsidR="00A93301">
              <w:rPr>
                <w:noProof/>
                <w:webHidden/>
              </w:rPr>
              <w:t>20</w:t>
            </w:r>
            <w:r w:rsidRPr="00366B02">
              <w:rPr>
                <w:noProof/>
                <w:webHidden/>
              </w:rPr>
              <w:fldChar w:fldCharType="end"/>
            </w:r>
          </w:hyperlink>
        </w:p>
        <w:p w14:paraId="41837AF6" w14:textId="77777777" w:rsidR="00366B02" w:rsidRPr="00366B02" w:rsidRDefault="00366B02">
          <w:pPr>
            <w:pStyle w:val="Sumrio4"/>
            <w:tabs>
              <w:tab w:val="right" w:leader="dot" w:pos="9063"/>
            </w:tabs>
            <w:rPr>
              <w:rFonts w:asciiTheme="minorHAnsi" w:eastAsiaTheme="minorEastAsia" w:hAnsiTheme="minorHAnsi" w:cstheme="minorBidi"/>
              <w:noProof/>
              <w:color w:val="auto"/>
              <w:kern w:val="0"/>
              <w:sz w:val="22"/>
              <w:szCs w:val="22"/>
            </w:rPr>
          </w:pPr>
          <w:hyperlink w:anchor="_Toc211152531" w:history="1">
            <w:r w:rsidRPr="00366B02">
              <w:rPr>
                <w:rStyle w:val="Hyperlink"/>
                <w:noProof/>
              </w:rPr>
              <w:t>REFERÊNCIAS</w:t>
            </w:r>
            <w:r w:rsidRPr="00366B02">
              <w:rPr>
                <w:noProof/>
                <w:webHidden/>
              </w:rPr>
              <w:tab/>
            </w:r>
            <w:r w:rsidRPr="00366B02">
              <w:rPr>
                <w:noProof/>
                <w:webHidden/>
              </w:rPr>
              <w:fldChar w:fldCharType="begin"/>
            </w:r>
            <w:r w:rsidRPr="00366B02">
              <w:rPr>
                <w:noProof/>
                <w:webHidden/>
              </w:rPr>
              <w:instrText xml:space="preserve"> PAGEREF _Toc211152531 \h </w:instrText>
            </w:r>
            <w:r w:rsidRPr="00366B02">
              <w:rPr>
                <w:noProof/>
                <w:webHidden/>
              </w:rPr>
            </w:r>
            <w:r w:rsidRPr="00366B02">
              <w:rPr>
                <w:noProof/>
                <w:webHidden/>
              </w:rPr>
              <w:fldChar w:fldCharType="separate"/>
            </w:r>
            <w:r w:rsidR="00A93301">
              <w:rPr>
                <w:noProof/>
                <w:webHidden/>
              </w:rPr>
              <w:t>21</w:t>
            </w:r>
            <w:r w:rsidRPr="00366B02">
              <w:rPr>
                <w:noProof/>
                <w:webHidden/>
              </w:rPr>
              <w:fldChar w:fldCharType="end"/>
            </w:r>
          </w:hyperlink>
        </w:p>
        <w:p w14:paraId="6C110635" w14:textId="77777777" w:rsidR="00BD4DCF" w:rsidRPr="0072627E" w:rsidRDefault="00470601" w:rsidP="00527F4F">
          <w:r w:rsidRPr="0072627E">
            <w:fldChar w:fldCharType="end"/>
          </w:r>
        </w:p>
      </w:sdtContent>
    </w:sdt>
    <w:p w14:paraId="64280D19" w14:textId="77777777" w:rsidR="00BD4DCF" w:rsidRPr="0072627E" w:rsidRDefault="00BD4DCF">
      <w:pPr>
        <w:spacing w:after="0" w:line="259" w:lineRule="auto"/>
        <w:ind w:left="853" w:right="0" w:firstLine="0"/>
        <w:jc w:val="left"/>
      </w:pPr>
    </w:p>
    <w:p w14:paraId="6F8B5CDC" w14:textId="77777777" w:rsidR="00BD4DCF" w:rsidRPr="0072627E" w:rsidRDefault="00BD4DCF">
      <w:pPr>
        <w:spacing w:after="115" w:line="259" w:lineRule="auto"/>
        <w:ind w:left="67" w:right="0" w:firstLine="0"/>
        <w:jc w:val="center"/>
      </w:pPr>
    </w:p>
    <w:p w14:paraId="50764986" w14:textId="77777777" w:rsidR="00BD4DCF" w:rsidRPr="0072627E" w:rsidRDefault="00BD4DCF">
      <w:pPr>
        <w:spacing w:after="118" w:line="259" w:lineRule="auto"/>
        <w:ind w:left="67" w:right="0" w:firstLine="0"/>
        <w:jc w:val="center"/>
      </w:pPr>
    </w:p>
    <w:p w14:paraId="64EF7F35" w14:textId="77777777" w:rsidR="00BD4DCF" w:rsidRPr="0072627E" w:rsidRDefault="00BD4DCF">
      <w:pPr>
        <w:spacing w:after="114" w:line="259" w:lineRule="auto"/>
        <w:ind w:left="67" w:right="0" w:firstLine="0"/>
        <w:jc w:val="center"/>
      </w:pPr>
    </w:p>
    <w:p w14:paraId="52EFF2D0" w14:textId="77777777" w:rsidR="00BD4DCF" w:rsidRPr="0072627E" w:rsidRDefault="00BD4DCF">
      <w:pPr>
        <w:spacing w:after="118" w:line="259" w:lineRule="auto"/>
        <w:ind w:left="67" w:right="0" w:firstLine="0"/>
        <w:jc w:val="center"/>
      </w:pPr>
    </w:p>
    <w:p w14:paraId="5A42F83E" w14:textId="77777777" w:rsidR="00BD4DCF" w:rsidRPr="0072627E" w:rsidRDefault="00BD4DCF">
      <w:pPr>
        <w:spacing w:after="0" w:line="259" w:lineRule="auto"/>
        <w:ind w:left="67" w:right="0" w:firstLine="0"/>
        <w:jc w:val="center"/>
      </w:pPr>
    </w:p>
    <w:p w14:paraId="563A44D4" w14:textId="77777777" w:rsidR="00BD4DCF" w:rsidRPr="0072627E" w:rsidRDefault="00BD4DCF">
      <w:pPr>
        <w:sectPr w:rsidR="00BD4DCF" w:rsidRPr="0072627E" w:rsidSect="00152106">
          <w:headerReference w:type="even" r:id="rId7"/>
          <w:headerReference w:type="default" r:id="rId8"/>
          <w:headerReference w:type="first" r:id="rId9"/>
          <w:pgSz w:w="11908" w:h="16836"/>
          <w:pgMar w:top="1701" w:right="1134" w:bottom="1134" w:left="1701" w:header="720" w:footer="720" w:gutter="0"/>
          <w:cols w:space="720"/>
        </w:sectPr>
      </w:pPr>
    </w:p>
    <w:p w14:paraId="0F96588B" w14:textId="129F90F4" w:rsidR="00243D13" w:rsidRPr="0056622A" w:rsidRDefault="0025772B" w:rsidP="00231617">
      <w:pPr>
        <w:pStyle w:val="Ttulo1"/>
        <w:spacing w:after="0" w:line="360" w:lineRule="auto"/>
        <w:ind w:left="345" w:right="0" w:firstLine="709"/>
      </w:pPr>
      <w:bookmarkStart w:id="0" w:name="_Toc211152518"/>
      <w:r w:rsidRPr="0072627E">
        <w:lastRenderedPageBreak/>
        <w:t>INTRODUÇ</w:t>
      </w:r>
      <w:bookmarkEnd w:id="0"/>
      <w:r w:rsidR="0056622A">
        <w:t>AÕ</w:t>
      </w:r>
    </w:p>
    <w:p w14:paraId="0A86853B" w14:textId="6122A9D7" w:rsidR="006A60B4" w:rsidRDefault="006A60B4" w:rsidP="006A60B4">
      <w:pPr>
        <w:tabs>
          <w:tab w:val="left" w:pos="4253"/>
        </w:tabs>
        <w:spacing w:line="360" w:lineRule="auto"/>
        <w:ind w:left="0" w:right="0" w:firstLine="709"/>
        <w:rPr>
          <w:b/>
        </w:rPr>
      </w:pPr>
      <w:r w:rsidRPr="0072627E">
        <w:t xml:space="preserve">A </w:t>
      </w:r>
      <w:proofErr w:type="spellStart"/>
      <w:r w:rsidRPr="0072627E">
        <w:t>nafazolina</w:t>
      </w:r>
      <w:proofErr w:type="spellEnd"/>
      <w:r w:rsidRPr="0072627E">
        <w:t xml:space="preserve"> é uma amina simpatomimética do grupo das </w:t>
      </w:r>
      <w:proofErr w:type="spellStart"/>
      <w:r w:rsidRPr="0072627E">
        <w:t>imidazolinas</w:t>
      </w:r>
      <w:proofErr w:type="spellEnd"/>
      <w:r w:rsidRPr="0072627E">
        <w:t>, atuando como agonista adrenérgico de ação direta, com alta seletividade pelos receptores α1-adrenérgicos e, em menor grau, pelos α2-adrenérgicos (</w:t>
      </w:r>
      <w:r w:rsidRPr="000D1B1A">
        <w:t>Figura 1</w:t>
      </w:r>
      <w:r w:rsidRPr="0072627E">
        <w:t>). Seu mecanismo de ação baseia-se na ativação desses receptores presentes na musculatura lisa vascular da mucosa nasal, promovendo vasoconstrição intensa e imediata, o que resulta em redução do edema, hiperemia e secreção nasal, proporcionando alívio sintomático da congestão (</w:t>
      </w:r>
      <w:proofErr w:type="gramStart"/>
      <w:r w:rsidRPr="0072627E">
        <w:t>Katzung</w:t>
      </w:r>
      <w:r w:rsidR="0056622A">
        <w:t>,cap</w:t>
      </w:r>
      <w:proofErr w:type="gramEnd"/>
      <w:r w:rsidR="0056622A">
        <w:t>9,2018)</w:t>
      </w:r>
      <w:r w:rsidRPr="00995881">
        <w:rPr>
          <w:b/>
        </w:rPr>
        <w:t xml:space="preserve"> </w:t>
      </w:r>
    </w:p>
    <w:p w14:paraId="64D8B20C" w14:textId="241763D9" w:rsidR="006A60B4" w:rsidRDefault="006A60B4" w:rsidP="0056622A">
      <w:pPr>
        <w:tabs>
          <w:tab w:val="left" w:pos="4253"/>
        </w:tabs>
        <w:spacing w:line="360" w:lineRule="auto"/>
        <w:ind w:left="0" w:right="0" w:firstLine="709"/>
      </w:pPr>
      <w:r w:rsidRPr="0072627E">
        <w:t>A comercialização iniciou-se em outubro de 1942 nos Estados Unidos, na década de 1950 o fármaco ganhou versões oftálmicas e, nas décadas seguintes, tornou-se um dos descongestionantes mais prescritos mundialmente. Contudo, relatos de rinite medicamentosa levaram, a partir de 1973, à inclusão de advertências sobre limite máximo de cinco dias de uso (</w:t>
      </w:r>
      <w:proofErr w:type="spellStart"/>
      <w:r w:rsidRPr="0072627E">
        <w:t>Kuzminov</w:t>
      </w:r>
      <w:proofErr w:type="spellEnd"/>
      <w:r w:rsidRPr="0072627E">
        <w:t xml:space="preserve"> et al., 2018; Kim et al., 2023).</w:t>
      </w:r>
    </w:p>
    <w:p w14:paraId="6EE2B6AA" w14:textId="28C835AF" w:rsidR="006A60B4" w:rsidRDefault="006A60B4" w:rsidP="0056622A">
      <w:pPr>
        <w:tabs>
          <w:tab w:val="left" w:pos="4253"/>
        </w:tabs>
        <w:spacing w:line="360" w:lineRule="auto"/>
        <w:ind w:left="0" w:right="0" w:firstLine="709"/>
      </w:pPr>
      <w:r w:rsidRPr="0072627E">
        <w:t xml:space="preserve">A história da </w:t>
      </w:r>
      <w:proofErr w:type="spellStart"/>
      <w:r w:rsidRPr="0072627E">
        <w:t>nafazolina</w:t>
      </w:r>
      <w:proofErr w:type="spellEnd"/>
      <w:r w:rsidRPr="0072627E">
        <w:t xml:space="preserve"> ilustra a evolução dos vasoconstritores tópicos no século XX. Em 1934, químicos da Sterling-Winthrop patentearam o composto ao sintetizar um imidazólico destinado a substituir a então escassa epinefrina </w:t>
      </w:r>
      <w:r>
        <w:t xml:space="preserve">em formulações nasais (Fischer; </w:t>
      </w:r>
      <w:proofErr w:type="spellStart"/>
      <w:r w:rsidRPr="0072627E">
        <w:t>Ganellin</w:t>
      </w:r>
      <w:proofErr w:type="spellEnd"/>
      <w:r w:rsidRPr="0072627E">
        <w:t xml:space="preserve">, 2006). O código experimental da molécula era WIN 183 e, após testes farmacológicos, recebeu o nome genérico </w:t>
      </w:r>
      <w:proofErr w:type="spellStart"/>
      <w:r w:rsidRPr="0072627E">
        <w:rPr>
          <w:i/>
          <w:iCs/>
        </w:rPr>
        <w:t>naphazoline</w:t>
      </w:r>
      <w:proofErr w:type="spellEnd"/>
      <w:r w:rsidRPr="0072627E">
        <w:t xml:space="preserve">. Em abril de 1941, Alfred P. Hild publicou na revista </w:t>
      </w:r>
      <w:proofErr w:type="spellStart"/>
      <w:r w:rsidRPr="0072627E">
        <w:rPr>
          <w:i/>
          <w:iCs/>
        </w:rPr>
        <w:t>Journalofthe</w:t>
      </w:r>
      <w:proofErr w:type="spellEnd"/>
      <w:r w:rsidRPr="0072627E">
        <w:rPr>
          <w:i/>
          <w:iCs/>
        </w:rPr>
        <w:t xml:space="preserve"> American Medical </w:t>
      </w:r>
      <w:proofErr w:type="spellStart"/>
      <w:r w:rsidRPr="0072627E">
        <w:rPr>
          <w:i/>
          <w:iCs/>
        </w:rPr>
        <w:t>Association</w:t>
      </w:r>
      <w:proofErr w:type="spellEnd"/>
      <w:r w:rsidRPr="0072627E">
        <w:t xml:space="preserve"> os primeiros resultados clínicos com </w:t>
      </w:r>
      <w:proofErr w:type="spellStart"/>
      <w:r w:rsidRPr="0072627E">
        <w:t>Privine</w:t>
      </w:r>
      <w:proofErr w:type="spellEnd"/>
      <w:r w:rsidRPr="0072627E">
        <w:t xml:space="preserve">® (0,05 %), destacando </w:t>
      </w:r>
      <w:proofErr w:type="spellStart"/>
      <w:r w:rsidRPr="0072627E">
        <w:t>descongestão</w:t>
      </w:r>
      <w:proofErr w:type="spellEnd"/>
      <w:r w:rsidRPr="0072627E">
        <w:t xml:space="preserve"> rápida e duradoura sem efeitos sistêmicos relevantes (Hild, 1941). </w:t>
      </w:r>
    </w:p>
    <w:p w14:paraId="3E0F0090" w14:textId="60956EAD" w:rsidR="00D77B60" w:rsidRDefault="00D77B60" w:rsidP="0056622A">
      <w:pPr>
        <w:tabs>
          <w:tab w:val="left" w:pos="4253"/>
        </w:tabs>
        <w:spacing w:line="360" w:lineRule="auto"/>
        <w:ind w:left="0" w:right="0" w:firstLine="709"/>
      </w:pPr>
      <w:r w:rsidRPr="001128CC">
        <w:rPr>
          <w:rFonts w:cs="Arial"/>
        </w:rPr>
        <w:t xml:space="preserve">As evidências científicas demonstram que os efeitos adversos associados ao uso de descongestionantes nasais à base de </w:t>
      </w:r>
      <w:proofErr w:type="spellStart"/>
      <w:r w:rsidRPr="001128CC">
        <w:rPr>
          <w:rFonts w:cs="Arial"/>
        </w:rPr>
        <w:t>nafazolina</w:t>
      </w:r>
      <w:proofErr w:type="spellEnd"/>
      <w:r w:rsidRPr="001128CC">
        <w:rPr>
          <w:rFonts w:cs="Arial"/>
        </w:rPr>
        <w:t xml:space="preserve"> são amplos e relevantes, variando desde reações leves, como irritação e ressecamento da mucosa nasal, até complicações graves e potencialmente fatais. O uso prolongado pode ocasionar rinite medicamentosa, dependência fisiológica, taquicardia e alterações na pressão arterial, entre outros efeitos sistêmicos (Silva, 2024; Lima, 2021; Morais, 2024).</w:t>
      </w:r>
    </w:p>
    <w:p w14:paraId="15CF7855" w14:textId="4F89A744" w:rsidR="006428B1" w:rsidRPr="000D1B1A" w:rsidRDefault="006428B1" w:rsidP="000D1B1A">
      <w:pPr>
        <w:spacing w:line="360" w:lineRule="auto"/>
        <w:ind w:left="0" w:firstLine="709"/>
      </w:pPr>
      <w:r w:rsidRPr="000D1B1A">
        <w:t>A automedicação, ou seja, o uso de medicamentos por iniciativa própria, sem orientação médica, é uma prática disseminada no Brasil. A automedicação inadequada configura-se como uma prática preocupante no contexto da saúde pública, pois pode resultar em efeitos adversos, doenças iatrogênicas e no mascaramento de condições clínicas mais graves (B</w:t>
      </w:r>
      <w:r w:rsidR="000D1B1A" w:rsidRPr="000D1B1A">
        <w:t>ertoldi</w:t>
      </w:r>
      <w:r w:rsidRPr="000D1B1A">
        <w:t xml:space="preserve"> </w:t>
      </w:r>
      <w:r w:rsidRPr="000D1B1A">
        <w:rPr>
          <w:i/>
        </w:rPr>
        <w:t>et al</w:t>
      </w:r>
      <w:r w:rsidRPr="000D1B1A">
        <w:t xml:space="preserve">., 2016). Esses riscos são potencializados pela falta de conhecimento da população sobre o uso correto de medicamentos, bem como pela dificuldade de acesso aos serviços de saúde. Além </w:t>
      </w:r>
      <w:r w:rsidRPr="000D1B1A">
        <w:lastRenderedPageBreak/>
        <w:t>disso, fatores como a qualidade da oferta de medicamentos e a atuação dos órgãos reguladores influenciam diretamente na segurança do uso desses produtos (B</w:t>
      </w:r>
      <w:r w:rsidR="000D1B1A" w:rsidRPr="000D1B1A">
        <w:t>rito</w:t>
      </w:r>
      <w:r w:rsidRPr="000D1B1A">
        <w:t xml:space="preserve"> </w:t>
      </w:r>
      <w:r w:rsidRPr="000D1B1A">
        <w:rPr>
          <w:i/>
        </w:rPr>
        <w:t>et al</w:t>
      </w:r>
      <w:r w:rsidRPr="000D1B1A">
        <w:t>., 2022).</w:t>
      </w:r>
    </w:p>
    <w:p w14:paraId="53481252" w14:textId="41856B8E" w:rsidR="006428B1" w:rsidRPr="0072627E" w:rsidRDefault="006428B1" w:rsidP="000D1B1A">
      <w:pPr>
        <w:spacing w:line="360" w:lineRule="auto"/>
        <w:ind w:left="0" w:firstLine="709"/>
      </w:pPr>
      <w:r w:rsidRPr="000D1B1A">
        <w:t>Neste contexto, inclui o uso</w:t>
      </w:r>
      <w:r w:rsidRPr="0072627E">
        <w:t xml:space="preserve"> de descongestionantes nasais à base de cloridrato de nafazolina, os quais, embora sejam classificados pela Agência Nacional de Vigilância Sanitária (ANVISA) como medicamentos sujeitos à prescrição</w:t>
      </w:r>
      <w:r w:rsidR="0056622A">
        <w:t xml:space="preserve">, são </w:t>
      </w:r>
      <w:r w:rsidR="00E07D25">
        <w:t>frequentemente utilizados sem a apresentação da receita médica,</w:t>
      </w:r>
      <w:r w:rsidRPr="0072627E">
        <w:t xml:space="preserve"> favorecendo uso prolongado ou em doses inadequada, e contribuindo para maior exposição aos riscos inerentes ao uso</w:t>
      </w:r>
      <w:r w:rsidR="000D1B1A">
        <w:t xml:space="preserve"> do fármaco (Lima </w:t>
      </w:r>
      <w:r w:rsidR="000D1B1A" w:rsidRPr="000D1B1A">
        <w:rPr>
          <w:i/>
        </w:rPr>
        <w:t>et al</w:t>
      </w:r>
      <w:r w:rsidR="000D1B1A">
        <w:t xml:space="preserve">., 202; </w:t>
      </w:r>
      <w:r w:rsidRPr="0072627E">
        <w:t>Anvisa, 2021).</w:t>
      </w:r>
    </w:p>
    <w:p w14:paraId="4BEFA211" w14:textId="77777777" w:rsidR="00995881" w:rsidRDefault="00995881" w:rsidP="000D1B1A">
      <w:pPr>
        <w:tabs>
          <w:tab w:val="left" w:pos="4253"/>
        </w:tabs>
        <w:spacing w:line="360" w:lineRule="auto"/>
        <w:ind w:left="0" w:right="0" w:firstLine="709"/>
        <w:rPr>
          <w:b/>
        </w:rPr>
      </w:pPr>
    </w:p>
    <w:p w14:paraId="432947CF" w14:textId="77777777" w:rsidR="006428B1" w:rsidRPr="004363DD" w:rsidRDefault="00995881" w:rsidP="00995881">
      <w:pPr>
        <w:tabs>
          <w:tab w:val="left" w:pos="4253"/>
        </w:tabs>
        <w:spacing w:line="360" w:lineRule="auto"/>
        <w:ind w:left="0" w:right="0" w:firstLine="0"/>
        <w:jc w:val="center"/>
        <w:rPr>
          <w:sz w:val="22"/>
          <w:szCs w:val="22"/>
        </w:rPr>
      </w:pPr>
      <w:r w:rsidRPr="004363DD">
        <w:rPr>
          <w:b/>
          <w:noProof/>
          <w:sz w:val="22"/>
          <w:szCs w:val="22"/>
        </w:rPr>
        <w:drawing>
          <wp:anchor distT="0" distB="0" distL="114300" distR="114300" simplePos="0" relativeHeight="251659264" behindDoc="0" locked="0" layoutInCell="1" allowOverlap="1" wp14:anchorId="1407B2B2" wp14:editId="065F0918">
            <wp:simplePos x="0" y="0"/>
            <wp:positionH relativeFrom="column">
              <wp:posOffset>1234440</wp:posOffset>
            </wp:positionH>
            <wp:positionV relativeFrom="paragraph">
              <wp:posOffset>328295</wp:posOffset>
            </wp:positionV>
            <wp:extent cx="3251200" cy="2457450"/>
            <wp:effectExtent l="19050" t="0" r="6350" b="0"/>
            <wp:wrapTopAndBottom/>
            <wp:docPr id="33931892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18923" name="Imagem 33931892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51200" cy="2457450"/>
                    </a:xfrm>
                    <a:prstGeom prst="rect">
                      <a:avLst/>
                    </a:prstGeom>
                  </pic:spPr>
                </pic:pic>
              </a:graphicData>
            </a:graphic>
          </wp:anchor>
        </w:drawing>
      </w:r>
      <w:r w:rsidR="00496EDD" w:rsidRPr="004363DD">
        <w:rPr>
          <w:b/>
          <w:sz w:val="22"/>
          <w:szCs w:val="22"/>
        </w:rPr>
        <w:t>Figura 1.</w:t>
      </w:r>
      <w:r w:rsidRPr="004363DD">
        <w:rPr>
          <w:b/>
          <w:sz w:val="22"/>
          <w:szCs w:val="22"/>
        </w:rPr>
        <w:t xml:space="preserve"> </w:t>
      </w:r>
      <w:r w:rsidRPr="004363DD">
        <w:rPr>
          <w:sz w:val="22"/>
          <w:szCs w:val="22"/>
        </w:rPr>
        <w:t>Estrutura química do cloridrato de nafazolina</w:t>
      </w:r>
    </w:p>
    <w:p w14:paraId="21B49DAD" w14:textId="77777777" w:rsidR="006428B1" w:rsidRPr="00995881" w:rsidRDefault="00095ED2" w:rsidP="00C2114E">
      <w:pPr>
        <w:spacing w:line="360" w:lineRule="auto"/>
        <w:jc w:val="center"/>
        <w:rPr>
          <w:sz w:val="20"/>
          <w:szCs w:val="20"/>
        </w:rPr>
      </w:pPr>
      <w:r w:rsidRPr="00995881">
        <w:rPr>
          <w:sz w:val="20"/>
          <w:szCs w:val="20"/>
        </w:rPr>
        <w:t>Fonte</w:t>
      </w:r>
      <w:r w:rsidR="00995881">
        <w:rPr>
          <w:sz w:val="20"/>
          <w:szCs w:val="20"/>
        </w:rPr>
        <w:t xml:space="preserve">: site </w:t>
      </w:r>
      <w:r w:rsidR="00995881" w:rsidRPr="00995881">
        <w:rPr>
          <w:sz w:val="20"/>
          <w:szCs w:val="20"/>
        </w:rPr>
        <w:t>drugbank</w:t>
      </w:r>
      <w:r w:rsidR="00995881">
        <w:rPr>
          <w:sz w:val="20"/>
          <w:szCs w:val="20"/>
        </w:rPr>
        <w:t xml:space="preserve"> (2025).</w:t>
      </w:r>
    </w:p>
    <w:p w14:paraId="2911C8A5" w14:textId="77777777" w:rsidR="00095ED2" w:rsidRPr="0072627E" w:rsidRDefault="00095ED2" w:rsidP="00095ED2">
      <w:pPr>
        <w:spacing w:line="360" w:lineRule="auto"/>
      </w:pPr>
    </w:p>
    <w:p w14:paraId="2A4B30C5" w14:textId="77777777" w:rsidR="006428B1" w:rsidRPr="0072627E" w:rsidRDefault="006428B1" w:rsidP="00496EDD">
      <w:pPr>
        <w:spacing w:after="0" w:line="360" w:lineRule="auto"/>
        <w:ind w:firstLine="709"/>
      </w:pPr>
      <w:r w:rsidRPr="0072627E">
        <w:t>Diante desse cenário, torna-se fundamental compreender os impactos da automedicação com descongestionantes nasais com nafazolina e discutir estratégias que contribuam para sua prevenção e para o uso racional de medicamentos (</w:t>
      </w:r>
      <w:r w:rsidR="00995881" w:rsidRPr="0072627E">
        <w:t>Lima; Silva; Siqueira, 2021; Morais</w:t>
      </w:r>
      <w:r w:rsidRPr="0072627E">
        <w:t xml:space="preserve"> </w:t>
      </w:r>
      <w:r w:rsidRPr="00995881">
        <w:rPr>
          <w:i/>
        </w:rPr>
        <w:t>et al</w:t>
      </w:r>
      <w:r w:rsidRPr="0072627E">
        <w:t>., 2024). Diante disso, este trabalho tem como objetivo</w:t>
      </w:r>
      <w:r w:rsidRPr="0072627E">
        <w:rPr>
          <w:rFonts w:eastAsia="Times New Roman"/>
        </w:rPr>
        <w:t xml:space="preserve"> analisar os riscos associados à automedicação com descongestionantes nasais tópicos à base de nafazolina.</w:t>
      </w:r>
    </w:p>
    <w:p w14:paraId="219AAC57" w14:textId="77777777" w:rsidR="006428B1" w:rsidRPr="0072627E" w:rsidRDefault="006428B1" w:rsidP="00995881">
      <w:pPr>
        <w:spacing w:after="0"/>
        <w:ind w:firstLine="335"/>
      </w:pPr>
    </w:p>
    <w:p w14:paraId="45D256FA" w14:textId="77777777" w:rsidR="006428B1" w:rsidRDefault="006428B1" w:rsidP="006428B1">
      <w:pPr>
        <w:ind w:left="355"/>
      </w:pPr>
    </w:p>
    <w:p w14:paraId="315F98B3" w14:textId="77777777" w:rsidR="00995881" w:rsidRDefault="00995881" w:rsidP="006428B1">
      <w:pPr>
        <w:ind w:left="355"/>
      </w:pPr>
    </w:p>
    <w:p w14:paraId="3B71E9BD" w14:textId="77777777" w:rsidR="00995881" w:rsidRPr="0072627E" w:rsidRDefault="00995881" w:rsidP="006428B1">
      <w:pPr>
        <w:ind w:left="355"/>
      </w:pPr>
    </w:p>
    <w:p w14:paraId="1C20C1EB" w14:textId="77777777" w:rsidR="00BD4DCF" w:rsidRPr="0072627E" w:rsidRDefault="00BD4DCF">
      <w:pPr>
        <w:spacing w:after="118" w:line="259" w:lineRule="auto"/>
        <w:ind w:left="853" w:right="0" w:firstLine="0"/>
        <w:jc w:val="left"/>
      </w:pPr>
    </w:p>
    <w:p w14:paraId="2FBC0813" w14:textId="77777777" w:rsidR="00883E87" w:rsidRPr="0072627E" w:rsidRDefault="00883E87" w:rsidP="00883E87">
      <w:pPr>
        <w:spacing w:after="118" w:line="259" w:lineRule="auto"/>
        <w:ind w:right="0"/>
        <w:jc w:val="left"/>
      </w:pPr>
    </w:p>
    <w:p w14:paraId="5B8E811D" w14:textId="77777777" w:rsidR="00196968" w:rsidRPr="0072627E" w:rsidRDefault="00196968">
      <w:pPr>
        <w:spacing w:after="118" w:line="259" w:lineRule="auto"/>
        <w:ind w:left="853" w:right="0" w:firstLine="0"/>
        <w:jc w:val="left"/>
      </w:pPr>
    </w:p>
    <w:p w14:paraId="04FC28EE" w14:textId="77777777" w:rsidR="00BD4DCF" w:rsidRDefault="00BD4DCF">
      <w:pPr>
        <w:spacing w:after="155" w:line="259" w:lineRule="auto"/>
        <w:ind w:left="853" w:right="0" w:firstLine="0"/>
        <w:jc w:val="left"/>
      </w:pPr>
    </w:p>
    <w:p w14:paraId="58BADB72" w14:textId="77777777" w:rsidR="00995881" w:rsidRPr="0072627E" w:rsidRDefault="00995881">
      <w:pPr>
        <w:spacing w:after="155" w:line="259" w:lineRule="auto"/>
        <w:ind w:left="853" w:right="0" w:firstLine="0"/>
        <w:jc w:val="left"/>
      </w:pPr>
    </w:p>
    <w:p w14:paraId="13818BF8" w14:textId="77777777" w:rsidR="00BD4DCF" w:rsidRPr="0072627E" w:rsidRDefault="0025772B" w:rsidP="009962A6">
      <w:pPr>
        <w:pStyle w:val="Ttulo1"/>
        <w:ind w:left="345" w:right="0" w:hanging="360"/>
      </w:pPr>
      <w:bookmarkStart w:id="1" w:name="_Toc211152519"/>
      <w:r w:rsidRPr="0072627E">
        <w:t>M</w:t>
      </w:r>
      <w:r w:rsidR="001D6EBF" w:rsidRPr="0072627E">
        <w:t>ETODOLOGIA</w:t>
      </w:r>
      <w:bookmarkEnd w:id="1"/>
    </w:p>
    <w:p w14:paraId="6BE35D9E" w14:textId="77777777" w:rsidR="00995881" w:rsidRDefault="001D6EBF" w:rsidP="00A53D3D">
      <w:pPr>
        <w:spacing w:line="360" w:lineRule="auto"/>
        <w:ind w:left="11" w:right="0" w:firstLine="709"/>
      </w:pPr>
      <w:r w:rsidRPr="0072627E">
        <w:tab/>
      </w:r>
    </w:p>
    <w:p w14:paraId="0C8B5CE7" w14:textId="77777777" w:rsidR="001D6EBF" w:rsidRPr="0072627E" w:rsidRDefault="00F22B58" w:rsidP="00995881">
      <w:pPr>
        <w:spacing w:after="0" w:line="360" w:lineRule="auto"/>
        <w:ind w:left="11" w:right="0" w:firstLine="709"/>
      </w:pPr>
      <w:r w:rsidRPr="0072627E">
        <w:t xml:space="preserve">Foi </w:t>
      </w:r>
      <w:r w:rsidR="00243D13" w:rsidRPr="0072627E">
        <w:t>realizada</w:t>
      </w:r>
      <w:r w:rsidRPr="0072627E">
        <w:t xml:space="preserve"> uma</w:t>
      </w:r>
      <w:r w:rsidR="001D6EBF" w:rsidRPr="0072627E">
        <w:t xml:space="preserve"> pesquisa de natureza qualitativa, com caráter exploratório e descritivo, desenvolvida por meio de levantamento bibliográfico, utilizando fontes científicas e institucionais para fundamentar a analise proposta. A pesquisa </w:t>
      </w:r>
      <w:r w:rsidRPr="0072627E">
        <w:t xml:space="preserve">foi realizada por </w:t>
      </w:r>
      <w:r w:rsidR="001D6EBF" w:rsidRPr="0072627E">
        <w:t>meio da coleta e análise de materiais previamente publicados, como artigos científicos, livros acadêmicos, bulas, legislações, notas técnicas e documentos oficiais de órgãos de saúde, com ênfase A</w:t>
      </w:r>
      <w:r w:rsidR="000F0295" w:rsidRPr="0072627E">
        <w:t>NVISA</w:t>
      </w:r>
      <w:r w:rsidR="001D6EBF" w:rsidRPr="0072627E">
        <w:t xml:space="preserve">, Organização Mundial da Saúde (OMS), Organização Pan-Americana da Saúde (OPAS), Centro de informação e Assistência Toxicológica (CIATox). </w:t>
      </w:r>
    </w:p>
    <w:p w14:paraId="5977CFFA" w14:textId="77777777" w:rsidR="001D6EBF" w:rsidRPr="0072627E" w:rsidRDefault="001D6EBF" w:rsidP="00995881">
      <w:pPr>
        <w:spacing w:after="0" w:line="360" w:lineRule="auto"/>
        <w:ind w:left="11" w:right="0" w:firstLine="709"/>
      </w:pPr>
      <w:r w:rsidRPr="0072627E">
        <w:t xml:space="preserve">As fontes </w:t>
      </w:r>
      <w:r w:rsidR="00F22B58" w:rsidRPr="0072627E">
        <w:t xml:space="preserve">foram </w:t>
      </w:r>
      <w:r w:rsidRPr="0072627E">
        <w:t>obtidas em diversas bases de dados e bibliotecas virtuais, incluindo Google Acadêmico, ScientificElectronic Library Online (SciELO), United States National Library of Medicine (PubMed), Literatura Latino-Americana e do Caribe em Ciências da Saúde (LILACS), Biblioteca Virtual em Saúde (BVS), Scopus, Web of Science, Portal da Coordenação de Aperfeiçoamento de Pessoal do Nível superior (Portal CAPES), e ResearchGate.</w:t>
      </w:r>
    </w:p>
    <w:p w14:paraId="64727D4A" w14:textId="40CE15DA" w:rsidR="001D6EBF" w:rsidRPr="0072627E" w:rsidRDefault="00E07D25" w:rsidP="00995881">
      <w:pPr>
        <w:spacing w:after="0" w:line="360" w:lineRule="auto"/>
        <w:ind w:left="11" w:right="0" w:firstLine="709"/>
      </w:pPr>
      <w:r>
        <w:t>Os descritores foram escolhidos a partir dos objetivos da pesquisa, utilizando termos</w:t>
      </w:r>
      <w:r w:rsidR="00F60D9D">
        <w:t xml:space="preserve"> padronizados do </w:t>
      </w:r>
      <w:proofErr w:type="spellStart"/>
      <w:proofErr w:type="gramStart"/>
      <w:r w:rsidR="00F60D9D">
        <w:t>DeCS</w:t>
      </w:r>
      <w:proofErr w:type="spellEnd"/>
      <w:r w:rsidR="00F60D9D">
        <w:t>(</w:t>
      </w:r>
      <w:proofErr w:type="gramEnd"/>
      <w:r w:rsidR="00F60D9D">
        <w:t>Descritores em Ciências da Saúde), para garantir a relevância e abrangência na busca de dados. F</w:t>
      </w:r>
      <w:r w:rsidR="00F22B58" w:rsidRPr="0072627E">
        <w:t>oram utilizados</w:t>
      </w:r>
      <w:r w:rsidR="001D6EBF" w:rsidRPr="0072627E">
        <w:t xml:space="preserve"> os seguintes descritores, individualmente e em combinação: “nafazolina”, “automedicação”, “descongestionante nasal”, “uso irracional de medicamentos”, “rinite medicamentosa”, “efeito rebote”, “dependência química”, “vasoconstritores tópicos”, “farmacêutico”, “orientação farmacêutica”, “intoxicação medicamentosa”, “uso abusivo de medicamentos”, “medicamentos isentos de prescrição” e “educação em saúde”.  </w:t>
      </w:r>
    </w:p>
    <w:p w14:paraId="173D6710" w14:textId="3A0D65E6" w:rsidR="001D6EBF" w:rsidRPr="0072627E" w:rsidRDefault="00F22B58" w:rsidP="00995881">
      <w:pPr>
        <w:spacing w:after="0" w:line="360" w:lineRule="auto"/>
        <w:ind w:left="11" w:right="0" w:firstLine="709"/>
      </w:pPr>
      <w:r w:rsidRPr="0072627E">
        <w:t>Foram priorizadas</w:t>
      </w:r>
      <w:r w:rsidR="001D6EBF" w:rsidRPr="0072627E">
        <w:t xml:space="preserve"> publicações entre os anos de 20</w:t>
      </w:r>
      <w:r w:rsidR="0016603B" w:rsidRPr="0072627E">
        <w:t xml:space="preserve">04 </w:t>
      </w:r>
      <w:r w:rsidR="001D6EBF" w:rsidRPr="0072627E">
        <w:t xml:space="preserve">e 2024, com foco em estudos pertinentes ao tema. A análise dos dados </w:t>
      </w:r>
      <w:r w:rsidRPr="0072627E">
        <w:t>foi realizada</w:t>
      </w:r>
      <w:r w:rsidR="001D6EBF" w:rsidRPr="0072627E">
        <w:t xml:space="preserve"> de forma crítica, interpretativa e comparativa, considerando o conteúdo, a relevância e a atualidade dos textos selecionado</w:t>
      </w:r>
      <w:r w:rsidR="00F60D9D">
        <w:t>.</w:t>
      </w:r>
    </w:p>
    <w:p w14:paraId="29A788DC" w14:textId="77777777" w:rsidR="001D6EBF" w:rsidRPr="0072627E" w:rsidRDefault="001D6EBF" w:rsidP="00995881">
      <w:pPr>
        <w:spacing w:after="0" w:line="360" w:lineRule="auto"/>
        <w:ind w:left="11" w:right="0" w:firstLine="709"/>
      </w:pPr>
    </w:p>
    <w:p w14:paraId="1B3A34AB" w14:textId="77777777" w:rsidR="001D6EBF" w:rsidRPr="00995881" w:rsidRDefault="00A93301" w:rsidP="00DA7BCD">
      <w:pPr>
        <w:pStyle w:val="Ttulo2"/>
      </w:pPr>
      <w:bookmarkStart w:id="2" w:name="_Toc211152520"/>
      <w:r>
        <w:lastRenderedPageBreak/>
        <w:t>2</w:t>
      </w:r>
      <w:r w:rsidR="00995881" w:rsidRPr="00995881">
        <w:t>.1 Levantamentos</w:t>
      </w:r>
      <w:r w:rsidR="001D6EBF" w:rsidRPr="00995881">
        <w:t xml:space="preserve"> dos e</w:t>
      </w:r>
      <w:r w:rsidR="00FF7843" w:rsidRPr="00995881">
        <w:t>feitos adversos</w:t>
      </w:r>
      <w:r w:rsidR="001D6EBF" w:rsidRPr="00995881">
        <w:t xml:space="preserve"> com descongestionantes nasais a base de nafazolina</w:t>
      </w:r>
      <w:bookmarkEnd w:id="2"/>
    </w:p>
    <w:p w14:paraId="2303484F" w14:textId="77777777" w:rsidR="00995881" w:rsidRDefault="00D15AB2" w:rsidP="00A46ECA">
      <w:pPr>
        <w:spacing w:line="360" w:lineRule="auto"/>
        <w:ind w:left="11" w:right="0" w:firstLine="709"/>
      </w:pPr>
      <w:r w:rsidRPr="0072627E">
        <w:tab/>
      </w:r>
    </w:p>
    <w:p w14:paraId="4FF9BD6A" w14:textId="77777777" w:rsidR="001D6EBF" w:rsidRPr="0072627E" w:rsidRDefault="00A46ECA" w:rsidP="00A46ECA">
      <w:pPr>
        <w:spacing w:line="360" w:lineRule="auto"/>
        <w:ind w:left="11" w:right="0" w:firstLine="709"/>
      </w:pPr>
      <w:r w:rsidRPr="0072627E">
        <w:t>Foi realizada</w:t>
      </w:r>
      <w:r w:rsidR="001D6EBF" w:rsidRPr="0072627E">
        <w:t xml:space="preserve"> uma revisão bibliográfica em bases científicas como SciELO, PubMed, LILACS e Google Acadêmico. </w:t>
      </w:r>
      <w:r w:rsidRPr="0072627E">
        <w:t>Foram</w:t>
      </w:r>
      <w:r w:rsidR="001D6EBF" w:rsidRPr="0072627E">
        <w:t xml:space="preserve"> utilizados artigos científicos originais, revisões sistemáticas e capítulos de livros de farmacologia, além de documentos institucionais de órgãos como a Organização Mundial da Saúde (OMS), Organização Pan-Americana da Saúde (OPAS), A</w:t>
      </w:r>
      <w:r w:rsidR="000F0295" w:rsidRPr="0072627E">
        <w:t>NVISA</w:t>
      </w:r>
      <w:r w:rsidR="001D6EBF" w:rsidRPr="0072627E">
        <w:t>, e literatura clássica como “Goodman &amp;Gilman’s”, “Katzung” e “Rang&amp; Dale”</w:t>
      </w:r>
    </w:p>
    <w:p w14:paraId="3AE4669F" w14:textId="77777777" w:rsidR="001D6EBF" w:rsidRPr="0072627E" w:rsidRDefault="001D6EBF" w:rsidP="00A53D3D">
      <w:pPr>
        <w:spacing w:line="360" w:lineRule="auto"/>
        <w:ind w:left="11" w:right="0" w:firstLine="709"/>
      </w:pPr>
    </w:p>
    <w:p w14:paraId="6741B6CE" w14:textId="77777777" w:rsidR="001D6EBF" w:rsidRPr="00995881" w:rsidRDefault="00A93301" w:rsidP="00DA7BCD">
      <w:pPr>
        <w:pStyle w:val="Ttulo2"/>
      </w:pPr>
      <w:bookmarkStart w:id="3" w:name="_Toc211152521"/>
      <w:r>
        <w:t>2</w:t>
      </w:r>
      <w:r w:rsidR="00995881" w:rsidRPr="00995881">
        <w:t>.2 Levantamentos</w:t>
      </w:r>
      <w:r w:rsidR="00A46ECA" w:rsidRPr="00995881">
        <w:t xml:space="preserve"> </w:t>
      </w:r>
      <w:r w:rsidR="00E8481A" w:rsidRPr="00995881">
        <w:t>dos fatores que contribuem com a</w:t>
      </w:r>
      <w:r w:rsidR="001D6EBF" w:rsidRPr="00995881">
        <w:t xml:space="preserve"> automedicação com nafazolina</w:t>
      </w:r>
      <w:bookmarkEnd w:id="3"/>
    </w:p>
    <w:p w14:paraId="5F0EDCE4" w14:textId="77777777" w:rsidR="00995881" w:rsidRDefault="00995881" w:rsidP="00A53D3D">
      <w:pPr>
        <w:spacing w:line="360" w:lineRule="auto"/>
        <w:ind w:left="11" w:right="0" w:firstLine="709"/>
      </w:pPr>
    </w:p>
    <w:p w14:paraId="583D11C9" w14:textId="77777777" w:rsidR="001D6EBF" w:rsidRPr="0072627E" w:rsidRDefault="00A46ECA" w:rsidP="00A53D3D">
      <w:pPr>
        <w:spacing w:line="360" w:lineRule="auto"/>
        <w:ind w:left="11" w:right="0" w:firstLine="709"/>
      </w:pPr>
      <w:r w:rsidRPr="0072627E">
        <w:t xml:space="preserve">Utilizou-se </w:t>
      </w:r>
      <w:r w:rsidR="001D6EBF" w:rsidRPr="0072627E">
        <w:t>estudos científicos publicados em periódicos da área da saúde, levantamentos populacionais e documentos de instituições como a OPAS, A</w:t>
      </w:r>
      <w:r w:rsidRPr="0072627E">
        <w:t>NVISA</w:t>
      </w:r>
      <w:r w:rsidR="001D6EBF" w:rsidRPr="0072627E">
        <w:t xml:space="preserve"> e o Conselho Federal de Farmácia (CFF). </w:t>
      </w:r>
      <w:r w:rsidRPr="0072627E">
        <w:t>Foram</w:t>
      </w:r>
      <w:r w:rsidR="001D6EBF" w:rsidRPr="0072627E">
        <w:t xml:space="preserve"> analisados aspectos como o acesso facilitado ao medicamento, a percepção de baixo risco pela população, a busca por alívio rápido de sintomas e a carência de informações adequadas sobre o uso racional desses fármacos.</w:t>
      </w:r>
    </w:p>
    <w:p w14:paraId="39E028A2" w14:textId="77777777" w:rsidR="001D6EBF" w:rsidRPr="0072627E" w:rsidRDefault="001D6EBF" w:rsidP="00A53D3D">
      <w:pPr>
        <w:spacing w:line="360" w:lineRule="auto"/>
        <w:ind w:left="11" w:right="0" w:firstLine="709"/>
      </w:pPr>
    </w:p>
    <w:p w14:paraId="678395CE" w14:textId="77777777" w:rsidR="001D6EBF" w:rsidRPr="00995881" w:rsidRDefault="00A93301" w:rsidP="00DA7BCD">
      <w:pPr>
        <w:pStyle w:val="Ttulo2"/>
      </w:pPr>
      <w:bookmarkStart w:id="4" w:name="_Toc211152522"/>
      <w:r>
        <w:t>2</w:t>
      </w:r>
      <w:r w:rsidR="00995881" w:rsidRPr="00995881">
        <w:t>.3 Levantamentos</w:t>
      </w:r>
      <w:r w:rsidR="001D6EBF" w:rsidRPr="00995881">
        <w:t xml:space="preserve"> da atuação do farmacêutico na orientação e conscientização sobre os riscos do uso de nafazolina</w:t>
      </w:r>
      <w:bookmarkEnd w:id="4"/>
    </w:p>
    <w:p w14:paraId="3E170090" w14:textId="77777777" w:rsidR="00995881" w:rsidRDefault="00995881" w:rsidP="00A53D3D">
      <w:pPr>
        <w:spacing w:line="360" w:lineRule="auto"/>
        <w:ind w:left="11" w:right="0" w:firstLine="709"/>
      </w:pPr>
    </w:p>
    <w:p w14:paraId="137D7067" w14:textId="77777777" w:rsidR="001D6EBF" w:rsidRPr="0072627E" w:rsidRDefault="001D6EBF" w:rsidP="00A53D3D">
      <w:pPr>
        <w:spacing w:line="360" w:lineRule="auto"/>
        <w:ind w:left="11" w:right="0" w:firstLine="709"/>
      </w:pPr>
      <w:r w:rsidRPr="0072627E">
        <w:t xml:space="preserve">A análise </w:t>
      </w:r>
      <w:r w:rsidR="00F22B58" w:rsidRPr="0072627E">
        <w:t>foi</w:t>
      </w:r>
      <w:r w:rsidRPr="0072627E">
        <w:t xml:space="preserve"> por meio da revisão de literatura científica nacional e internacional, com foco na atuação do farmacêutico em farmácias comunitárias. </w:t>
      </w:r>
      <w:r w:rsidR="00A46ECA" w:rsidRPr="0072627E">
        <w:t>Foram</w:t>
      </w:r>
      <w:r w:rsidRPr="0072627E">
        <w:t xml:space="preserve"> utilizados artigos acadêmicos e documentos técnicos de instituições como a A</w:t>
      </w:r>
      <w:r w:rsidR="000F0295" w:rsidRPr="0072627E">
        <w:t>NVISA</w:t>
      </w:r>
      <w:r w:rsidRPr="0072627E">
        <w:t xml:space="preserve">, OPAS e o CFF. </w:t>
      </w:r>
      <w:r w:rsidR="00F22B58" w:rsidRPr="0072627E">
        <w:t xml:space="preserve">Foi incluído </w:t>
      </w:r>
      <w:r w:rsidRPr="0072627E">
        <w:t>temas como o cuidado farmacêutico, a comunicação com o paciente, a promoção do uso racional de medicamentos e os desafios enfrentados no cotidiano profissional.</w:t>
      </w:r>
    </w:p>
    <w:p w14:paraId="4E4DDBF6" w14:textId="77777777" w:rsidR="00196968" w:rsidRPr="0072627E" w:rsidRDefault="00196968" w:rsidP="00A53D3D">
      <w:pPr>
        <w:spacing w:line="360" w:lineRule="auto"/>
        <w:ind w:left="11" w:right="0" w:firstLine="709"/>
      </w:pPr>
    </w:p>
    <w:p w14:paraId="1BFC3D38" w14:textId="77777777" w:rsidR="00196968" w:rsidRPr="00995881" w:rsidRDefault="00A93301" w:rsidP="00DA7BCD">
      <w:pPr>
        <w:pStyle w:val="Ttulo2"/>
      </w:pPr>
      <w:bookmarkStart w:id="5" w:name="_Toc211152523"/>
      <w:r>
        <w:t>2</w:t>
      </w:r>
      <w:r w:rsidR="00995881" w:rsidRPr="00995881">
        <w:t>.4 Levantamentos</w:t>
      </w:r>
      <w:r w:rsidR="001D6EBF" w:rsidRPr="00995881">
        <w:t xml:space="preserve"> dos descongestionantes nasais tópicos mais vendidos no Brasil</w:t>
      </w:r>
      <w:bookmarkEnd w:id="5"/>
    </w:p>
    <w:p w14:paraId="36C54072" w14:textId="77777777" w:rsidR="00995881" w:rsidRDefault="001D6EBF" w:rsidP="00A53D3D">
      <w:pPr>
        <w:spacing w:line="360" w:lineRule="auto"/>
        <w:ind w:left="11" w:right="0" w:firstLine="709"/>
      </w:pPr>
      <w:r w:rsidRPr="0072627E">
        <w:t xml:space="preserve">  </w:t>
      </w:r>
    </w:p>
    <w:p w14:paraId="48462A9B" w14:textId="77777777" w:rsidR="001D6EBF" w:rsidRPr="0072627E" w:rsidRDefault="00995881" w:rsidP="00A53D3D">
      <w:pPr>
        <w:spacing w:line="360" w:lineRule="auto"/>
        <w:ind w:left="11" w:right="0" w:firstLine="709"/>
      </w:pPr>
      <w:r w:rsidRPr="0072627E">
        <w:t>Utilizaram-se</w:t>
      </w:r>
      <w:r w:rsidR="001D6EBF" w:rsidRPr="0072627E">
        <w:t xml:space="preserve"> dados provenientes de fontes </w:t>
      </w:r>
      <w:r w:rsidR="00196968" w:rsidRPr="0072627E">
        <w:t xml:space="preserve">relacionadas, tais </w:t>
      </w:r>
      <w:r w:rsidR="001D6EBF" w:rsidRPr="0072627E">
        <w:t xml:space="preserve">como os relatórios estatísticos da Câmara de Regulação do Mercado de Medicamentos (CMED), e publicações institucionais da ANVISA. Também foram incluídos estudos </w:t>
      </w:r>
      <w:r w:rsidR="001D6EBF" w:rsidRPr="0072627E">
        <w:lastRenderedPageBreak/>
        <w:t>acadêmicos que abordaram o consumo de medicamentos no Brasil, com foco em descongestionantes nasais, a fim da identificação dos produtos com maior circulação e sua relação com práticas de automedicação.</w:t>
      </w:r>
    </w:p>
    <w:p w14:paraId="46DD6A4E" w14:textId="77777777" w:rsidR="001D6EBF" w:rsidRPr="0072627E" w:rsidRDefault="001D6EBF" w:rsidP="00A53D3D">
      <w:pPr>
        <w:ind w:firstLine="709"/>
      </w:pPr>
    </w:p>
    <w:p w14:paraId="3743FEB0" w14:textId="77777777" w:rsidR="00BD4DCF" w:rsidRPr="0072627E" w:rsidRDefault="00BD4DCF" w:rsidP="00A53D3D">
      <w:pPr>
        <w:spacing w:after="114" w:line="259" w:lineRule="auto"/>
        <w:ind w:left="853" w:right="0" w:firstLine="709"/>
        <w:jc w:val="left"/>
      </w:pPr>
    </w:p>
    <w:p w14:paraId="468E834C" w14:textId="77777777" w:rsidR="00BD4DCF" w:rsidRPr="0072627E" w:rsidRDefault="0025772B">
      <w:pPr>
        <w:pStyle w:val="Ttulo1"/>
        <w:ind w:left="345" w:right="0" w:hanging="360"/>
      </w:pPr>
      <w:bookmarkStart w:id="6" w:name="_Toc211152524"/>
      <w:r w:rsidRPr="0072627E">
        <w:t>RESULTADO</w:t>
      </w:r>
      <w:r w:rsidR="00196968" w:rsidRPr="0072627E">
        <w:t>S</w:t>
      </w:r>
      <w:bookmarkEnd w:id="6"/>
    </w:p>
    <w:p w14:paraId="644FE0E2" w14:textId="77777777" w:rsidR="00DA7BCD" w:rsidRDefault="00DA7BCD" w:rsidP="00602DCE">
      <w:pPr>
        <w:spacing w:line="360" w:lineRule="auto"/>
        <w:ind w:left="0" w:right="0" w:firstLine="709"/>
      </w:pPr>
    </w:p>
    <w:p w14:paraId="67733BFB" w14:textId="77777777" w:rsidR="00DA7BCD" w:rsidRDefault="0016603B" w:rsidP="00DA7BCD">
      <w:pPr>
        <w:spacing w:after="0" w:line="360" w:lineRule="auto"/>
        <w:ind w:left="0" w:right="0" w:firstLine="709"/>
      </w:pPr>
      <w:r w:rsidRPr="0072627E">
        <w:t xml:space="preserve">A busca nas bases científicas SciELO, PubMed, LILACS e Google Acadêmico resultou inicialmente em </w:t>
      </w:r>
      <w:r w:rsidRPr="00F60D9D">
        <w:t>320 registros</w:t>
      </w:r>
      <w:r w:rsidRPr="0072627E">
        <w:t>. Após a exclusão de 110 duplicados, restaram 210 artigos para a etapa de triagem. Nessa fase, a leitura de títulos e resumos levou à exclusão de 178 registros por não atenderem ao tema proposto, permanecendo 32 artigos para avaliação em texto completo</w:t>
      </w:r>
      <w:r w:rsidR="00196968" w:rsidRPr="0072627E">
        <w:t xml:space="preserve"> (</w:t>
      </w:r>
      <w:r w:rsidR="00196968" w:rsidRPr="00DA7BCD">
        <w:t>Figura 2</w:t>
      </w:r>
      <w:r w:rsidR="00196968" w:rsidRPr="0072627E">
        <w:t>)</w:t>
      </w:r>
      <w:r w:rsidRPr="0072627E">
        <w:t xml:space="preserve">. Todos atenderam aos critérios de elegibilidade e foram incluídos na revisão, não havendo exclusões nesta etapa. </w:t>
      </w:r>
    </w:p>
    <w:p w14:paraId="4AD0EC04" w14:textId="77777777" w:rsidR="006432D9" w:rsidRPr="0072627E" w:rsidRDefault="0016603B" w:rsidP="00DA7BCD">
      <w:pPr>
        <w:spacing w:after="0" w:line="360" w:lineRule="auto"/>
        <w:ind w:left="0" w:right="0" w:firstLine="709"/>
      </w:pPr>
      <w:r w:rsidRPr="0072627E">
        <w:t>Entre os estudos selecionados, foram encontrados trabalhos de natureza variada, incluindo pesquisas originais, revisões sistemáticas, relatos de caso e documentos técnicos publicados entre 2015</w:t>
      </w:r>
      <w:r w:rsidR="00196968" w:rsidRPr="0072627E">
        <w:t xml:space="preserve"> e 2024, período no qual observou</w:t>
      </w:r>
      <w:r w:rsidRPr="0072627E">
        <w:t xml:space="preserve">-se crescimento da produção científica sobre os riscos da automedicação com nafazolina (Silva </w:t>
      </w:r>
      <w:r w:rsidRPr="004363DD">
        <w:rPr>
          <w:i/>
        </w:rPr>
        <w:t>et al</w:t>
      </w:r>
      <w:r w:rsidRPr="0072627E">
        <w:t xml:space="preserve">., 2024; Morais </w:t>
      </w:r>
      <w:r w:rsidRPr="004363DD">
        <w:rPr>
          <w:i/>
        </w:rPr>
        <w:t>et al</w:t>
      </w:r>
      <w:r w:rsidRPr="0072627E">
        <w:t xml:space="preserve">., 2024). Esse conjunto final foi organizado em quatro eixos de análise: (i) efeitos adversos (12 artigos), (ii) fatores que favorecem a automedicação (9 artigos), (iii) atuação do farmacêutico (11 artigos) e (iv) dados de mercado sobre descongestionantes nasais mais vendidos no Brasil. </w:t>
      </w:r>
    </w:p>
    <w:p w14:paraId="4BFB3B81" w14:textId="77777777" w:rsidR="00DA7BCD" w:rsidRDefault="00DA7BCD" w:rsidP="00DA7BCD">
      <w:pPr>
        <w:spacing w:line="360" w:lineRule="auto"/>
        <w:ind w:left="0" w:right="0" w:firstLine="0"/>
        <w:rPr>
          <w:b/>
        </w:rPr>
      </w:pPr>
    </w:p>
    <w:p w14:paraId="0026ACD8" w14:textId="77777777" w:rsidR="00DA7BCD" w:rsidRPr="00496EDD" w:rsidRDefault="00DA7BCD" w:rsidP="00496EDD">
      <w:pPr>
        <w:spacing w:line="360" w:lineRule="auto"/>
        <w:ind w:left="0" w:right="0" w:firstLine="0"/>
        <w:jc w:val="center"/>
        <w:rPr>
          <w:sz w:val="22"/>
          <w:szCs w:val="22"/>
        </w:rPr>
      </w:pPr>
      <w:r w:rsidRPr="00496EDD">
        <w:rPr>
          <w:b/>
          <w:sz w:val="22"/>
          <w:szCs w:val="22"/>
        </w:rPr>
        <w:t>Figura 2</w:t>
      </w:r>
      <w:r w:rsidR="00496EDD" w:rsidRPr="00496EDD">
        <w:rPr>
          <w:b/>
          <w:sz w:val="22"/>
          <w:szCs w:val="22"/>
        </w:rPr>
        <w:t>.</w:t>
      </w:r>
      <w:r w:rsidRPr="00496EDD">
        <w:rPr>
          <w:sz w:val="22"/>
          <w:szCs w:val="22"/>
        </w:rPr>
        <w:t xml:space="preserve"> Fluxograma do processo de identificação, triagem, elegibilidade e inclusão dos estudos selecionados para a revisão bibliográfica.</w:t>
      </w:r>
    </w:p>
    <w:p w14:paraId="66C179F0" w14:textId="77777777" w:rsidR="0016603B" w:rsidRPr="0072627E" w:rsidRDefault="0016603B" w:rsidP="00602DCE">
      <w:pPr>
        <w:spacing w:line="360" w:lineRule="auto"/>
        <w:ind w:left="0" w:right="0" w:firstLine="709"/>
      </w:pPr>
      <w:r w:rsidRPr="0072627E">
        <w:rPr>
          <w:noProof/>
        </w:rPr>
        <w:lastRenderedPageBreak/>
        <w:drawing>
          <wp:inline distT="0" distB="0" distL="0" distR="0" wp14:anchorId="06EC9A90" wp14:editId="3DF24CAC">
            <wp:extent cx="5027930" cy="2914650"/>
            <wp:effectExtent l="0" t="0" r="1270" b="0"/>
            <wp:docPr id="1" name="Picture 1" descr="Dia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a&#10;&#10;O conteúdo gerado por IA pode estar incorreto."/>
                    <pic:cNvPicPr/>
                  </pic:nvPicPr>
                  <pic:blipFill>
                    <a:blip r:embed="rId11"/>
                    <a:stretch>
                      <a:fillRect/>
                    </a:stretch>
                  </pic:blipFill>
                  <pic:spPr>
                    <a:xfrm>
                      <a:off x="0" y="0"/>
                      <a:ext cx="5040475" cy="2921922"/>
                    </a:xfrm>
                    <a:prstGeom prst="rect">
                      <a:avLst/>
                    </a:prstGeom>
                  </pic:spPr>
                </pic:pic>
              </a:graphicData>
            </a:graphic>
          </wp:inline>
        </w:drawing>
      </w:r>
    </w:p>
    <w:p w14:paraId="276FD11F" w14:textId="77777777" w:rsidR="006432D9" w:rsidRPr="004363DD" w:rsidRDefault="00496EDD" w:rsidP="004363DD">
      <w:pPr>
        <w:spacing w:line="360" w:lineRule="auto"/>
        <w:ind w:left="0" w:right="0" w:firstLine="0"/>
        <w:jc w:val="center"/>
        <w:rPr>
          <w:sz w:val="20"/>
          <w:szCs w:val="20"/>
        </w:rPr>
      </w:pPr>
      <w:r w:rsidRPr="004363DD">
        <w:rPr>
          <w:b/>
          <w:sz w:val="20"/>
          <w:szCs w:val="20"/>
        </w:rPr>
        <w:t>Fonte:</w:t>
      </w:r>
      <w:r w:rsidRPr="004363DD">
        <w:rPr>
          <w:sz w:val="20"/>
          <w:szCs w:val="20"/>
        </w:rPr>
        <w:t xml:space="preserve"> </w:t>
      </w:r>
      <w:r w:rsidR="004363DD">
        <w:rPr>
          <w:sz w:val="20"/>
          <w:szCs w:val="20"/>
        </w:rPr>
        <w:t>dados</w:t>
      </w:r>
      <w:r w:rsidR="004363DD" w:rsidRPr="004363DD">
        <w:rPr>
          <w:sz w:val="20"/>
          <w:szCs w:val="20"/>
        </w:rPr>
        <w:t xml:space="preserve"> dos autores (2025)</w:t>
      </w:r>
    </w:p>
    <w:p w14:paraId="07B64777" w14:textId="77777777" w:rsidR="0016603B" w:rsidRPr="0072627E" w:rsidRDefault="0016603B" w:rsidP="00602DCE">
      <w:pPr>
        <w:spacing w:line="360" w:lineRule="auto"/>
        <w:ind w:left="0" w:right="0" w:firstLine="709"/>
      </w:pPr>
    </w:p>
    <w:p w14:paraId="76E0525B" w14:textId="77777777" w:rsidR="00FF7843" w:rsidRPr="0072627E" w:rsidRDefault="00A93301" w:rsidP="004363DD">
      <w:pPr>
        <w:pStyle w:val="Ttulo2"/>
      </w:pPr>
      <w:bookmarkStart w:id="7" w:name="_Toc211152525"/>
      <w:r>
        <w:t>3</w:t>
      </w:r>
      <w:r w:rsidR="00FF7843" w:rsidRPr="0072627E">
        <w:t>.1 Efeitos adversos dos descongestionantes nasais a base de nafazolina</w:t>
      </w:r>
      <w:bookmarkEnd w:id="7"/>
    </w:p>
    <w:p w14:paraId="16C45AC2" w14:textId="7B120721" w:rsidR="0016603B" w:rsidRPr="0072627E" w:rsidRDefault="00B506CA" w:rsidP="00FF7843">
      <w:pPr>
        <w:spacing w:line="360" w:lineRule="auto"/>
        <w:ind w:firstLine="709"/>
      </w:pPr>
      <w:r w:rsidRPr="0072627E">
        <w:rPr>
          <w:color w:val="000000" w:themeColor="text1"/>
        </w:rPr>
        <w:t xml:space="preserve">Observou-se </w:t>
      </w:r>
      <w:r w:rsidRPr="0072627E">
        <w:t>que o</w:t>
      </w:r>
      <w:r w:rsidR="00FF7843" w:rsidRPr="0072627E">
        <w:t xml:space="preserve"> uso</w:t>
      </w:r>
      <w:r w:rsidR="0016603B" w:rsidRPr="0072627E">
        <w:t xml:space="preserve"> da nafazolina tem sido associado a uma ampla gama de efeitos adversos, que vão desde manifestações locais leves até complicações sistêmicas graves. Em um estudo de farmacovigilância, foram registrados 54 eventos adversos relacionados à combinação nafazolina/hipromelose, incluindo irritação, visão turva e cefaleia, reforçando a necessidade de monitoramento pós-comercialização (Contreras-Salinas et al., 202</w:t>
      </w:r>
      <w:r w:rsidR="00F60D9D">
        <w:t>1)</w:t>
      </w:r>
      <w:r w:rsidR="0016603B" w:rsidRPr="0072627E">
        <w:t xml:space="preserve">. Os relatos de intoxicações em crianças, </w:t>
      </w:r>
      <w:r w:rsidR="00FF7843" w:rsidRPr="0072627E">
        <w:t>mostrou que</w:t>
      </w:r>
      <w:r w:rsidR="0016603B" w:rsidRPr="0072627E">
        <w:t xml:space="preserve"> a absorção sistêmica do fármaco pode causar depressão do sistema nervoso central, hipotermia, bradicardia e até coma (Musshoff et al., 2003, </w:t>
      </w:r>
      <w:proofErr w:type="spellStart"/>
      <w:r w:rsidR="0016603B" w:rsidRPr="00F60D9D">
        <w:t>Forensic</w:t>
      </w:r>
      <w:proofErr w:type="spellEnd"/>
      <w:r w:rsidR="0016603B" w:rsidRPr="00F60D9D">
        <w:t xml:space="preserve"> Science</w:t>
      </w:r>
      <w:r w:rsidR="00F60D9D">
        <w:t>)</w:t>
      </w:r>
      <w:r w:rsidR="0016603B" w:rsidRPr="0072627E">
        <w:t>. Além disso, efeitos cardiovasculares severos, como hipertensão e arritmias, já foram observados em adultos após uso tópico, com registro até de acidente vascular encefálico hemorrágico em paciente jovem previamente saudável (Zavala et al., 2004</w:t>
      </w:r>
      <w:r w:rsidR="00FF7843" w:rsidRPr="0072627E">
        <w:t>) (</w:t>
      </w:r>
      <w:r w:rsidR="00FF7843" w:rsidRPr="004363DD">
        <w:t>Quadro 1)</w:t>
      </w:r>
      <w:r w:rsidR="004363DD">
        <w:t>.</w:t>
      </w:r>
    </w:p>
    <w:p w14:paraId="05DA74F6" w14:textId="77777777" w:rsidR="00D80E53" w:rsidRPr="0072627E" w:rsidRDefault="00D80E53" w:rsidP="00FF7843">
      <w:pPr>
        <w:spacing w:line="360" w:lineRule="auto"/>
        <w:jc w:val="left"/>
        <w:rPr>
          <w:b/>
          <w:bCs/>
        </w:rPr>
      </w:pPr>
    </w:p>
    <w:p w14:paraId="28C5A27D" w14:textId="77777777" w:rsidR="00FF7843" w:rsidRPr="004363DD" w:rsidRDefault="00FF7843" w:rsidP="004363DD">
      <w:pPr>
        <w:spacing w:line="360" w:lineRule="auto"/>
        <w:ind w:left="0" w:firstLine="0"/>
        <w:jc w:val="center"/>
        <w:rPr>
          <w:b/>
          <w:bCs/>
          <w:color w:val="000000" w:themeColor="text1"/>
          <w:sz w:val="22"/>
          <w:szCs w:val="22"/>
        </w:rPr>
      </w:pPr>
      <w:r w:rsidRPr="004363DD">
        <w:rPr>
          <w:b/>
          <w:bCs/>
          <w:color w:val="000000" w:themeColor="text1"/>
          <w:sz w:val="22"/>
          <w:szCs w:val="22"/>
        </w:rPr>
        <w:t xml:space="preserve">Quadro 1: </w:t>
      </w:r>
      <w:r w:rsidRPr="004363DD">
        <w:rPr>
          <w:color w:val="000000" w:themeColor="text1"/>
          <w:sz w:val="22"/>
          <w:szCs w:val="22"/>
        </w:rPr>
        <w:t>Principais informações sobre os efeitos adversos decorrentes do uso de descongestionantes nasais com cloridrato de nafazolina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3352"/>
        <w:gridCol w:w="2408"/>
      </w:tblGrid>
      <w:tr w:rsidR="004D6D02" w:rsidRPr="004363DD" w14:paraId="6491BDB6" w14:textId="77777777" w:rsidTr="004363DD">
        <w:trPr>
          <w:jc w:val="center"/>
        </w:trPr>
        <w:tc>
          <w:tcPr>
            <w:tcW w:w="2880" w:type="dxa"/>
          </w:tcPr>
          <w:p w14:paraId="40F753D3" w14:textId="77777777" w:rsidR="005D6618" w:rsidRPr="004363DD" w:rsidRDefault="005D6618" w:rsidP="002A0CB0">
            <w:pPr>
              <w:rPr>
                <w:b/>
                <w:color w:val="000000" w:themeColor="text1"/>
                <w:sz w:val="22"/>
                <w:szCs w:val="22"/>
              </w:rPr>
            </w:pPr>
            <w:r w:rsidRPr="004363DD">
              <w:rPr>
                <w:b/>
                <w:color w:val="000000" w:themeColor="text1"/>
                <w:sz w:val="22"/>
                <w:szCs w:val="22"/>
              </w:rPr>
              <w:t>Autor / Fonte</w:t>
            </w:r>
          </w:p>
        </w:tc>
        <w:tc>
          <w:tcPr>
            <w:tcW w:w="3352" w:type="dxa"/>
          </w:tcPr>
          <w:p w14:paraId="6B57AB41" w14:textId="77777777" w:rsidR="005D6618" w:rsidRPr="004363DD" w:rsidRDefault="005D6618" w:rsidP="002A0CB0">
            <w:pPr>
              <w:rPr>
                <w:b/>
                <w:color w:val="000000" w:themeColor="text1"/>
                <w:sz w:val="22"/>
                <w:szCs w:val="22"/>
              </w:rPr>
            </w:pPr>
            <w:r w:rsidRPr="004363DD">
              <w:rPr>
                <w:b/>
                <w:color w:val="000000" w:themeColor="text1"/>
                <w:sz w:val="22"/>
                <w:szCs w:val="22"/>
              </w:rPr>
              <w:t>Efeitos adversos descritos</w:t>
            </w:r>
          </w:p>
        </w:tc>
        <w:tc>
          <w:tcPr>
            <w:tcW w:w="2408" w:type="dxa"/>
          </w:tcPr>
          <w:p w14:paraId="1D51C225" w14:textId="77777777" w:rsidR="005D6618" w:rsidRPr="004363DD" w:rsidRDefault="00FF7843" w:rsidP="002A0CB0">
            <w:pPr>
              <w:rPr>
                <w:b/>
                <w:color w:val="000000" w:themeColor="text1"/>
                <w:sz w:val="22"/>
                <w:szCs w:val="22"/>
              </w:rPr>
            </w:pPr>
            <w:r w:rsidRPr="004363DD">
              <w:rPr>
                <w:b/>
                <w:color w:val="000000" w:themeColor="text1"/>
                <w:sz w:val="22"/>
                <w:szCs w:val="22"/>
              </w:rPr>
              <w:t>Tipo de estudo</w:t>
            </w:r>
          </w:p>
        </w:tc>
      </w:tr>
      <w:tr w:rsidR="005D6618" w:rsidRPr="004363DD" w14:paraId="1FC8AB2C" w14:textId="77777777" w:rsidTr="004363DD">
        <w:trPr>
          <w:jc w:val="center"/>
        </w:trPr>
        <w:tc>
          <w:tcPr>
            <w:tcW w:w="2880" w:type="dxa"/>
          </w:tcPr>
          <w:p w14:paraId="4627D8C4" w14:textId="77777777" w:rsidR="005D6618" w:rsidRPr="004363DD" w:rsidRDefault="005D6618" w:rsidP="002A0CB0">
            <w:pPr>
              <w:rPr>
                <w:sz w:val="22"/>
                <w:szCs w:val="22"/>
              </w:rPr>
            </w:pPr>
            <w:r w:rsidRPr="004363DD">
              <w:rPr>
                <w:sz w:val="22"/>
                <w:szCs w:val="22"/>
              </w:rPr>
              <w:t xml:space="preserve">Zavala </w:t>
            </w:r>
            <w:r w:rsidRPr="004363DD">
              <w:rPr>
                <w:i/>
                <w:sz w:val="22"/>
                <w:szCs w:val="22"/>
              </w:rPr>
              <w:t>et al</w:t>
            </w:r>
            <w:r w:rsidRPr="004363DD">
              <w:rPr>
                <w:sz w:val="22"/>
                <w:szCs w:val="22"/>
              </w:rPr>
              <w:t>., 2004</w:t>
            </w:r>
          </w:p>
        </w:tc>
        <w:tc>
          <w:tcPr>
            <w:tcW w:w="3352" w:type="dxa"/>
          </w:tcPr>
          <w:p w14:paraId="01B3B564" w14:textId="77777777" w:rsidR="005D6618" w:rsidRPr="004363DD" w:rsidRDefault="005D6618" w:rsidP="002A0CB0">
            <w:pPr>
              <w:rPr>
                <w:sz w:val="22"/>
                <w:szCs w:val="22"/>
              </w:rPr>
            </w:pPr>
            <w:r w:rsidRPr="004363DD">
              <w:rPr>
                <w:sz w:val="22"/>
                <w:szCs w:val="22"/>
              </w:rPr>
              <w:t>Caso de acidente vascular encefálico hemorrágico.</w:t>
            </w:r>
          </w:p>
        </w:tc>
        <w:tc>
          <w:tcPr>
            <w:tcW w:w="2408" w:type="dxa"/>
          </w:tcPr>
          <w:p w14:paraId="66427D2A" w14:textId="77777777" w:rsidR="005D6618" w:rsidRPr="004363DD" w:rsidRDefault="005D6618" w:rsidP="002A0CB0">
            <w:pPr>
              <w:rPr>
                <w:sz w:val="22"/>
                <w:szCs w:val="22"/>
              </w:rPr>
            </w:pPr>
            <w:r w:rsidRPr="004363DD">
              <w:rPr>
                <w:sz w:val="22"/>
                <w:szCs w:val="22"/>
              </w:rPr>
              <w:t>Relato de caso, 2004</w:t>
            </w:r>
          </w:p>
        </w:tc>
      </w:tr>
      <w:tr w:rsidR="005D6618" w:rsidRPr="004363DD" w14:paraId="6C26F987" w14:textId="77777777" w:rsidTr="004363DD">
        <w:trPr>
          <w:jc w:val="center"/>
        </w:trPr>
        <w:tc>
          <w:tcPr>
            <w:tcW w:w="2880" w:type="dxa"/>
          </w:tcPr>
          <w:p w14:paraId="705B8B93" w14:textId="77777777" w:rsidR="005D6618" w:rsidRPr="004363DD" w:rsidRDefault="005D6618" w:rsidP="002A0CB0">
            <w:pPr>
              <w:rPr>
                <w:sz w:val="22"/>
                <w:szCs w:val="22"/>
              </w:rPr>
            </w:pPr>
            <w:r w:rsidRPr="004363DD">
              <w:rPr>
                <w:sz w:val="22"/>
                <w:szCs w:val="22"/>
              </w:rPr>
              <w:t xml:space="preserve">Musshoff </w:t>
            </w:r>
            <w:r w:rsidRPr="004363DD">
              <w:rPr>
                <w:i/>
                <w:sz w:val="22"/>
                <w:szCs w:val="22"/>
              </w:rPr>
              <w:t>et al</w:t>
            </w:r>
            <w:r w:rsidRPr="004363DD">
              <w:rPr>
                <w:sz w:val="22"/>
                <w:szCs w:val="22"/>
              </w:rPr>
              <w:t>., 2003</w:t>
            </w:r>
          </w:p>
        </w:tc>
        <w:tc>
          <w:tcPr>
            <w:tcW w:w="3352" w:type="dxa"/>
          </w:tcPr>
          <w:p w14:paraId="03068962" w14:textId="77777777" w:rsidR="005D6618" w:rsidRPr="004363DD" w:rsidRDefault="005D6618" w:rsidP="002A0CB0">
            <w:pPr>
              <w:rPr>
                <w:sz w:val="22"/>
                <w:szCs w:val="22"/>
              </w:rPr>
            </w:pPr>
            <w:r w:rsidRPr="004363DD">
              <w:rPr>
                <w:sz w:val="22"/>
                <w:szCs w:val="22"/>
              </w:rPr>
              <w:t>Intoxicação pediátrica grave: depressão SNC, coma, bradicardia.</w:t>
            </w:r>
          </w:p>
        </w:tc>
        <w:tc>
          <w:tcPr>
            <w:tcW w:w="2408" w:type="dxa"/>
          </w:tcPr>
          <w:p w14:paraId="2CD11532" w14:textId="77777777" w:rsidR="005D6618" w:rsidRPr="004363DD" w:rsidRDefault="00664FE6" w:rsidP="00664FE6">
            <w:pPr>
              <w:ind w:left="0" w:firstLine="0"/>
              <w:rPr>
                <w:sz w:val="22"/>
                <w:szCs w:val="22"/>
              </w:rPr>
            </w:pPr>
            <w:r w:rsidRPr="004363DD">
              <w:rPr>
                <w:sz w:val="22"/>
                <w:szCs w:val="22"/>
              </w:rPr>
              <w:t xml:space="preserve">Relato de caso forense / clínico </w:t>
            </w:r>
          </w:p>
        </w:tc>
      </w:tr>
      <w:tr w:rsidR="005D6618" w:rsidRPr="004363DD" w14:paraId="75DF1158" w14:textId="77777777" w:rsidTr="004363DD">
        <w:trPr>
          <w:jc w:val="center"/>
        </w:trPr>
        <w:tc>
          <w:tcPr>
            <w:tcW w:w="2880" w:type="dxa"/>
          </w:tcPr>
          <w:p w14:paraId="2E3FA322" w14:textId="77777777" w:rsidR="005D6618" w:rsidRPr="004363DD" w:rsidRDefault="005D6618" w:rsidP="002A0CB0">
            <w:pPr>
              <w:rPr>
                <w:sz w:val="22"/>
                <w:szCs w:val="22"/>
              </w:rPr>
            </w:pPr>
            <w:r w:rsidRPr="004363DD">
              <w:rPr>
                <w:sz w:val="22"/>
                <w:szCs w:val="22"/>
              </w:rPr>
              <w:lastRenderedPageBreak/>
              <w:t xml:space="preserve">Silva </w:t>
            </w:r>
            <w:r w:rsidRPr="004363DD">
              <w:rPr>
                <w:i/>
                <w:sz w:val="22"/>
                <w:szCs w:val="22"/>
              </w:rPr>
              <w:t>et al</w:t>
            </w:r>
            <w:r w:rsidRPr="004363DD">
              <w:rPr>
                <w:sz w:val="22"/>
                <w:szCs w:val="22"/>
              </w:rPr>
              <w:t>., 2024</w:t>
            </w:r>
          </w:p>
        </w:tc>
        <w:tc>
          <w:tcPr>
            <w:tcW w:w="3352" w:type="dxa"/>
          </w:tcPr>
          <w:p w14:paraId="5A622930" w14:textId="77777777" w:rsidR="005D6618" w:rsidRPr="004363DD" w:rsidRDefault="005D6618" w:rsidP="002A0CB0">
            <w:pPr>
              <w:rPr>
                <w:sz w:val="22"/>
                <w:szCs w:val="22"/>
              </w:rPr>
            </w:pPr>
            <w:r w:rsidRPr="004363DD">
              <w:rPr>
                <w:sz w:val="22"/>
                <w:szCs w:val="22"/>
              </w:rPr>
              <w:t>Rinite medicamentosa, efeito rebote, taquicardia, aumento de PA, irritação nasal.</w:t>
            </w:r>
          </w:p>
        </w:tc>
        <w:tc>
          <w:tcPr>
            <w:tcW w:w="2408" w:type="dxa"/>
          </w:tcPr>
          <w:p w14:paraId="02D30E7A" w14:textId="77777777" w:rsidR="005D6618" w:rsidRPr="004363DD" w:rsidRDefault="00664FE6" w:rsidP="002A0CB0">
            <w:pPr>
              <w:rPr>
                <w:sz w:val="22"/>
                <w:szCs w:val="22"/>
                <w:highlight w:val="yellow"/>
              </w:rPr>
            </w:pPr>
            <w:r w:rsidRPr="004363DD">
              <w:rPr>
                <w:sz w:val="22"/>
                <w:szCs w:val="22"/>
              </w:rPr>
              <w:t xml:space="preserve">Revisão bibliográfica </w:t>
            </w:r>
          </w:p>
        </w:tc>
      </w:tr>
      <w:tr w:rsidR="005D6618" w:rsidRPr="004363DD" w14:paraId="03807094" w14:textId="77777777" w:rsidTr="004363DD">
        <w:trPr>
          <w:jc w:val="center"/>
        </w:trPr>
        <w:tc>
          <w:tcPr>
            <w:tcW w:w="2880" w:type="dxa"/>
          </w:tcPr>
          <w:p w14:paraId="09A95190" w14:textId="77777777" w:rsidR="005D6618" w:rsidRPr="004363DD" w:rsidRDefault="005D6618" w:rsidP="002A0CB0">
            <w:pPr>
              <w:rPr>
                <w:sz w:val="22"/>
                <w:szCs w:val="22"/>
              </w:rPr>
            </w:pPr>
            <w:r w:rsidRPr="004363DD">
              <w:rPr>
                <w:sz w:val="22"/>
                <w:szCs w:val="22"/>
              </w:rPr>
              <w:t xml:space="preserve">Morais </w:t>
            </w:r>
            <w:r w:rsidRPr="004363DD">
              <w:rPr>
                <w:i/>
                <w:sz w:val="22"/>
                <w:szCs w:val="22"/>
              </w:rPr>
              <w:t>et al</w:t>
            </w:r>
            <w:r w:rsidRPr="004363DD">
              <w:rPr>
                <w:sz w:val="22"/>
                <w:szCs w:val="22"/>
              </w:rPr>
              <w:t>., 2024</w:t>
            </w:r>
          </w:p>
        </w:tc>
        <w:tc>
          <w:tcPr>
            <w:tcW w:w="3352" w:type="dxa"/>
          </w:tcPr>
          <w:p w14:paraId="3FAABDA1" w14:textId="77777777" w:rsidR="005D6618" w:rsidRPr="004363DD" w:rsidRDefault="005D6618" w:rsidP="002A0CB0">
            <w:pPr>
              <w:rPr>
                <w:sz w:val="22"/>
                <w:szCs w:val="22"/>
              </w:rPr>
            </w:pPr>
            <w:r w:rsidRPr="004363DD">
              <w:rPr>
                <w:sz w:val="22"/>
                <w:szCs w:val="22"/>
              </w:rPr>
              <w:t>Complicações cardiovasculares e neurológicas; dependência fisiológica.</w:t>
            </w:r>
          </w:p>
        </w:tc>
        <w:tc>
          <w:tcPr>
            <w:tcW w:w="2408" w:type="dxa"/>
          </w:tcPr>
          <w:p w14:paraId="1439ABCC" w14:textId="77777777" w:rsidR="005D6618" w:rsidRPr="004363DD" w:rsidRDefault="00664FE6" w:rsidP="002A0CB0">
            <w:pPr>
              <w:rPr>
                <w:sz w:val="22"/>
                <w:szCs w:val="22"/>
                <w:highlight w:val="yellow"/>
              </w:rPr>
            </w:pPr>
            <w:r w:rsidRPr="004363DD">
              <w:rPr>
                <w:sz w:val="22"/>
                <w:szCs w:val="22"/>
              </w:rPr>
              <w:t xml:space="preserve">Artigo revisão / descritivo </w:t>
            </w:r>
          </w:p>
        </w:tc>
      </w:tr>
      <w:tr w:rsidR="005D6618" w:rsidRPr="004363DD" w14:paraId="36E84212" w14:textId="77777777" w:rsidTr="004363DD">
        <w:trPr>
          <w:jc w:val="center"/>
        </w:trPr>
        <w:tc>
          <w:tcPr>
            <w:tcW w:w="2880" w:type="dxa"/>
          </w:tcPr>
          <w:p w14:paraId="716B8B78" w14:textId="77777777" w:rsidR="005D6618" w:rsidRPr="004363DD" w:rsidRDefault="005D6618" w:rsidP="002A0CB0">
            <w:pPr>
              <w:rPr>
                <w:sz w:val="22"/>
                <w:szCs w:val="22"/>
              </w:rPr>
            </w:pPr>
            <w:r w:rsidRPr="004363DD">
              <w:rPr>
                <w:sz w:val="22"/>
                <w:szCs w:val="22"/>
              </w:rPr>
              <w:t xml:space="preserve">Lima </w:t>
            </w:r>
            <w:r w:rsidRPr="004363DD">
              <w:rPr>
                <w:i/>
                <w:sz w:val="22"/>
                <w:szCs w:val="22"/>
              </w:rPr>
              <w:t>et al</w:t>
            </w:r>
            <w:r w:rsidRPr="004363DD">
              <w:rPr>
                <w:sz w:val="22"/>
                <w:szCs w:val="22"/>
              </w:rPr>
              <w:t>., 2021/2024</w:t>
            </w:r>
          </w:p>
        </w:tc>
        <w:tc>
          <w:tcPr>
            <w:tcW w:w="3352" w:type="dxa"/>
          </w:tcPr>
          <w:p w14:paraId="45D27327" w14:textId="77777777" w:rsidR="005D6618" w:rsidRPr="004363DD" w:rsidRDefault="005D6618" w:rsidP="002A0CB0">
            <w:pPr>
              <w:rPr>
                <w:sz w:val="22"/>
                <w:szCs w:val="22"/>
              </w:rPr>
            </w:pPr>
            <w:r w:rsidRPr="004363DD">
              <w:rPr>
                <w:sz w:val="22"/>
                <w:szCs w:val="22"/>
              </w:rPr>
              <w:t>Dependência, intoxicação, rinite medicamentosa.</w:t>
            </w:r>
          </w:p>
        </w:tc>
        <w:tc>
          <w:tcPr>
            <w:tcW w:w="2408" w:type="dxa"/>
          </w:tcPr>
          <w:p w14:paraId="3598830C" w14:textId="77777777" w:rsidR="005D6618" w:rsidRPr="004363DD" w:rsidRDefault="00664FE6" w:rsidP="002A0CB0">
            <w:pPr>
              <w:rPr>
                <w:sz w:val="22"/>
                <w:szCs w:val="22"/>
                <w:highlight w:val="yellow"/>
              </w:rPr>
            </w:pPr>
            <w:r w:rsidRPr="004363DD">
              <w:rPr>
                <w:sz w:val="22"/>
                <w:szCs w:val="22"/>
              </w:rPr>
              <w:t xml:space="preserve">Artigo descritivo / revisão </w:t>
            </w:r>
          </w:p>
        </w:tc>
      </w:tr>
      <w:tr w:rsidR="005D6618" w:rsidRPr="004363DD" w14:paraId="1B447952" w14:textId="77777777" w:rsidTr="004363DD">
        <w:trPr>
          <w:jc w:val="center"/>
        </w:trPr>
        <w:tc>
          <w:tcPr>
            <w:tcW w:w="2880" w:type="dxa"/>
          </w:tcPr>
          <w:p w14:paraId="073B76CC" w14:textId="77777777" w:rsidR="006C1ACE" w:rsidRPr="004363DD" w:rsidRDefault="00C37E6D">
            <w:pPr>
              <w:rPr>
                <w:sz w:val="22"/>
                <w:szCs w:val="22"/>
              </w:rPr>
            </w:pPr>
            <w:r w:rsidRPr="004363DD">
              <w:rPr>
                <w:sz w:val="22"/>
                <w:szCs w:val="22"/>
              </w:rPr>
              <w:t xml:space="preserve">Alharthi </w:t>
            </w:r>
            <w:r w:rsidRPr="004363DD">
              <w:rPr>
                <w:i/>
                <w:sz w:val="22"/>
                <w:szCs w:val="22"/>
              </w:rPr>
              <w:t>et al</w:t>
            </w:r>
            <w:r w:rsidRPr="004363DD">
              <w:rPr>
                <w:sz w:val="22"/>
                <w:szCs w:val="22"/>
              </w:rPr>
              <w:t xml:space="preserve">., 2022 </w:t>
            </w:r>
            <w:r w:rsidRPr="004363DD">
              <w:rPr>
                <w:i/>
                <w:sz w:val="22"/>
                <w:szCs w:val="22"/>
              </w:rPr>
              <w:t>et al</w:t>
            </w:r>
            <w:r w:rsidRPr="004363DD">
              <w:rPr>
                <w:sz w:val="22"/>
                <w:szCs w:val="22"/>
              </w:rPr>
              <w:t>., 2024</w:t>
            </w:r>
          </w:p>
        </w:tc>
        <w:tc>
          <w:tcPr>
            <w:tcW w:w="3352" w:type="dxa"/>
          </w:tcPr>
          <w:p w14:paraId="0F4923D0" w14:textId="77777777" w:rsidR="005D6618" w:rsidRPr="004363DD" w:rsidRDefault="005D6618" w:rsidP="002A0CB0">
            <w:pPr>
              <w:rPr>
                <w:sz w:val="22"/>
                <w:szCs w:val="22"/>
              </w:rPr>
            </w:pPr>
            <w:r w:rsidRPr="004363DD">
              <w:rPr>
                <w:sz w:val="22"/>
                <w:szCs w:val="22"/>
              </w:rPr>
              <w:t>30% relataram efeitos: taquicardia, irritação nasal.</w:t>
            </w:r>
          </w:p>
        </w:tc>
        <w:tc>
          <w:tcPr>
            <w:tcW w:w="2408" w:type="dxa"/>
          </w:tcPr>
          <w:p w14:paraId="03EFA2C8" w14:textId="77777777" w:rsidR="005D6618" w:rsidRPr="004363DD" w:rsidRDefault="00664FE6" w:rsidP="002A0CB0">
            <w:pPr>
              <w:rPr>
                <w:sz w:val="22"/>
                <w:szCs w:val="22"/>
                <w:highlight w:val="yellow"/>
              </w:rPr>
            </w:pPr>
            <w:r w:rsidRPr="004363DD">
              <w:rPr>
                <w:sz w:val="22"/>
                <w:szCs w:val="22"/>
              </w:rPr>
              <w:t xml:space="preserve">Estudo transversal / levantamento de prevalência </w:t>
            </w:r>
          </w:p>
        </w:tc>
      </w:tr>
      <w:tr w:rsidR="005D6618" w:rsidRPr="004363DD" w14:paraId="0D0DA25C" w14:textId="77777777" w:rsidTr="004363DD">
        <w:trPr>
          <w:jc w:val="center"/>
        </w:trPr>
        <w:tc>
          <w:tcPr>
            <w:tcW w:w="2880" w:type="dxa"/>
          </w:tcPr>
          <w:p w14:paraId="2CEF0E24" w14:textId="77777777" w:rsidR="006C1ACE" w:rsidRPr="004363DD" w:rsidRDefault="00C37E6D">
            <w:pPr>
              <w:rPr>
                <w:sz w:val="22"/>
                <w:szCs w:val="22"/>
              </w:rPr>
            </w:pPr>
            <w:r w:rsidRPr="004363DD">
              <w:rPr>
                <w:sz w:val="22"/>
                <w:szCs w:val="22"/>
              </w:rPr>
              <w:t xml:space="preserve">Mokhatrish </w:t>
            </w:r>
            <w:r w:rsidRPr="004363DD">
              <w:rPr>
                <w:i/>
                <w:sz w:val="22"/>
                <w:szCs w:val="22"/>
              </w:rPr>
              <w:t>et al</w:t>
            </w:r>
            <w:r w:rsidRPr="004363DD">
              <w:rPr>
                <w:sz w:val="22"/>
                <w:szCs w:val="22"/>
              </w:rPr>
              <w:t xml:space="preserve">., 2024 </w:t>
            </w:r>
            <w:r w:rsidRPr="004363DD">
              <w:rPr>
                <w:i/>
                <w:sz w:val="22"/>
                <w:szCs w:val="22"/>
              </w:rPr>
              <w:t>et al</w:t>
            </w:r>
            <w:r w:rsidRPr="004363DD">
              <w:rPr>
                <w:sz w:val="22"/>
                <w:szCs w:val="22"/>
              </w:rPr>
              <w:t>., 2022</w:t>
            </w:r>
          </w:p>
        </w:tc>
        <w:tc>
          <w:tcPr>
            <w:tcW w:w="3352" w:type="dxa"/>
          </w:tcPr>
          <w:p w14:paraId="69FE3C43" w14:textId="77777777" w:rsidR="005D6618" w:rsidRPr="004363DD" w:rsidRDefault="005D6618" w:rsidP="002A0CB0">
            <w:pPr>
              <w:rPr>
                <w:sz w:val="22"/>
                <w:szCs w:val="22"/>
              </w:rPr>
            </w:pPr>
            <w:r w:rsidRPr="004363DD">
              <w:rPr>
                <w:sz w:val="22"/>
                <w:szCs w:val="22"/>
              </w:rPr>
              <w:t>Efeito rebote, rinite medicamentosa após &gt;5 dias de uso.</w:t>
            </w:r>
          </w:p>
        </w:tc>
        <w:tc>
          <w:tcPr>
            <w:tcW w:w="2408" w:type="dxa"/>
          </w:tcPr>
          <w:p w14:paraId="595AD797" w14:textId="77777777" w:rsidR="005D6618" w:rsidRPr="004363DD" w:rsidRDefault="00664FE6" w:rsidP="002A0CB0">
            <w:pPr>
              <w:rPr>
                <w:sz w:val="22"/>
                <w:szCs w:val="22"/>
                <w:highlight w:val="yellow"/>
              </w:rPr>
            </w:pPr>
            <w:r w:rsidRPr="004363DD">
              <w:rPr>
                <w:sz w:val="22"/>
                <w:szCs w:val="22"/>
              </w:rPr>
              <w:t xml:space="preserve">Estudo transversal / levantamento entre farmacêuticos </w:t>
            </w:r>
          </w:p>
        </w:tc>
      </w:tr>
      <w:tr w:rsidR="005D6618" w:rsidRPr="004363DD" w14:paraId="5F145060" w14:textId="77777777" w:rsidTr="004363DD">
        <w:trPr>
          <w:jc w:val="center"/>
        </w:trPr>
        <w:tc>
          <w:tcPr>
            <w:tcW w:w="2880" w:type="dxa"/>
          </w:tcPr>
          <w:p w14:paraId="5F1A697A" w14:textId="77777777" w:rsidR="005D6618" w:rsidRPr="004363DD" w:rsidRDefault="005D6618" w:rsidP="002A0CB0">
            <w:pPr>
              <w:rPr>
                <w:sz w:val="22"/>
                <w:szCs w:val="22"/>
              </w:rPr>
            </w:pPr>
            <w:r w:rsidRPr="004363DD">
              <w:rPr>
                <w:sz w:val="22"/>
                <w:szCs w:val="22"/>
              </w:rPr>
              <w:t>Katzung, 2018 / Goodman &amp; Gilman</w:t>
            </w:r>
          </w:p>
        </w:tc>
        <w:tc>
          <w:tcPr>
            <w:tcW w:w="3352" w:type="dxa"/>
          </w:tcPr>
          <w:p w14:paraId="134D6728" w14:textId="77777777" w:rsidR="005D6618" w:rsidRPr="004363DD" w:rsidRDefault="005D6618" w:rsidP="002A0CB0">
            <w:pPr>
              <w:rPr>
                <w:sz w:val="22"/>
                <w:szCs w:val="22"/>
              </w:rPr>
            </w:pPr>
            <w:r w:rsidRPr="004363DD">
              <w:rPr>
                <w:sz w:val="22"/>
                <w:szCs w:val="22"/>
              </w:rPr>
              <w:t>Mecanismo: vasoconstrição α1/α2; efeitos: hipertensão, rinite medicamentosa, rebote.</w:t>
            </w:r>
          </w:p>
        </w:tc>
        <w:tc>
          <w:tcPr>
            <w:tcW w:w="2408" w:type="dxa"/>
          </w:tcPr>
          <w:p w14:paraId="1B7B2A59" w14:textId="40C3F5FC" w:rsidR="005D6618" w:rsidRPr="004363DD" w:rsidRDefault="00664FE6" w:rsidP="002A0CB0">
            <w:pPr>
              <w:rPr>
                <w:sz w:val="22"/>
                <w:szCs w:val="22"/>
              </w:rPr>
            </w:pPr>
            <w:r w:rsidRPr="004363DD">
              <w:rPr>
                <w:sz w:val="22"/>
                <w:szCs w:val="22"/>
              </w:rPr>
              <w:t xml:space="preserve">Livro-texto / </w:t>
            </w:r>
            <w:r w:rsidR="006E5BFE" w:rsidRPr="004363DD">
              <w:rPr>
                <w:sz w:val="22"/>
                <w:szCs w:val="22"/>
              </w:rPr>
              <w:t>capítulo</w:t>
            </w:r>
            <w:r w:rsidRPr="004363DD">
              <w:rPr>
                <w:sz w:val="22"/>
                <w:szCs w:val="22"/>
              </w:rPr>
              <w:t xml:space="preserve"> de farmacologia </w:t>
            </w:r>
          </w:p>
        </w:tc>
      </w:tr>
      <w:tr w:rsidR="005D6618" w:rsidRPr="004363DD" w14:paraId="13DEDB47" w14:textId="77777777" w:rsidTr="004363DD">
        <w:trPr>
          <w:jc w:val="center"/>
        </w:trPr>
        <w:tc>
          <w:tcPr>
            <w:tcW w:w="2880" w:type="dxa"/>
          </w:tcPr>
          <w:p w14:paraId="20E218F0" w14:textId="77777777" w:rsidR="005D6618" w:rsidRPr="004363DD" w:rsidRDefault="005D6618" w:rsidP="002A0CB0">
            <w:pPr>
              <w:rPr>
                <w:sz w:val="22"/>
                <w:szCs w:val="22"/>
              </w:rPr>
            </w:pPr>
            <w:r w:rsidRPr="004363DD">
              <w:rPr>
                <w:sz w:val="22"/>
                <w:szCs w:val="22"/>
              </w:rPr>
              <w:t xml:space="preserve">Sousa </w:t>
            </w:r>
            <w:r w:rsidRPr="004363DD">
              <w:rPr>
                <w:i/>
                <w:sz w:val="22"/>
                <w:szCs w:val="22"/>
              </w:rPr>
              <w:t>et al</w:t>
            </w:r>
            <w:r w:rsidRPr="004363DD">
              <w:rPr>
                <w:sz w:val="22"/>
                <w:szCs w:val="22"/>
              </w:rPr>
              <w:t>., 2021</w:t>
            </w:r>
          </w:p>
        </w:tc>
        <w:tc>
          <w:tcPr>
            <w:tcW w:w="3352" w:type="dxa"/>
          </w:tcPr>
          <w:p w14:paraId="1CE368E2" w14:textId="77777777" w:rsidR="005D6618" w:rsidRPr="004363DD" w:rsidRDefault="005D6618" w:rsidP="002A0CB0">
            <w:pPr>
              <w:rPr>
                <w:sz w:val="22"/>
                <w:szCs w:val="22"/>
              </w:rPr>
            </w:pPr>
            <w:r w:rsidRPr="004363DD">
              <w:rPr>
                <w:sz w:val="22"/>
                <w:szCs w:val="22"/>
              </w:rPr>
              <w:t>Dependência após uso prolongado (&gt;6 meses).</w:t>
            </w:r>
          </w:p>
        </w:tc>
        <w:tc>
          <w:tcPr>
            <w:tcW w:w="2408" w:type="dxa"/>
          </w:tcPr>
          <w:p w14:paraId="5B3B7AB2" w14:textId="77777777" w:rsidR="005D6618" w:rsidRPr="004363DD" w:rsidRDefault="00664FE6" w:rsidP="002A0CB0">
            <w:pPr>
              <w:rPr>
                <w:sz w:val="22"/>
                <w:szCs w:val="22"/>
              </w:rPr>
            </w:pPr>
            <w:r w:rsidRPr="004363DD">
              <w:rPr>
                <w:sz w:val="22"/>
                <w:szCs w:val="22"/>
              </w:rPr>
              <w:t xml:space="preserve">Trabalho de Conclusão de Curso (TCC) / Estudo local  </w:t>
            </w:r>
          </w:p>
        </w:tc>
      </w:tr>
    </w:tbl>
    <w:p w14:paraId="678EF9BF" w14:textId="77777777" w:rsidR="00450CB7" w:rsidRPr="0072627E" w:rsidRDefault="008B2384" w:rsidP="004363DD">
      <w:pPr>
        <w:spacing w:line="360" w:lineRule="auto"/>
        <w:rPr>
          <w:color w:val="000000" w:themeColor="text1"/>
          <w:sz w:val="20"/>
          <w:szCs w:val="20"/>
        </w:rPr>
      </w:pPr>
      <w:r w:rsidRPr="0072627E">
        <w:rPr>
          <w:b/>
          <w:sz w:val="20"/>
          <w:szCs w:val="20"/>
        </w:rPr>
        <w:t>Legenda:</w:t>
      </w:r>
      <w:r w:rsidR="004363DD">
        <w:rPr>
          <w:b/>
          <w:sz w:val="20"/>
          <w:szCs w:val="20"/>
        </w:rPr>
        <w:t xml:space="preserve"> </w:t>
      </w:r>
      <w:r w:rsidRPr="0072627E">
        <w:rPr>
          <w:color w:val="000000" w:themeColor="text1"/>
          <w:sz w:val="20"/>
          <w:szCs w:val="20"/>
        </w:rPr>
        <w:t xml:space="preserve">SNC: Sistema Nervoso Central; PA: </w:t>
      </w:r>
      <w:r w:rsidR="00883E87" w:rsidRPr="0072627E">
        <w:rPr>
          <w:color w:val="000000" w:themeColor="text1"/>
          <w:sz w:val="20"/>
          <w:szCs w:val="20"/>
        </w:rPr>
        <w:t>Pressão Alta; PUC: Pontifícia Universidade Católica de Goiás.</w:t>
      </w:r>
      <w:r w:rsidR="004363DD">
        <w:rPr>
          <w:color w:val="000000" w:themeColor="text1"/>
          <w:sz w:val="20"/>
          <w:szCs w:val="20"/>
        </w:rPr>
        <w:t xml:space="preserve"> </w:t>
      </w:r>
      <w:r w:rsidR="004363DD" w:rsidRPr="004363DD">
        <w:rPr>
          <w:b/>
          <w:color w:val="000000" w:themeColor="text1"/>
          <w:sz w:val="20"/>
          <w:szCs w:val="20"/>
        </w:rPr>
        <w:t>Fonte:</w:t>
      </w:r>
      <w:r w:rsidR="004363DD">
        <w:rPr>
          <w:color w:val="000000" w:themeColor="text1"/>
          <w:sz w:val="20"/>
          <w:szCs w:val="20"/>
        </w:rPr>
        <w:t xml:space="preserve"> dados dos autores (2025).</w:t>
      </w:r>
    </w:p>
    <w:p w14:paraId="7310151C" w14:textId="77777777" w:rsidR="006C296A" w:rsidRPr="0072627E" w:rsidRDefault="006C296A" w:rsidP="00450CB7">
      <w:pPr>
        <w:ind w:left="0" w:firstLine="0"/>
        <w:jc w:val="left"/>
        <w:rPr>
          <w:b/>
          <w:bCs/>
        </w:rPr>
      </w:pPr>
    </w:p>
    <w:p w14:paraId="4B06D59F" w14:textId="77777777" w:rsidR="006C296A" w:rsidRPr="0072627E" w:rsidRDefault="006C296A" w:rsidP="00450CB7">
      <w:pPr>
        <w:spacing w:line="360" w:lineRule="auto"/>
        <w:ind w:left="0" w:firstLine="0"/>
        <w:rPr>
          <w:sz w:val="20"/>
          <w:szCs w:val="20"/>
        </w:rPr>
      </w:pPr>
    </w:p>
    <w:p w14:paraId="603E17BE" w14:textId="77777777" w:rsidR="00E8481A" w:rsidRPr="0072627E" w:rsidRDefault="00A93301" w:rsidP="004363DD">
      <w:pPr>
        <w:pStyle w:val="Ttulo2"/>
      </w:pPr>
      <w:bookmarkStart w:id="8" w:name="_Toc211152526"/>
      <w:r>
        <w:t>3</w:t>
      </w:r>
      <w:r w:rsidR="00E8481A" w:rsidRPr="0072627E">
        <w:t>.2 Fatores que contribuem com a automedicação com nafazolina</w:t>
      </w:r>
      <w:bookmarkEnd w:id="8"/>
    </w:p>
    <w:p w14:paraId="4921ABD7" w14:textId="77777777" w:rsidR="004363DD" w:rsidRDefault="004363DD" w:rsidP="004363DD">
      <w:pPr>
        <w:spacing w:line="360" w:lineRule="auto"/>
        <w:ind w:firstLine="699"/>
        <w:rPr>
          <w:color w:val="000000" w:themeColor="text1"/>
        </w:rPr>
      </w:pPr>
    </w:p>
    <w:p w14:paraId="2BCA2C73" w14:textId="1621FAA9" w:rsidR="000D48E6" w:rsidRPr="004363DD" w:rsidRDefault="008B2384" w:rsidP="004363DD">
      <w:pPr>
        <w:spacing w:line="360" w:lineRule="auto"/>
        <w:ind w:firstLine="699"/>
      </w:pPr>
      <w:r w:rsidRPr="004363DD">
        <w:rPr>
          <w:color w:val="000000" w:themeColor="text1"/>
        </w:rPr>
        <w:t>Os e</w:t>
      </w:r>
      <w:r w:rsidR="00BE7A68" w:rsidRPr="004363DD">
        <w:rPr>
          <w:color w:val="000000" w:themeColor="text1"/>
        </w:rPr>
        <w:t>studos demonstra</w:t>
      </w:r>
      <w:r w:rsidRPr="004363DD">
        <w:rPr>
          <w:color w:val="000000" w:themeColor="text1"/>
        </w:rPr>
        <w:t>ram</w:t>
      </w:r>
      <w:r w:rsidR="00BE7A68" w:rsidRPr="004363DD">
        <w:rPr>
          <w:color w:val="000000" w:themeColor="text1"/>
        </w:rPr>
        <w:t xml:space="preserve"> que a automedicação é um fenômeno consolidado no Brasil e encontra terreno fértil para o uso de descongestionantes </w:t>
      </w:r>
      <w:r w:rsidR="006E5BFE" w:rsidRPr="004363DD">
        <w:rPr>
          <w:color w:val="000000" w:themeColor="text1"/>
        </w:rPr>
        <w:t>nasais.</w:t>
      </w:r>
      <w:r w:rsidR="006E5BFE" w:rsidRPr="004363DD">
        <w:t xml:space="preserve"> No</w:t>
      </w:r>
      <w:r w:rsidR="0016603B" w:rsidRPr="004363DD">
        <w:t xml:space="preserve"> caso da </w:t>
      </w:r>
      <w:proofErr w:type="spellStart"/>
      <w:r w:rsidR="0016603B" w:rsidRPr="004363DD">
        <w:t>nafazo</w:t>
      </w:r>
      <w:r w:rsidR="00705DB1" w:rsidRPr="004363DD">
        <w:t>lina</w:t>
      </w:r>
      <w:proofErr w:type="spellEnd"/>
      <w:r w:rsidR="00705DB1" w:rsidRPr="004363DD">
        <w:t>, os fatores motivadores foram</w:t>
      </w:r>
      <w:r w:rsidR="0016603B" w:rsidRPr="004363DD">
        <w:t xml:space="preserve"> múltiplos: acesso irrestrito, preço baixo, alívio imediato dos sintomas e, principalmente, a falsa percepção de segurança por se</w:t>
      </w:r>
      <w:r w:rsidR="00705DB1" w:rsidRPr="004363DD">
        <w:t xml:space="preserve">r um medicamento de venda </w:t>
      </w:r>
      <w:proofErr w:type="gramStart"/>
      <w:r w:rsidR="00705DB1" w:rsidRPr="004363DD">
        <w:t>livr</w:t>
      </w:r>
      <w:r w:rsidR="006E5BFE">
        <w:t>e(</w:t>
      </w:r>
      <w:proofErr w:type="gramEnd"/>
      <w:r w:rsidR="006E5BFE">
        <w:t>Viana et al.2024)</w:t>
      </w:r>
    </w:p>
    <w:p w14:paraId="06180D59" w14:textId="77777777" w:rsidR="006C296A" w:rsidRPr="004363DD" w:rsidRDefault="0016603B" w:rsidP="004363DD">
      <w:pPr>
        <w:spacing w:line="360" w:lineRule="auto"/>
        <w:ind w:firstLine="699"/>
      </w:pPr>
      <w:r w:rsidRPr="004363DD">
        <w:t xml:space="preserve">Além disso, </w:t>
      </w:r>
      <w:r w:rsidR="004E1414" w:rsidRPr="004363DD">
        <w:rPr>
          <w:color w:val="000000" w:themeColor="text1"/>
        </w:rPr>
        <w:t>observou-se</w:t>
      </w:r>
      <w:r w:rsidR="00705DB1" w:rsidRPr="004363DD">
        <w:rPr>
          <w:color w:val="000000" w:themeColor="text1"/>
        </w:rPr>
        <w:t>, também,</w:t>
      </w:r>
      <w:r w:rsidR="004E1414" w:rsidRPr="004363DD">
        <w:rPr>
          <w:color w:val="000000" w:themeColor="text1"/>
        </w:rPr>
        <w:t xml:space="preserve"> que </w:t>
      </w:r>
      <w:r w:rsidRPr="004363DD">
        <w:t>aspectos socioculturais ampliam a prática</w:t>
      </w:r>
      <w:r w:rsidR="00705DB1" w:rsidRPr="004363DD">
        <w:t xml:space="preserve"> da automedicação, por exemplo</w:t>
      </w:r>
      <w:r w:rsidRPr="004363DD">
        <w:t xml:space="preserve"> recomendações de familiares e amigos sem formação técnica frequentemente substituem a consulta médica, perpetuando o uso inadequado</w:t>
      </w:r>
      <w:r w:rsidR="004E1414" w:rsidRPr="004363DD">
        <w:t xml:space="preserve"> (Quadro 2)</w:t>
      </w:r>
      <w:r w:rsidRPr="004363DD">
        <w:t xml:space="preserve">. </w:t>
      </w:r>
    </w:p>
    <w:p w14:paraId="63C4D371" w14:textId="77777777" w:rsidR="005D6618" w:rsidRPr="0072627E" w:rsidRDefault="005D6618" w:rsidP="004E1414">
      <w:pPr>
        <w:spacing w:line="360" w:lineRule="auto"/>
        <w:rPr>
          <w:b/>
          <w:bCs/>
        </w:rPr>
      </w:pPr>
    </w:p>
    <w:p w14:paraId="10F0742A" w14:textId="77777777" w:rsidR="004E1414" w:rsidRPr="004363DD" w:rsidRDefault="004363DD" w:rsidP="004363DD">
      <w:pPr>
        <w:spacing w:line="360" w:lineRule="auto"/>
        <w:ind w:left="0" w:firstLine="0"/>
        <w:jc w:val="center"/>
        <w:rPr>
          <w:color w:val="000000" w:themeColor="text1"/>
          <w:sz w:val="22"/>
          <w:szCs w:val="22"/>
        </w:rPr>
      </w:pPr>
      <w:r w:rsidRPr="004363DD">
        <w:rPr>
          <w:b/>
          <w:bCs/>
          <w:color w:val="000000" w:themeColor="text1"/>
          <w:sz w:val="22"/>
          <w:szCs w:val="22"/>
        </w:rPr>
        <w:t>Quadro 2.</w:t>
      </w:r>
      <w:r w:rsidR="004E1414" w:rsidRPr="004363DD">
        <w:rPr>
          <w:b/>
          <w:bCs/>
          <w:color w:val="000000" w:themeColor="text1"/>
          <w:sz w:val="22"/>
          <w:szCs w:val="22"/>
        </w:rPr>
        <w:t xml:space="preserve"> </w:t>
      </w:r>
      <w:r w:rsidR="004E1414" w:rsidRPr="004363DD">
        <w:rPr>
          <w:color w:val="000000" w:themeColor="text1"/>
          <w:sz w:val="22"/>
          <w:szCs w:val="22"/>
        </w:rPr>
        <w:t>Principais informações sobre os fatores que contribuem com a automedicação de descongestionantes nasais com cloridrato de nafazolina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0"/>
        <w:gridCol w:w="2880"/>
        <w:gridCol w:w="2880"/>
      </w:tblGrid>
      <w:tr w:rsidR="005D6618" w:rsidRPr="004363DD" w14:paraId="79F457DE" w14:textId="77777777" w:rsidTr="004363DD">
        <w:trPr>
          <w:jc w:val="center"/>
        </w:trPr>
        <w:tc>
          <w:tcPr>
            <w:tcW w:w="3220" w:type="dxa"/>
          </w:tcPr>
          <w:p w14:paraId="73A52820" w14:textId="77777777" w:rsidR="005D6618" w:rsidRPr="004363DD" w:rsidRDefault="004E1414" w:rsidP="002A0CB0">
            <w:pPr>
              <w:rPr>
                <w:rFonts w:cs="Arial"/>
                <w:b/>
                <w:sz w:val="22"/>
                <w:szCs w:val="22"/>
              </w:rPr>
            </w:pPr>
            <w:r w:rsidRPr="004363DD">
              <w:rPr>
                <w:rFonts w:cs="Arial"/>
                <w:b/>
                <w:sz w:val="22"/>
                <w:szCs w:val="22"/>
              </w:rPr>
              <w:t>Autor / Fonte</w:t>
            </w:r>
          </w:p>
        </w:tc>
        <w:tc>
          <w:tcPr>
            <w:tcW w:w="2880" w:type="dxa"/>
          </w:tcPr>
          <w:p w14:paraId="22014EA9" w14:textId="77777777" w:rsidR="005D6618" w:rsidRPr="004363DD" w:rsidRDefault="005D6618" w:rsidP="002A0CB0">
            <w:pPr>
              <w:rPr>
                <w:rFonts w:cs="Arial"/>
                <w:b/>
                <w:sz w:val="22"/>
                <w:szCs w:val="22"/>
              </w:rPr>
            </w:pPr>
            <w:r w:rsidRPr="004363DD">
              <w:rPr>
                <w:rFonts w:cs="Arial"/>
                <w:b/>
                <w:sz w:val="22"/>
                <w:szCs w:val="22"/>
              </w:rPr>
              <w:t>Fatores associados à automedicação</w:t>
            </w:r>
          </w:p>
        </w:tc>
        <w:tc>
          <w:tcPr>
            <w:tcW w:w="2880" w:type="dxa"/>
          </w:tcPr>
          <w:p w14:paraId="2733669D" w14:textId="77777777" w:rsidR="005D6618" w:rsidRPr="004363DD" w:rsidRDefault="004E1414" w:rsidP="002A0CB0">
            <w:pPr>
              <w:rPr>
                <w:rFonts w:cs="Arial"/>
                <w:b/>
                <w:sz w:val="22"/>
                <w:szCs w:val="22"/>
              </w:rPr>
            </w:pPr>
            <w:r w:rsidRPr="004363DD">
              <w:rPr>
                <w:rFonts w:cs="Arial"/>
                <w:b/>
                <w:sz w:val="22"/>
                <w:szCs w:val="22"/>
              </w:rPr>
              <w:t>Tipo de estudo</w:t>
            </w:r>
          </w:p>
        </w:tc>
      </w:tr>
      <w:tr w:rsidR="005D6618" w:rsidRPr="004363DD" w14:paraId="50E3172E" w14:textId="77777777" w:rsidTr="004363DD">
        <w:trPr>
          <w:jc w:val="center"/>
        </w:trPr>
        <w:tc>
          <w:tcPr>
            <w:tcW w:w="3220" w:type="dxa"/>
          </w:tcPr>
          <w:p w14:paraId="2DDBE0C0" w14:textId="77777777" w:rsidR="005D6618" w:rsidRPr="004363DD" w:rsidRDefault="005D6618" w:rsidP="002A0CB0">
            <w:pPr>
              <w:rPr>
                <w:rFonts w:cs="Arial"/>
                <w:sz w:val="22"/>
                <w:szCs w:val="22"/>
              </w:rPr>
            </w:pPr>
            <w:r w:rsidRPr="004363DD">
              <w:rPr>
                <w:rFonts w:cs="Arial"/>
                <w:sz w:val="22"/>
                <w:szCs w:val="22"/>
              </w:rPr>
              <w:lastRenderedPageBreak/>
              <w:t xml:space="preserve">Silva </w:t>
            </w:r>
            <w:r w:rsidRPr="004363DD">
              <w:rPr>
                <w:rFonts w:cs="Arial"/>
                <w:i/>
                <w:sz w:val="22"/>
                <w:szCs w:val="22"/>
              </w:rPr>
              <w:t>et al</w:t>
            </w:r>
            <w:r w:rsidRPr="004363DD">
              <w:rPr>
                <w:rFonts w:cs="Arial"/>
                <w:sz w:val="22"/>
                <w:szCs w:val="22"/>
              </w:rPr>
              <w:t>., 2024</w:t>
            </w:r>
            <w:r w:rsidR="004E1414" w:rsidRPr="004363DD">
              <w:rPr>
                <w:rFonts w:cs="Arial"/>
                <w:sz w:val="22"/>
                <w:szCs w:val="22"/>
              </w:rPr>
              <w:t xml:space="preserve"> / ScientificElectronicArchives, 2024</w:t>
            </w:r>
          </w:p>
        </w:tc>
        <w:tc>
          <w:tcPr>
            <w:tcW w:w="2880" w:type="dxa"/>
          </w:tcPr>
          <w:p w14:paraId="6749FE63" w14:textId="77777777" w:rsidR="005D6618" w:rsidRPr="004363DD" w:rsidRDefault="005D6618" w:rsidP="002A0CB0">
            <w:pPr>
              <w:rPr>
                <w:rFonts w:cs="Arial"/>
                <w:sz w:val="22"/>
                <w:szCs w:val="22"/>
              </w:rPr>
            </w:pPr>
            <w:r w:rsidRPr="004363DD">
              <w:rPr>
                <w:rFonts w:cs="Arial"/>
                <w:sz w:val="22"/>
                <w:szCs w:val="22"/>
              </w:rPr>
              <w:t>Acesso livre em farmácias; percepção de baixo risco; cultura de automedicação para rinite e resfriados.</w:t>
            </w:r>
          </w:p>
        </w:tc>
        <w:tc>
          <w:tcPr>
            <w:tcW w:w="2880" w:type="dxa"/>
          </w:tcPr>
          <w:p w14:paraId="1CB11799" w14:textId="77777777" w:rsidR="005D6618" w:rsidRPr="004363DD" w:rsidRDefault="003D7826" w:rsidP="002A0CB0">
            <w:pPr>
              <w:rPr>
                <w:rFonts w:cs="Arial"/>
                <w:sz w:val="22"/>
                <w:szCs w:val="22"/>
              </w:rPr>
            </w:pPr>
            <w:r w:rsidRPr="004363DD">
              <w:rPr>
                <w:rFonts w:cs="Arial"/>
                <w:sz w:val="22"/>
                <w:szCs w:val="22"/>
              </w:rPr>
              <w:t xml:space="preserve">Revisão de literatura </w:t>
            </w:r>
          </w:p>
        </w:tc>
      </w:tr>
      <w:tr w:rsidR="005D6618" w:rsidRPr="004363DD" w14:paraId="4DDEAB85" w14:textId="77777777" w:rsidTr="004363DD">
        <w:trPr>
          <w:jc w:val="center"/>
        </w:trPr>
        <w:tc>
          <w:tcPr>
            <w:tcW w:w="3220" w:type="dxa"/>
          </w:tcPr>
          <w:p w14:paraId="32FD2E4E" w14:textId="77777777" w:rsidR="005D6618" w:rsidRPr="004363DD" w:rsidRDefault="005D6618" w:rsidP="002A0CB0">
            <w:pPr>
              <w:rPr>
                <w:rFonts w:cs="Arial"/>
                <w:sz w:val="22"/>
                <w:szCs w:val="22"/>
              </w:rPr>
            </w:pPr>
            <w:r w:rsidRPr="004363DD">
              <w:rPr>
                <w:rFonts w:cs="Arial"/>
                <w:sz w:val="22"/>
                <w:szCs w:val="22"/>
              </w:rPr>
              <w:t xml:space="preserve">Morais </w:t>
            </w:r>
            <w:r w:rsidRPr="004363DD">
              <w:rPr>
                <w:rFonts w:cs="Arial"/>
                <w:i/>
                <w:sz w:val="22"/>
                <w:szCs w:val="22"/>
              </w:rPr>
              <w:t>et al</w:t>
            </w:r>
            <w:r w:rsidRPr="004363DD">
              <w:rPr>
                <w:rFonts w:cs="Arial"/>
                <w:sz w:val="22"/>
                <w:szCs w:val="22"/>
              </w:rPr>
              <w:t>., 2024</w:t>
            </w:r>
            <w:r w:rsidR="004E1414" w:rsidRPr="004363DD">
              <w:rPr>
                <w:rFonts w:cs="Arial"/>
                <w:sz w:val="22"/>
                <w:szCs w:val="22"/>
              </w:rPr>
              <w:t xml:space="preserve"> / Revista Master, 2024</w:t>
            </w:r>
          </w:p>
        </w:tc>
        <w:tc>
          <w:tcPr>
            <w:tcW w:w="2880" w:type="dxa"/>
          </w:tcPr>
          <w:p w14:paraId="35E64412" w14:textId="77777777" w:rsidR="005D6618" w:rsidRPr="004363DD" w:rsidRDefault="005D6618" w:rsidP="002A0CB0">
            <w:pPr>
              <w:rPr>
                <w:rFonts w:cs="Arial"/>
                <w:sz w:val="22"/>
                <w:szCs w:val="22"/>
              </w:rPr>
            </w:pPr>
            <w:r w:rsidRPr="004363DD">
              <w:rPr>
                <w:rFonts w:cs="Arial"/>
                <w:sz w:val="22"/>
                <w:szCs w:val="22"/>
              </w:rPr>
              <w:t>Banalização cultural do uso; ausência de prescrição obrigatória; baixo custo.</w:t>
            </w:r>
          </w:p>
        </w:tc>
        <w:tc>
          <w:tcPr>
            <w:tcW w:w="2880" w:type="dxa"/>
          </w:tcPr>
          <w:p w14:paraId="5DCE494B" w14:textId="77777777" w:rsidR="005D6618" w:rsidRPr="004363DD" w:rsidRDefault="003D7826" w:rsidP="002A0CB0">
            <w:pPr>
              <w:rPr>
                <w:rFonts w:cs="Arial"/>
                <w:sz w:val="22"/>
                <w:szCs w:val="22"/>
              </w:rPr>
            </w:pPr>
            <w:r w:rsidRPr="004363DD">
              <w:rPr>
                <w:rFonts w:cs="Arial"/>
                <w:sz w:val="22"/>
                <w:szCs w:val="22"/>
              </w:rPr>
              <w:t>Artigo revisão / descritivo</w:t>
            </w:r>
          </w:p>
        </w:tc>
      </w:tr>
      <w:tr w:rsidR="005D6618" w:rsidRPr="004363DD" w14:paraId="370EC49E" w14:textId="77777777" w:rsidTr="004363DD">
        <w:trPr>
          <w:jc w:val="center"/>
        </w:trPr>
        <w:tc>
          <w:tcPr>
            <w:tcW w:w="3220" w:type="dxa"/>
          </w:tcPr>
          <w:p w14:paraId="7266EF05" w14:textId="77777777" w:rsidR="005D6618" w:rsidRPr="004363DD" w:rsidRDefault="005D6618" w:rsidP="002A0CB0">
            <w:pPr>
              <w:rPr>
                <w:rFonts w:cs="Arial"/>
                <w:sz w:val="22"/>
                <w:szCs w:val="22"/>
              </w:rPr>
            </w:pPr>
            <w:r w:rsidRPr="004363DD">
              <w:rPr>
                <w:rFonts w:cs="Arial"/>
                <w:sz w:val="22"/>
                <w:szCs w:val="22"/>
              </w:rPr>
              <w:t xml:space="preserve">Lima </w:t>
            </w:r>
            <w:r w:rsidRPr="004363DD">
              <w:rPr>
                <w:rFonts w:cs="Arial"/>
                <w:i/>
                <w:sz w:val="22"/>
                <w:szCs w:val="22"/>
              </w:rPr>
              <w:t>et al</w:t>
            </w:r>
            <w:r w:rsidRPr="004363DD">
              <w:rPr>
                <w:rFonts w:cs="Arial"/>
                <w:sz w:val="22"/>
                <w:szCs w:val="22"/>
              </w:rPr>
              <w:t>., 2021/2024</w:t>
            </w:r>
            <w:r w:rsidR="004E1414" w:rsidRPr="004363DD">
              <w:rPr>
                <w:rFonts w:cs="Arial"/>
                <w:sz w:val="22"/>
                <w:szCs w:val="22"/>
              </w:rPr>
              <w:t xml:space="preserve"> / Research, Society andDevelopment, 2021/2024</w:t>
            </w:r>
          </w:p>
        </w:tc>
        <w:tc>
          <w:tcPr>
            <w:tcW w:w="2880" w:type="dxa"/>
          </w:tcPr>
          <w:p w14:paraId="71EC8D9F" w14:textId="77777777" w:rsidR="005D6618" w:rsidRPr="004363DD" w:rsidRDefault="005D6618" w:rsidP="002A0CB0">
            <w:pPr>
              <w:rPr>
                <w:rFonts w:cs="Arial"/>
                <w:sz w:val="22"/>
                <w:szCs w:val="22"/>
              </w:rPr>
            </w:pPr>
            <w:r w:rsidRPr="004363DD">
              <w:rPr>
                <w:rFonts w:cs="Arial"/>
                <w:sz w:val="22"/>
                <w:szCs w:val="22"/>
              </w:rPr>
              <w:t>Venda sem prescrição; fácil aquisição; crença de segurança; influência familiar.</w:t>
            </w:r>
          </w:p>
        </w:tc>
        <w:tc>
          <w:tcPr>
            <w:tcW w:w="2880" w:type="dxa"/>
          </w:tcPr>
          <w:p w14:paraId="1B0201E1" w14:textId="77777777" w:rsidR="005D6618" w:rsidRPr="004363DD" w:rsidRDefault="003D7826" w:rsidP="002A0CB0">
            <w:pPr>
              <w:rPr>
                <w:rFonts w:cs="Arial"/>
                <w:sz w:val="22"/>
                <w:szCs w:val="22"/>
              </w:rPr>
            </w:pPr>
            <w:r w:rsidRPr="004363DD">
              <w:rPr>
                <w:rFonts w:cs="Arial"/>
                <w:sz w:val="22"/>
                <w:szCs w:val="22"/>
              </w:rPr>
              <w:t xml:space="preserve"> Artigo revisão / descritivo</w:t>
            </w:r>
          </w:p>
        </w:tc>
      </w:tr>
      <w:tr w:rsidR="005D6618" w:rsidRPr="004363DD" w14:paraId="122B82E4" w14:textId="77777777" w:rsidTr="004363DD">
        <w:trPr>
          <w:jc w:val="center"/>
        </w:trPr>
        <w:tc>
          <w:tcPr>
            <w:tcW w:w="3220" w:type="dxa"/>
          </w:tcPr>
          <w:p w14:paraId="4C99BDDC" w14:textId="77777777" w:rsidR="006C1ACE" w:rsidRPr="004363DD" w:rsidRDefault="00C37E6D">
            <w:pPr>
              <w:rPr>
                <w:sz w:val="22"/>
                <w:szCs w:val="22"/>
              </w:rPr>
            </w:pPr>
            <w:r w:rsidRPr="004363DD">
              <w:rPr>
                <w:sz w:val="22"/>
                <w:szCs w:val="22"/>
              </w:rPr>
              <w:t xml:space="preserve">Alharthi </w:t>
            </w:r>
            <w:r w:rsidRPr="004363DD">
              <w:rPr>
                <w:i/>
                <w:sz w:val="22"/>
                <w:szCs w:val="22"/>
              </w:rPr>
              <w:t>et al</w:t>
            </w:r>
            <w:r w:rsidRPr="004363DD">
              <w:rPr>
                <w:sz w:val="22"/>
                <w:szCs w:val="22"/>
              </w:rPr>
              <w:t xml:space="preserve">., 2022 </w:t>
            </w:r>
            <w:r w:rsidRPr="004363DD">
              <w:rPr>
                <w:i/>
                <w:sz w:val="22"/>
                <w:szCs w:val="22"/>
              </w:rPr>
              <w:t>et al</w:t>
            </w:r>
            <w:r w:rsidRPr="004363DD">
              <w:rPr>
                <w:sz w:val="22"/>
                <w:szCs w:val="22"/>
              </w:rPr>
              <w:t>., 2024</w:t>
            </w:r>
            <w:r w:rsidR="004E1414" w:rsidRPr="004363DD">
              <w:rPr>
                <w:sz w:val="22"/>
                <w:szCs w:val="22"/>
              </w:rPr>
              <w:t xml:space="preserve"> /</w:t>
            </w:r>
            <w:r w:rsidR="004E1414" w:rsidRPr="004363DD">
              <w:rPr>
                <w:rFonts w:cs="Arial"/>
                <w:sz w:val="22"/>
                <w:szCs w:val="22"/>
              </w:rPr>
              <w:t>Cureus, 2024</w:t>
            </w:r>
          </w:p>
        </w:tc>
        <w:tc>
          <w:tcPr>
            <w:tcW w:w="2880" w:type="dxa"/>
          </w:tcPr>
          <w:p w14:paraId="4115804E" w14:textId="7CA2FD90" w:rsidR="005D6618" w:rsidRPr="006E5BFE" w:rsidRDefault="006E5BFE" w:rsidP="006E5BFE">
            <w:r w:rsidRPr="006E5BFE">
              <w:t>A</w:t>
            </w:r>
            <w:r w:rsidR="005D6618" w:rsidRPr="006E5BFE">
              <w:t>utomedicação comum em estudantes</w:t>
            </w:r>
            <w:r w:rsidRPr="006E5BFE">
              <w:t xml:space="preserve"> </w:t>
            </w:r>
            <w:r w:rsidR="005D6618" w:rsidRPr="006E5BFE">
              <w:t>e jovens adultos.</w:t>
            </w:r>
          </w:p>
        </w:tc>
        <w:tc>
          <w:tcPr>
            <w:tcW w:w="2880" w:type="dxa"/>
          </w:tcPr>
          <w:p w14:paraId="70E812F0" w14:textId="77777777" w:rsidR="005D6618" w:rsidRPr="006E5BFE" w:rsidRDefault="003D7826" w:rsidP="006E5BFE">
            <w:r w:rsidRPr="006E5BFE">
              <w:t xml:space="preserve">Estudo transversal (levantamento de prevalência) </w:t>
            </w:r>
          </w:p>
        </w:tc>
      </w:tr>
      <w:tr w:rsidR="005D6618" w:rsidRPr="004363DD" w14:paraId="3D4550EC" w14:textId="77777777" w:rsidTr="004363DD">
        <w:trPr>
          <w:jc w:val="center"/>
        </w:trPr>
        <w:tc>
          <w:tcPr>
            <w:tcW w:w="3220" w:type="dxa"/>
          </w:tcPr>
          <w:p w14:paraId="2A49287D" w14:textId="77777777" w:rsidR="005D6618" w:rsidRPr="004363DD" w:rsidRDefault="005D6618" w:rsidP="002A0CB0">
            <w:pPr>
              <w:rPr>
                <w:rFonts w:cs="Arial"/>
                <w:sz w:val="22"/>
                <w:szCs w:val="22"/>
              </w:rPr>
            </w:pPr>
            <w:r w:rsidRPr="004363DD">
              <w:rPr>
                <w:rFonts w:cs="Arial"/>
                <w:sz w:val="22"/>
                <w:szCs w:val="22"/>
              </w:rPr>
              <w:t xml:space="preserve">Sousa </w:t>
            </w:r>
            <w:r w:rsidRPr="004363DD">
              <w:rPr>
                <w:rFonts w:cs="Arial"/>
                <w:i/>
                <w:sz w:val="22"/>
                <w:szCs w:val="22"/>
              </w:rPr>
              <w:t>et al</w:t>
            </w:r>
            <w:r w:rsidRPr="004363DD">
              <w:rPr>
                <w:rFonts w:cs="Arial"/>
                <w:sz w:val="22"/>
                <w:szCs w:val="22"/>
              </w:rPr>
              <w:t>., 2021</w:t>
            </w:r>
            <w:r w:rsidR="004E1414" w:rsidRPr="004363DD">
              <w:rPr>
                <w:rFonts w:cs="Arial"/>
                <w:sz w:val="22"/>
                <w:szCs w:val="22"/>
              </w:rPr>
              <w:t xml:space="preserve"> / PUC Goiás, 2021</w:t>
            </w:r>
          </w:p>
        </w:tc>
        <w:tc>
          <w:tcPr>
            <w:tcW w:w="2880" w:type="dxa"/>
          </w:tcPr>
          <w:p w14:paraId="53A31E13" w14:textId="77777777" w:rsidR="005D6618" w:rsidRPr="004363DD" w:rsidRDefault="005D6618" w:rsidP="002A0CB0">
            <w:pPr>
              <w:rPr>
                <w:rFonts w:cs="Arial"/>
                <w:sz w:val="22"/>
                <w:szCs w:val="22"/>
              </w:rPr>
            </w:pPr>
            <w:r w:rsidRPr="004363DD">
              <w:rPr>
                <w:rFonts w:cs="Arial"/>
                <w:sz w:val="22"/>
                <w:szCs w:val="22"/>
              </w:rPr>
              <w:t>Desconhecimento dos riscos; uso prolongado &gt;6 meses por estudantes.</w:t>
            </w:r>
          </w:p>
        </w:tc>
        <w:tc>
          <w:tcPr>
            <w:tcW w:w="2880" w:type="dxa"/>
          </w:tcPr>
          <w:p w14:paraId="33C59080" w14:textId="77777777" w:rsidR="005D6618" w:rsidRPr="004363DD" w:rsidRDefault="003D7826" w:rsidP="002A0CB0">
            <w:pPr>
              <w:rPr>
                <w:rFonts w:cs="Arial"/>
                <w:sz w:val="22"/>
                <w:szCs w:val="22"/>
              </w:rPr>
            </w:pPr>
            <w:r w:rsidRPr="004363DD">
              <w:rPr>
                <w:rFonts w:cs="Arial"/>
                <w:sz w:val="22"/>
                <w:szCs w:val="22"/>
              </w:rPr>
              <w:t xml:space="preserve">Trabalho de Conclusão de Curso (TCC) / Estudo local </w:t>
            </w:r>
          </w:p>
        </w:tc>
      </w:tr>
      <w:tr w:rsidR="005D6618" w:rsidRPr="004363DD" w14:paraId="5AA92531" w14:textId="77777777" w:rsidTr="004363DD">
        <w:trPr>
          <w:jc w:val="center"/>
        </w:trPr>
        <w:tc>
          <w:tcPr>
            <w:tcW w:w="3220" w:type="dxa"/>
          </w:tcPr>
          <w:p w14:paraId="273E4015" w14:textId="77777777" w:rsidR="005D6618" w:rsidRPr="004363DD" w:rsidRDefault="005D6618" w:rsidP="002A0CB0">
            <w:pPr>
              <w:rPr>
                <w:rFonts w:cs="Arial"/>
                <w:sz w:val="22"/>
                <w:szCs w:val="22"/>
              </w:rPr>
            </w:pPr>
            <w:r w:rsidRPr="004363DD">
              <w:rPr>
                <w:rFonts w:cs="Arial"/>
                <w:sz w:val="22"/>
                <w:szCs w:val="22"/>
              </w:rPr>
              <w:t>ANVISA, 2021</w:t>
            </w:r>
          </w:p>
        </w:tc>
        <w:tc>
          <w:tcPr>
            <w:tcW w:w="2880" w:type="dxa"/>
          </w:tcPr>
          <w:p w14:paraId="1A2D3102" w14:textId="77777777" w:rsidR="005D6618" w:rsidRPr="004363DD" w:rsidRDefault="005D6618" w:rsidP="002A0CB0">
            <w:pPr>
              <w:rPr>
                <w:rFonts w:cs="Arial"/>
                <w:sz w:val="22"/>
                <w:szCs w:val="22"/>
              </w:rPr>
            </w:pPr>
            <w:r w:rsidRPr="004363DD">
              <w:rPr>
                <w:rFonts w:cs="Arial"/>
                <w:sz w:val="22"/>
                <w:szCs w:val="22"/>
              </w:rPr>
              <w:t>Acesso facilitado e venda sem controle; alerta de intoxicação em crianças.</w:t>
            </w:r>
          </w:p>
        </w:tc>
        <w:tc>
          <w:tcPr>
            <w:tcW w:w="2880" w:type="dxa"/>
          </w:tcPr>
          <w:p w14:paraId="52BDE93A" w14:textId="77777777" w:rsidR="005D6618" w:rsidRPr="004363DD" w:rsidRDefault="005D6618" w:rsidP="002A0CB0">
            <w:pPr>
              <w:rPr>
                <w:rFonts w:cs="Arial"/>
                <w:sz w:val="22"/>
                <w:szCs w:val="22"/>
              </w:rPr>
            </w:pPr>
            <w:r w:rsidRPr="004363DD">
              <w:rPr>
                <w:rFonts w:cs="Arial"/>
                <w:sz w:val="22"/>
                <w:szCs w:val="22"/>
              </w:rPr>
              <w:t>Nota de Alerta 01/2021</w:t>
            </w:r>
          </w:p>
        </w:tc>
      </w:tr>
      <w:tr w:rsidR="005D6618" w:rsidRPr="004363DD" w14:paraId="4C82DD27" w14:textId="77777777" w:rsidTr="004363DD">
        <w:trPr>
          <w:jc w:val="center"/>
        </w:trPr>
        <w:tc>
          <w:tcPr>
            <w:tcW w:w="3220" w:type="dxa"/>
          </w:tcPr>
          <w:p w14:paraId="2604C1D0" w14:textId="77777777" w:rsidR="005D6618" w:rsidRPr="004363DD" w:rsidRDefault="005D6618" w:rsidP="002A0CB0">
            <w:pPr>
              <w:rPr>
                <w:rFonts w:cs="Arial"/>
                <w:sz w:val="22"/>
                <w:szCs w:val="22"/>
              </w:rPr>
            </w:pPr>
            <w:r w:rsidRPr="004363DD">
              <w:rPr>
                <w:rFonts w:cs="Arial"/>
                <w:sz w:val="22"/>
                <w:szCs w:val="22"/>
              </w:rPr>
              <w:t>Matos et al., 2017</w:t>
            </w:r>
            <w:r w:rsidR="004E1414" w:rsidRPr="004363DD">
              <w:rPr>
                <w:rFonts w:cs="Arial"/>
                <w:sz w:val="22"/>
                <w:szCs w:val="22"/>
              </w:rPr>
              <w:t xml:space="preserve"> / CRF-SP</w:t>
            </w:r>
          </w:p>
        </w:tc>
        <w:tc>
          <w:tcPr>
            <w:tcW w:w="2880" w:type="dxa"/>
          </w:tcPr>
          <w:p w14:paraId="1F8C0974" w14:textId="77777777" w:rsidR="005D6618" w:rsidRPr="004363DD" w:rsidRDefault="005D6618" w:rsidP="002A0CB0">
            <w:pPr>
              <w:rPr>
                <w:rFonts w:cs="Arial"/>
                <w:sz w:val="22"/>
                <w:szCs w:val="22"/>
              </w:rPr>
            </w:pPr>
            <w:r w:rsidRPr="004363DD">
              <w:rPr>
                <w:rFonts w:cs="Arial"/>
                <w:sz w:val="22"/>
                <w:szCs w:val="22"/>
              </w:rPr>
              <w:t>Comportamento de automedicação entre jovens universitários; ausência de orientação profissional.</w:t>
            </w:r>
          </w:p>
        </w:tc>
        <w:tc>
          <w:tcPr>
            <w:tcW w:w="2880" w:type="dxa"/>
          </w:tcPr>
          <w:p w14:paraId="5A536627" w14:textId="77777777" w:rsidR="005D6618" w:rsidRPr="004363DD" w:rsidRDefault="005D6618" w:rsidP="002A0CB0">
            <w:pPr>
              <w:rPr>
                <w:rFonts w:cs="Arial"/>
                <w:sz w:val="22"/>
                <w:szCs w:val="22"/>
              </w:rPr>
            </w:pPr>
            <w:r w:rsidRPr="004363DD">
              <w:rPr>
                <w:rFonts w:cs="Arial"/>
                <w:sz w:val="22"/>
                <w:szCs w:val="22"/>
              </w:rPr>
              <w:t>Estudo local / CRF-SP</w:t>
            </w:r>
          </w:p>
        </w:tc>
      </w:tr>
    </w:tbl>
    <w:p w14:paraId="536B0C17" w14:textId="77777777" w:rsidR="00883E87" w:rsidRPr="0072627E" w:rsidRDefault="00883E87" w:rsidP="00883E87">
      <w:pPr>
        <w:spacing w:line="360" w:lineRule="auto"/>
        <w:rPr>
          <w:color w:val="000000" w:themeColor="text1"/>
          <w:sz w:val="20"/>
          <w:szCs w:val="20"/>
        </w:rPr>
      </w:pPr>
      <w:r w:rsidRPr="0072627E">
        <w:rPr>
          <w:b/>
          <w:sz w:val="20"/>
          <w:szCs w:val="20"/>
        </w:rPr>
        <w:t>Legenda:</w:t>
      </w:r>
      <w:r w:rsidR="004363DD">
        <w:rPr>
          <w:b/>
          <w:sz w:val="20"/>
          <w:szCs w:val="20"/>
        </w:rPr>
        <w:t xml:space="preserve"> </w:t>
      </w:r>
      <w:r w:rsidRPr="0072627E">
        <w:rPr>
          <w:color w:val="000000" w:themeColor="text1"/>
          <w:sz w:val="20"/>
          <w:szCs w:val="20"/>
        </w:rPr>
        <w:t xml:space="preserve">PUC: Pontifícia Universidade Católica de Goiás; CRF-SP: Conselho Regional de Farmácia do Estado de São Paulo. </w:t>
      </w:r>
      <w:r w:rsidR="004363DD" w:rsidRPr="004363DD">
        <w:rPr>
          <w:b/>
          <w:color w:val="000000" w:themeColor="text1"/>
          <w:sz w:val="20"/>
          <w:szCs w:val="20"/>
        </w:rPr>
        <w:t>Fonte:</w:t>
      </w:r>
      <w:r w:rsidR="004363DD">
        <w:rPr>
          <w:color w:val="000000" w:themeColor="text1"/>
          <w:sz w:val="20"/>
          <w:szCs w:val="20"/>
        </w:rPr>
        <w:t xml:space="preserve"> dados dos autores (2025).</w:t>
      </w:r>
    </w:p>
    <w:p w14:paraId="4CBBAFE9" w14:textId="77777777" w:rsidR="00883E87" w:rsidRPr="0072627E" w:rsidRDefault="00883E87" w:rsidP="004E1414">
      <w:pPr>
        <w:spacing w:line="360" w:lineRule="auto"/>
        <w:ind w:left="11" w:right="0" w:firstLine="0"/>
        <w:rPr>
          <w:b/>
        </w:rPr>
      </w:pPr>
    </w:p>
    <w:p w14:paraId="57586A84" w14:textId="77777777" w:rsidR="004E1414" w:rsidRPr="0072627E" w:rsidRDefault="00A93301" w:rsidP="004363DD">
      <w:pPr>
        <w:pStyle w:val="Ttulo2"/>
      </w:pPr>
      <w:bookmarkStart w:id="9" w:name="_Toc211152527"/>
      <w:r>
        <w:t>3</w:t>
      </w:r>
      <w:r w:rsidR="004363DD" w:rsidRPr="0072627E">
        <w:t>.3 Atuações</w:t>
      </w:r>
      <w:r w:rsidR="004E1414" w:rsidRPr="0072627E">
        <w:t xml:space="preserve"> do farmacêutico na orientação e conscientização sobre os riscos do uso de nafazolina</w:t>
      </w:r>
      <w:bookmarkEnd w:id="9"/>
    </w:p>
    <w:p w14:paraId="75FB20DE" w14:textId="77777777" w:rsidR="004363DD" w:rsidRDefault="004363DD" w:rsidP="00602DCE">
      <w:pPr>
        <w:spacing w:after="119" w:line="360" w:lineRule="auto"/>
        <w:ind w:right="0" w:firstLine="709"/>
        <w:rPr>
          <w:color w:val="000000" w:themeColor="text1"/>
        </w:rPr>
      </w:pPr>
    </w:p>
    <w:p w14:paraId="3E28D976" w14:textId="2B068989" w:rsidR="0016603B" w:rsidRPr="0072627E" w:rsidRDefault="00F362EF" w:rsidP="00602DCE">
      <w:pPr>
        <w:spacing w:after="119" w:line="360" w:lineRule="auto"/>
        <w:ind w:right="0" w:firstLine="709"/>
      </w:pPr>
      <w:r w:rsidRPr="0072627E">
        <w:rPr>
          <w:color w:val="000000" w:themeColor="text1"/>
        </w:rPr>
        <w:t xml:space="preserve">Observou-se </w:t>
      </w:r>
      <w:r w:rsidR="00883E87" w:rsidRPr="0072627E">
        <w:t>a</w:t>
      </w:r>
      <w:r w:rsidR="0016603B" w:rsidRPr="0072627E">
        <w:t xml:space="preserve"> importância do farmacêutico na prevenção da automedicação e no uso racional de descongestionantes nasais, como a nafazolina, é amplamente evidenciada na literatura. Esses </w:t>
      </w:r>
      <w:r w:rsidR="004E1414" w:rsidRPr="0072627E">
        <w:t xml:space="preserve">achados </w:t>
      </w:r>
      <w:r w:rsidR="004E1414" w:rsidRPr="0072627E">
        <w:rPr>
          <w:color w:val="000000" w:themeColor="text1"/>
        </w:rPr>
        <w:t>mostram</w:t>
      </w:r>
      <w:r w:rsidR="0016603B" w:rsidRPr="0072627E">
        <w:t xml:space="preserve"> que o farmacêutico </w:t>
      </w:r>
      <w:r w:rsidR="004E1414" w:rsidRPr="0072627E">
        <w:t>é um</w:t>
      </w:r>
      <w:r w:rsidR="0016603B" w:rsidRPr="0072627E">
        <w:t xml:space="preserve"> agente ativo de saúde pública, capaz de reduzir complicações, promover educação em saúde e contribuir para políticas </w:t>
      </w:r>
      <w:r w:rsidR="004E1414" w:rsidRPr="0072627E">
        <w:t>de uso racional de medicamentos (</w:t>
      </w:r>
      <w:r w:rsidR="004E1414" w:rsidRPr="004363DD">
        <w:t>Quadro 3</w:t>
      </w:r>
      <w:r w:rsidR="004E1414" w:rsidRPr="0072627E">
        <w:t>)</w:t>
      </w:r>
      <w:r w:rsidR="006E5BFE">
        <w:t>.</w:t>
      </w:r>
      <w:r w:rsidR="006E5BFE" w:rsidRPr="0072627E">
        <w:t xml:space="preserve"> </w:t>
      </w:r>
    </w:p>
    <w:p w14:paraId="402B649A" w14:textId="77777777" w:rsidR="005D6618" w:rsidRPr="004363DD" w:rsidRDefault="004E1414" w:rsidP="004363DD">
      <w:pPr>
        <w:spacing w:after="0" w:line="360" w:lineRule="auto"/>
        <w:ind w:right="0"/>
        <w:jc w:val="center"/>
        <w:rPr>
          <w:bCs/>
          <w:color w:val="000000" w:themeColor="text1"/>
          <w:sz w:val="22"/>
          <w:szCs w:val="22"/>
        </w:rPr>
      </w:pPr>
      <w:r w:rsidRPr="004363DD">
        <w:rPr>
          <w:b/>
          <w:bCs/>
          <w:color w:val="000000" w:themeColor="text1"/>
          <w:sz w:val="22"/>
          <w:szCs w:val="22"/>
        </w:rPr>
        <w:t xml:space="preserve">Quadro 3: </w:t>
      </w:r>
      <w:r w:rsidR="00DC7C18" w:rsidRPr="004363DD">
        <w:rPr>
          <w:bCs/>
          <w:color w:val="000000" w:themeColor="text1"/>
          <w:sz w:val="22"/>
          <w:szCs w:val="22"/>
        </w:rPr>
        <w:t>Principais condutas farmacêuticas no manejo da congestão nasal com descongestionantes à base da cloridrato de nafazolina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3"/>
        <w:gridCol w:w="2880"/>
        <w:gridCol w:w="2880"/>
      </w:tblGrid>
      <w:tr w:rsidR="00ED76EB" w:rsidRPr="004363DD" w14:paraId="615D086A" w14:textId="77777777" w:rsidTr="002A0CB0">
        <w:tc>
          <w:tcPr>
            <w:tcW w:w="2880" w:type="dxa"/>
          </w:tcPr>
          <w:p w14:paraId="5BBF2E87" w14:textId="77777777" w:rsidR="005D6618" w:rsidRPr="004363DD" w:rsidRDefault="005D6618" w:rsidP="004363DD">
            <w:pPr>
              <w:spacing w:after="0"/>
              <w:rPr>
                <w:b/>
                <w:color w:val="000000" w:themeColor="text1"/>
                <w:sz w:val="22"/>
                <w:szCs w:val="22"/>
              </w:rPr>
            </w:pPr>
            <w:r w:rsidRPr="004363DD">
              <w:rPr>
                <w:b/>
                <w:color w:val="000000" w:themeColor="text1"/>
                <w:sz w:val="22"/>
                <w:szCs w:val="22"/>
              </w:rPr>
              <w:t>Autor / Fonte</w:t>
            </w:r>
          </w:p>
        </w:tc>
        <w:tc>
          <w:tcPr>
            <w:tcW w:w="2880" w:type="dxa"/>
          </w:tcPr>
          <w:p w14:paraId="5068CEED" w14:textId="77777777" w:rsidR="005D6618" w:rsidRPr="004363DD" w:rsidRDefault="00DC7C18" w:rsidP="002A0CB0">
            <w:pPr>
              <w:rPr>
                <w:b/>
                <w:color w:val="000000" w:themeColor="text1"/>
                <w:sz w:val="22"/>
                <w:szCs w:val="22"/>
              </w:rPr>
            </w:pPr>
            <w:r w:rsidRPr="004363DD">
              <w:rPr>
                <w:b/>
                <w:color w:val="000000" w:themeColor="text1"/>
                <w:sz w:val="22"/>
                <w:szCs w:val="22"/>
              </w:rPr>
              <w:t>Cuidado farmacêutico</w:t>
            </w:r>
          </w:p>
        </w:tc>
        <w:tc>
          <w:tcPr>
            <w:tcW w:w="2880" w:type="dxa"/>
          </w:tcPr>
          <w:p w14:paraId="5FD74ACA" w14:textId="77777777" w:rsidR="005D6618" w:rsidRPr="004363DD" w:rsidRDefault="00DC7C18" w:rsidP="002A0CB0">
            <w:pPr>
              <w:rPr>
                <w:b/>
                <w:color w:val="000000" w:themeColor="text1"/>
                <w:sz w:val="22"/>
                <w:szCs w:val="22"/>
              </w:rPr>
            </w:pPr>
            <w:r w:rsidRPr="004363DD">
              <w:rPr>
                <w:b/>
                <w:color w:val="000000" w:themeColor="text1"/>
                <w:sz w:val="22"/>
                <w:szCs w:val="22"/>
              </w:rPr>
              <w:t>Tipo de estudo</w:t>
            </w:r>
          </w:p>
        </w:tc>
      </w:tr>
      <w:tr w:rsidR="005D6618" w:rsidRPr="004363DD" w14:paraId="20B100A9" w14:textId="77777777" w:rsidTr="002A0CB0">
        <w:tc>
          <w:tcPr>
            <w:tcW w:w="2880" w:type="dxa"/>
          </w:tcPr>
          <w:p w14:paraId="4918ACF7" w14:textId="77777777" w:rsidR="005D6618" w:rsidRPr="004363DD" w:rsidRDefault="005D6618" w:rsidP="002A0CB0">
            <w:pPr>
              <w:rPr>
                <w:sz w:val="22"/>
                <w:szCs w:val="22"/>
              </w:rPr>
            </w:pPr>
            <w:r w:rsidRPr="004363DD">
              <w:rPr>
                <w:sz w:val="22"/>
                <w:szCs w:val="22"/>
              </w:rPr>
              <w:lastRenderedPageBreak/>
              <w:t xml:space="preserve">Silva </w:t>
            </w:r>
            <w:r w:rsidRPr="004363DD">
              <w:rPr>
                <w:i/>
                <w:sz w:val="22"/>
                <w:szCs w:val="22"/>
              </w:rPr>
              <w:t>et al</w:t>
            </w:r>
            <w:r w:rsidRPr="004363DD">
              <w:rPr>
                <w:sz w:val="22"/>
                <w:szCs w:val="22"/>
              </w:rPr>
              <w:t>., 2024</w:t>
            </w:r>
            <w:r w:rsidR="00DC7C18" w:rsidRPr="004363DD">
              <w:rPr>
                <w:sz w:val="22"/>
                <w:szCs w:val="22"/>
              </w:rPr>
              <w:t xml:space="preserve"> / ScientificElectronicArchives, 2024</w:t>
            </w:r>
          </w:p>
        </w:tc>
        <w:tc>
          <w:tcPr>
            <w:tcW w:w="2880" w:type="dxa"/>
          </w:tcPr>
          <w:p w14:paraId="52B04D21" w14:textId="77777777" w:rsidR="005D6618" w:rsidRPr="004363DD" w:rsidRDefault="005D6618" w:rsidP="002A0CB0">
            <w:pPr>
              <w:rPr>
                <w:sz w:val="22"/>
                <w:szCs w:val="22"/>
              </w:rPr>
            </w:pPr>
            <w:r w:rsidRPr="004363DD">
              <w:rPr>
                <w:sz w:val="22"/>
                <w:szCs w:val="22"/>
              </w:rPr>
              <w:t>Educação sobre risco de uso prolongado; orientação sobre rinite medicamentosa.</w:t>
            </w:r>
          </w:p>
        </w:tc>
        <w:tc>
          <w:tcPr>
            <w:tcW w:w="2880" w:type="dxa"/>
          </w:tcPr>
          <w:p w14:paraId="508BDD2E" w14:textId="77777777" w:rsidR="005D6618" w:rsidRPr="004363DD" w:rsidRDefault="003D7826" w:rsidP="002A0CB0">
            <w:pPr>
              <w:rPr>
                <w:sz w:val="22"/>
                <w:szCs w:val="22"/>
              </w:rPr>
            </w:pPr>
            <w:r w:rsidRPr="004363DD">
              <w:rPr>
                <w:sz w:val="22"/>
                <w:szCs w:val="22"/>
              </w:rPr>
              <w:t xml:space="preserve">Revisão de literatura </w:t>
            </w:r>
          </w:p>
        </w:tc>
      </w:tr>
      <w:tr w:rsidR="005D6618" w:rsidRPr="004363DD" w14:paraId="1937CDDE" w14:textId="77777777" w:rsidTr="002A0CB0">
        <w:tc>
          <w:tcPr>
            <w:tcW w:w="2880" w:type="dxa"/>
          </w:tcPr>
          <w:p w14:paraId="417309CB" w14:textId="77777777" w:rsidR="005D6618" w:rsidRPr="004363DD" w:rsidRDefault="005D6618" w:rsidP="002A0CB0">
            <w:pPr>
              <w:rPr>
                <w:sz w:val="22"/>
                <w:szCs w:val="22"/>
              </w:rPr>
            </w:pPr>
            <w:r w:rsidRPr="004363DD">
              <w:rPr>
                <w:sz w:val="22"/>
                <w:szCs w:val="22"/>
              </w:rPr>
              <w:t xml:space="preserve">Morais </w:t>
            </w:r>
            <w:r w:rsidRPr="004363DD">
              <w:rPr>
                <w:i/>
                <w:sz w:val="22"/>
                <w:szCs w:val="22"/>
              </w:rPr>
              <w:t>et al</w:t>
            </w:r>
            <w:r w:rsidRPr="004363DD">
              <w:rPr>
                <w:sz w:val="22"/>
                <w:szCs w:val="22"/>
              </w:rPr>
              <w:t>., 2024</w:t>
            </w:r>
            <w:r w:rsidR="00DC7C18" w:rsidRPr="004363DD">
              <w:rPr>
                <w:sz w:val="22"/>
                <w:szCs w:val="22"/>
              </w:rPr>
              <w:t xml:space="preserve"> / Revista Master, 2024</w:t>
            </w:r>
          </w:p>
        </w:tc>
        <w:tc>
          <w:tcPr>
            <w:tcW w:w="2880" w:type="dxa"/>
          </w:tcPr>
          <w:p w14:paraId="754B85A3" w14:textId="77777777" w:rsidR="005D6618" w:rsidRPr="004363DD" w:rsidRDefault="005D6618" w:rsidP="002A0CB0">
            <w:pPr>
              <w:rPr>
                <w:sz w:val="22"/>
                <w:szCs w:val="22"/>
              </w:rPr>
            </w:pPr>
            <w:r w:rsidRPr="004363DD">
              <w:rPr>
                <w:sz w:val="22"/>
                <w:szCs w:val="22"/>
              </w:rPr>
              <w:t>Implementar programas educativos e orientar sobre alternativas terapêuticas.</w:t>
            </w:r>
          </w:p>
        </w:tc>
        <w:tc>
          <w:tcPr>
            <w:tcW w:w="2880" w:type="dxa"/>
          </w:tcPr>
          <w:p w14:paraId="6D52B6B2" w14:textId="77777777" w:rsidR="005D6618" w:rsidRPr="004363DD" w:rsidRDefault="003D7826" w:rsidP="002A0CB0">
            <w:pPr>
              <w:rPr>
                <w:sz w:val="22"/>
                <w:szCs w:val="22"/>
              </w:rPr>
            </w:pPr>
            <w:r w:rsidRPr="004363DD">
              <w:rPr>
                <w:sz w:val="22"/>
                <w:szCs w:val="22"/>
              </w:rPr>
              <w:t xml:space="preserve">Artigo revisão / descritivo </w:t>
            </w:r>
          </w:p>
        </w:tc>
      </w:tr>
      <w:tr w:rsidR="005D6618" w:rsidRPr="004363DD" w14:paraId="50AE36E7" w14:textId="77777777" w:rsidTr="002A0CB0">
        <w:tc>
          <w:tcPr>
            <w:tcW w:w="2880" w:type="dxa"/>
          </w:tcPr>
          <w:p w14:paraId="0CE1733A" w14:textId="77777777" w:rsidR="005D6618" w:rsidRPr="004363DD" w:rsidRDefault="005D6618" w:rsidP="002A0CB0">
            <w:pPr>
              <w:rPr>
                <w:sz w:val="22"/>
                <w:szCs w:val="22"/>
              </w:rPr>
            </w:pPr>
            <w:r w:rsidRPr="004363DD">
              <w:rPr>
                <w:sz w:val="22"/>
                <w:szCs w:val="22"/>
              </w:rPr>
              <w:t xml:space="preserve">Lima </w:t>
            </w:r>
            <w:r w:rsidRPr="004363DD">
              <w:rPr>
                <w:i/>
                <w:sz w:val="22"/>
                <w:szCs w:val="22"/>
              </w:rPr>
              <w:t>et al</w:t>
            </w:r>
            <w:r w:rsidRPr="004363DD">
              <w:rPr>
                <w:sz w:val="22"/>
                <w:szCs w:val="22"/>
              </w:rPr>
              <w:t>., 2021/2024</w:t>
            </w:r>
            <w:r w:rsidR="00DC7C18" w:rsidRPr="004363DD">
              <w:rPr>
                <w:sz w:val="22"/>
                <w:szCs w:val="22"/>
              </w:rPr>
              <w:t xml:space="preserve"> / RSD, 2021/2024</w:t>
            </w:r>
          </w:p>
        </w:tc>
        <w:tc>
          <w:tcPr>
            <w:tcW w:w="2880" w:type="dxa"/>
          </w:tcPr>
          <w:p w14:paraId="400E26AD" w14:textId="77777777" w:rsidR="005D6618" w:rsidRPr="004363DD" w:rsidRDefault="005D6618" w:rsidP="002A0CB0">
            <w:pPr>
              <w:rPr>
                <w:sz w:val="22"/>
                <w:szCs w:val="22"/>
              </w:rPr>
            </w:pPr>
            <w:r w:rsidRPr="004363DD">
              <w:rPr>
                <w:sz w:val="22"/>
                <w:szCs w:val="22"/>
              </w:rPr>
              <w:t>Promoção do uso racional; triagem de sinais de abuso.</w:t>
            </w:r>
          </w:p>
        </w:tc>
        <w:tc>
          <w:tcPr>
            <w:tcW w:w="2880" w:type="dxa"/>
          </w:tcPr>
          <w:p w14:paraId="79EE93EF" w14:textId="77777777" w:rsidR="005D6618" w:rsidRPr="004363DD" w:rsidRDefault="003D7826" w:rsidP="002A0CB0">
            <w:pPr>
              <w:rPr>
                <w:sz w:val="22"/>
                <w:szCs w:val="22"/>
              </w:rPr>
            </w:pPr>
            <w:r w:rsidRPr="004363DD">
              <w:rPr>
                <w:sz w:val="22"/>
                <w:szCs w:val="22"/>
              </w:rPr>
              <w:t xml:space="preserve">Artigo descritivo / revisão </w:t>
            </w:r>
          </w:p>
        </w:tc>
      </w:tr>
      <w:tr w:rsidR="005D6618" w:rsidRPr="004363DD" w14:paraId="600E3EE0" w14:textId="77777777" w:rsidTr="002A0CB0">
        <w:tc>
          <w:tcPr>
            <w:tcW w:w="2880" w:type="dxa"/>
          </w:tcPr>
          <w:p w14:paraId="467D1828" w14:textId="77777777" w:rsidR="006C1ACE" w:rsidRPr="004363DD" w:rsidRDefault="00C37E6D">
            <w:pPr>
              <w:rPr>
                <w:sz w:val="22"/>
                <w:szCs w:val="22"/>
              </w:rPr>
            </w:pPr>
            <w:r w:rsidRPr="004363DD">
              <w:rPr>
                <w:sz w:val="22"/>
                <w:szCs w:val="22"/>
              </w:rPr>
              <w:t xml:space="preserve">Mokhatrish </w:t>
            </w:r>
            <w:r w:rsidRPr="004363DD">
              <w:rPr>
                <w:i/>
                <w:sz w:val="22"/>
                <w:szCs w:val="22"/>
              </w:rPr>
              <w:t>et al</w:t>
            </w:r>
            <w:r w:rsidRPr="004363DD">
              <w:rPr>
                <w:sz w:val="22"/>
                <w:szCs w:val="22"/>
              </w:rPr>
              <w:t xml:space="preserve">., 2024 </w:t>
            </w:r>
            <w:r w:rsidRPr="004363DD">
              <w:rPr>
                <w:i/>
                <w:sz w:val="22"/>
                <w:szCs w:val="22"/>
              </w:rPr>
              <w:t>et al</w:t>
            </w:r>
            <w:r w:rsidRPr="004363DD">
              <w:rPr>
                <w:sz w:val="22"/>
                <w:szCs w:val="22"/>
              </w:rPr>
              <w:t>., 2022</w:t>
            </w:r>
            <w:r w:rsidR="00DC7C18" w:rsidRPr="004363DD">
              <w:rPr>
                <w:sz w:val="22"/>
                <w:szCs w:val="22"/>
              </w:rPr>
              <w:t xml:space="preserve"> / Saudi Pharmaceutical Journal, 2022</w:t>
            </w:r>
          </w:p>
        </w:tc>
        <w:tc>
          <w:tcPr>
            <w:tcW w:w="2880" w:type="dxa"/>
          </w:tcPr>
          <w:p w14:paraId="48148103" w14:textId="77777777" w:rsidR="005D6618" w:rsidRPr="004363DD" w:rsidRDefault="005D6618" w:rsidP="002A0CB0">
            <w:pPr>
              <w:rPr>
                <w:sz w:val="22"/>
                <w:szCs w:val="22"/>
              </w:rPr>
            </w:pPr>
            <w:r w:rsidRPr="004363DD">
              <w:rPr>
                <w:sz w:val="22"/>
                <w:szCs w:val="22"/>
              </w:rPr>
              <w:t>87,3% dos farmacêuticos recomendam limite de uso em até 5 dias; apoio a alternativas não farmacológicas.</w:t>
            </w:r>
          </w:p>
        </w:tc>
        <w:tc>
          <w:tcPr>
            <w:tcW w:w="2880" w:type="dxa"/>
          </w:tcPr>
          <w:p w14:paraId="55A618B2" w14:textId="77777777" w:rsidR="005D6618" w:rsidRPr="004363DD" w:rsidRDefault="003D7826" w:rsidP="002A0CB0">
            <w:pPr>
              <w:rPr>
                <w:sz w:val="22"/>
                <w:szCs w:val="22"/>
              </w:rPr>
            </w:pPr>
            <w:r w:rsidRPr="004363DD">
              <w:rPr>
                <w:sz w:val="22"/>
                <w:szCs w:val="22"/>
              </w:rPr>
              <w:t xml:space="preserve">Estudo transversal com farmacêuticos </w:t>
            </w:r>
          </w:p>
        </w:tc>
      </w:tr>
      <w:tr w:rsidR="005D6618" w:rsidRPr="004363DD" w14:paraId="10DF71DD" w14:textId="77777777" w:rsidTr="002A0CB0">
        <w:tc>
          <w:tcPr>
            <w:tcW w:w="2880" w:type="dxa"/>
          </w:tcPr>
          <w:p w14:paraId="1D8F0BE4" w14:textId="77777777" w:rsidR="005D6618" w:rsidRPr="004363DD" w:rsidRDefault="005D6618" w:rsidP="002A0CB0">
            <w:pPr>
              <w:rPr>
                <w:sz w:val="22"/>
                <w:szCs w:val="22"/>
              </w:rPr>
            </w:pPr>
            <w:r w:rsidRPr="004363DD">
              <w:rPr>
                <w:sz w:val="22"/>
                <w:szCs w:val="22"/>
              </w:rPr>
              <w:t>ANVISA, 2021</w:t>
            </w:r>
          </w:p>
        </w:tc>
        <w:tc>
          <w:tcPr>
            <w:tcW w:w="2880" w:type="dxa"/>
          </w:tcPr>
          <w:p w14:paraId="13C7EE9E" w14:textId="77777777" w:rsidR="005D6618" w:rsidRPr="004363DD" w:rsidRDefault="005D6618" w:rsidP="002A0CB0">
            <w:pPr>
              <w:rPr>
                <w:sz w:val="22"/>
                <w:szCs w:val="22"/>
              </w:rPr>
            </w:pPr>
            <w:r w:rsidRPr="004363DD">
              <w:rPr>
                <w:sz w:val="22"/>
                <w:szCs w:val="22"/>
              </w:rPr>
              <w:t>Orientação, notificação de casos suspeitos e educação de pais sobre intoxicação infantil.</w:t>
            </w:r>
          </w:p>
        </w:tc>
        <w:tc>
          <w:tcPr>
            <w:tcW w:w="2880" w:type="dxa"/>
          </w:tcPr>
          <w:p w14:paraId="7819CD21" w14:textId="77777777" w:rsidR="005D6618" w:rsidRPr="004363DD" w:rsidRDefault="005D6618" w:rsidP="002A0CB0">
            <w:pPr>
              <w:rPr>
                <w:sz w:val="22"/>
                <w:szCs w:val="22"/>
              </w:rPr>
            </w:pPr>
            <w:r w:rsidRPr="004363DD">
              <w:rPr>
                <w:sz w:val="22"/>
                <w:szCs w:val="22"/>
              </w:rPr>
              <w:t>Nota de Alerta 01/2021</w:t>
            </w:r>
          </w:p>
        </w:tc>
      </w:tr>
      <w:tr w:rsidR="005D6618" w:rsidRPr="004363DD" w14:paraId="2F66688B" w14:textId="77777777" w:rsidTr="002A0CB0">
        <w:tc>
          <w:tcPr>
            <w:tcW w:w="2880" w:type="dxa"/>
          </w:tcPr>
          <w:p w14:paraId="671FDCF6" w14:textId="77777777" w:rsidR="006C1ACE" w:rsidRPr="004363DD" w:rsidRDefault="00C37E6D">
            <w:pPr>
              <w:rPr>
                <w:sz w:val="22"/>
                <w:szCs w:val="22"/>
              </w:rPr>
            </w:pPr>
            <w:r w:rsidRPr="004363DD">
              <w:rPr>
                <w:sz w:val="22"/>
                <w:szCs w:val="22"/>
              </w:rPr>
              <w:t xml:space="preserve">Contreras-Salinas </w:t>
            </w:r>
            <w:r w:rsidRPr="004363DD">
              <w:rPr>
                <w:i/>
                <w:sz w:val="22"/>
                <w:szCs w:val="22"/>
              </w:rPr>
              <w:t>et al</w:t>
            </w:r>
            <w:r w:rsidRPr="004363DD">
              <w:rPr>
                <w:sz w:val="22"/>
                <w:szCs w:val="22"/>
              </w:rPr>
              <w:t>., 2021</w:t>
            </w:r>
            <w:r w:rsidR="00DC7C18" w:rsidRPr="004363DD">
              <w:rPr>
                <w:sz w:val="22"/>
                <w:szCs w:val="22"/>
              </w:rPr>
              <w:t xml:space="preserve"> / JournalofPharmacovigilance, 2021</w:t>
            </w:r>
          </w:p>
        </w:tc>
        <w:tc>
          <w:tcPr>
            <w:tcW w:w="2880" w:type="dxa"/>
          </w:tcPr>
          <w:p w14:paraId="4C6CB39D" w14:textId="77777777" w:rsidR="005D6618" w:rsidRPr="004363DD" w:rsidRDefault="005D6618" w:rsidP="002A0CB0">
            <w:pPr>
              <w:rPr>
                <w:sz w:val="22"/>
                <w:szCs w:val="22"/>
              </w:rPr>
            </w:pPr>
            <w:r w:rsidRPr="004363DD">
              <w:rPr>
                <w:sz w:val="22"/>
                <w:szCs w:val="22"/>
              </w:rPr>
              <w:t>Monitoramento farmacovigilância de efeitos adversos em usuários.</w:t>
            </w:r>
          </w:p>
        </w:tc>
        <w:tc>
          <w:tcPr>
            <w:tcW w:w="2880" w:type="dxa"/>
          </w:tcPr>
          <w:p w14:paraId="01337D9C" w14:textId="77777777" w:rsidR="005D6618" w:rsidRPr="004363DD" w:rsidRDefault="003D7826" w:rsidP="002A0CB0">
            <w:pPr>
              <w:rPr>
                <w:sz w:val="22"/>
                <w:szCs w:val="22"/>
              </w:rPr>
            </w:pPr>
            <w:r w:rsidRPr="004363DD">
              <w:rPr>
                <w:sz w:val="22"/>
                <w:szCs w:val="22"/>
              </w:rPr>
              <w:t xml:space="preserve">Estudo de farmacovigilância (vigilância ativa) </w:t>
            </w:r>
          </w:p>
        </w:tc>
      </w:tr>
      <w:tr w:rsidR="005D6618" w:rsidRPr="004363DD" w14:paraId="578BE880" w14:textId="77777777" w:rsidTr="002A0CB0">
        <w:tc>
          <w:tcPr>
            <w:tcW w:w="2880" w:type="dxa"/>
          </w:tcPr>
          <w:p w14:paraId="06C5700C" w14:textId="77777777" w:rsidR="005D6618" w:rsidRPr="004363DD" w:rsidRDefault="005D6618" w:rsidP="002A0CB0">
            <w:pPr>
              <w:rPr>
                <w:sz w:val="22"/>
                <w:szCs w:val="22"/>
              </w:rPr>
            </w:pPr>
            <w:r w:rsidRPr="004363DD">
              <w:rPr>
                <w:sz w:val="22"/>
                <w:szCs w:val="22"/>
              </w:rPr>
              <w:t xml:space="preserve">Sousa </w:t>
            </w:r>
            <w:r w:rsidRPr="004363DD">
              <w:rPr>
                <w:i/>
                <w:sz w:val="22"/>
                <w:szCs w:val="22"/>
              </w:rPr>
              <w:t>et al</w:t>
            </w:r>
            <w:r w:rsidRPr="004363DD">
              <w:rPr>
                <w:sz w:val="22"/>
                <w:szCs w:val="22"/>
              </w:rPr>
              <w:t>., 2021</w:t>
            </w:r>
            <w:r w:rsidR="00DC7C18" w:rsidRPr="004363DD">
              <w:rPr>
                <w:sz w:val="22"/>
                <w:szCs w:val="22"/>
              </w:rPr>
              <w:t xml:space="preserve"> / PUC Goiás, 2021</w:t>
            </w:r>
          </w:p>
        </w:tc>
        <w:tc>
          <w:tcPr>
            <w:tcW w:w="2880" w:type="dxa"/>
          </w:tcPr>
          <w:p w14:paraId="5F682947" w14:textId="77777777" w:rsidR="005D6618" w:rsidRPr="004363DD" w:rsidRDefault="005D6618" w:rsidP="002A0CB0">
            <w:pPr>
              <w:rPr>
                <w:sz w:val="22"/>
                <w:szCs w:val="22"/>
              </w:rPr>
            </w:pPr>
            <w:r w:rsidRPr="004363DD">
              <w:rPr>
                <w:sz w:val="22"/>
                <w:szCs w:val="22"/>
              </w:rPr>
              <w:t>Atuação educativa em ambiente acadêmico e comunitário.</w:t>
            </w:r>
          </w:p>
        </w:tc>
        <w:tc>
          <w:tcPr>
            <w:tcW w:w="2880" w:type="dxa"/>
          </w:tcPr>
          <w:p w14:paraId="3A0471BB" w14:textId="77777777" w:rsidR="005D6618" w:rsidRPr="004363DD" w:rsidRDefault="003D7826" w:rsidP="002A0CB0">
            <w:pPr>
              <w:rPr>
                <w:sz w:val="22"/>
                <w:szCs w:val="22"/>
              </w:rPr>
            </w:pPr>
            <w:r w:rsidRPr="004363DD">
              <w:rPr>
                <w:sz w:val="22"/>
                <w:szCs w:val="22"/>
              </w:rPr>
              <w:t xml:space="preserve">Trabalho de Conclusão de Curso (TCC) / Estudo local </w:t>
            </w:r>
          </w:p>
        </w:tc>
      </w:tr>
    </w:tbl>
    <w:p w14:paraId="2D6360F9" w14:textId="77777777" w:rsidR="005D6618" w:rsidRPr="0072627E" w:rsidRDefault="005D6618" w:rsidP="00602DCE">
      <w:pPr>
        <w:spacing w:after="119" w:line="360" w:lineRule="auto"/>
        <w:ind w:right="0" w:firstLine="709"/>
        <w:rPr>
          <w:b/>
          <w:bCs/>
        </w:rPr>
      </w:pPr>
    </w:p>
    <w:p w14:paraId="588C0E91" w14:textId="77777777" w:rsidR="00DC7C18" w:rsidRPr="0072627E" w:rsidRDefault="00A93301" w:rsidP="004363DD">
      <w:pPr>
        <w:pStyle w:val="Ttulo2"/>
      </w:pPr>
      <w:bookmarkStart w:id="10" w:name="_Toc211152528"/>
      <w:bookmarkStart w:id="11" w:name="OLE_LINK1"/>
      <w:bookmarkStart w:id="12" w:name="OLE_LINK2"/>
      <w:r>
        <w:t>3</w:t>
      </w:r>
      <w:r w:rsidR="00DC7C18" w:rsidRPr="0072627E">
        <w:t>.4 Descongestionantes nasais tópicos mais vendidos no Brasil</w:t>
      </w:r>
      <w:bookmarkEnd w:id="10"/>
    </w:p>
    <w:p w14:paraId="1017AFEA" w14:textId="77777777" w:rsidR="004363DD" w:rsidRDefault="004363DD" w:rsidP="00450CB7">
      <w:pPr>
        <w:spacing w:after="114" w:line="360" w:lineRule="auto"/>
        <w:ind w:right="0" w:firstLine="709"/>
        <w:rPr>
          <w:color w:val="000000" w:themeColor="text1"/>
        </w:rPr>
      </w:pPr>
    </w:p>
    <w:p w14:paraId="77C4524F" w14:textId="77777777" w:rsidR="00717EB3" w:rsidRPr="0072627E" w:rsidRDefault="00717EB3" w:rsidP="004363DD">
      <w:pPr>
        <w:spacing w:after="0" w:line="360" w:lineRule="auto"/>
        <w:ind w:right="0" w:firstLine="709"/>
        <w:rPr>
          <w:color w:val="000000" w:themeColor="text1"/>
        </w:rPr>
      </w:pPr>
      <w:r w:rsidRPr="0072627E">
        <w:rPr>
          <w:color w:val="000000" w:themeColor="text1"/>
        </w:rPr>
        <w:t xml:space="preserve">Estudos mostraram que o </w:t>
      </w:r>
      <w:r w:rsidRPr="0072627E">
        <w:t xml:space="preserve">consumo de descongestionantes nasais é consolidado no Brasil e em cenários internacionais, refletindo, portanto, a popularidade da nafazolina. </w:t>
      </w:r>
      <w:r w:rsidR="0099597B" w:rsidRPr="0072627E">
        <w:rPr>
          <w:color w:val="000000" w:themeColor="text1"/>
        </w:rPr>
        <w:t>Entre os descongestionantes nasais com cloridrato de nafazolina, o Neosoro®</w:t>
      </w:r>
      <w:r w:rsidRPr="0072627E">
        <w:rPr>
          <w:color w:val="000000" w:themeColor="text1"/>
        </w:rPr>
        <w:t xml:space="preserve"> (Neo Química) foi o que apresentou</w:t>
      </w:r>
      <w:r w:rsidR="0099597B" w:rsidRPr="0072627E">
        <w:rPr>
          <w:color w:val="000000" w:themeColor="text1"/>
        </w:rPr>
        <w:t xml:space="preserve"> dados mais robustos publicamente disponíveis</w:t>
      </w:r>
      <w:r w:rsidR="004363DD">
        <w:rPr>
          <w:color w:val="000000" w:themeColor="text1"/>
        </w:rPr>
        <w:t xml:space="preserve"> </w:t>
      </w:r>
      <w:r w:rsidRPr="0072627E">
        <w:t>(</w:t>
      </w:r>
      <w:r w:rsidRPr="004363DD">
        <w:t>Quadro 4</w:t>
      </w:r>
      <w:r w:rsidRPr="0072627E">
        <w:t>).</w:t>
      </w:r>
    </w:p>
    <w:p w14:paraId="4196AAA4" w14:textId="77777777" w:rsidR="004363DD" w:rsidRPr="00BE2C8E" w:rsidRDefault="004363DD" w:rsidP="004363DD">
      <w:pPr>
        <w:spacing w:after="0" w:line="360" w:lineRule="auto"/>
        <w:ind w:right="0"/>
        <w:rPr>
          <w:b/>
          <w:bCs/>
          <w:color w:val="000000" w:themeColor="text1"/>
          <w:sz w:val="22"/>
          <w:szCs w:val="22"/>
        </w:rPr>
      </w:pPr>
    </w:p>
    <w:p w14:paraId="4C1D3EDA" w14:textId="77777777" w:rsidR="00883E87" w:rsidRPr="00BE2C8E" w:rsidRDefault="000C1FCB" w:rsidP="004363DD">
      <w:pPr>
        <w:spacing w:after="0" w:line="360" w:lineRule="auto"/>
        <w:ind w:right="0"/>
        <w:jc w:val="center"/>
        <w:rPr>
          <w:color w:val="000000" w:themeColor="text1"/>
          <w:sz w:val="22"/>
          <w:szCs w:val="22"/>
        </w:rPr>
      </w:pPr>
      <w:r w:rsidRPr="00BE2C8E">
        <w:rPr>
          <w:b/>
          <w:bCs/>
          <w:color w:val="000000" w:themeColor="text1"/>
          <w:sz w:val="22"/>
          <w:szCs w:val="22"/>
        </w:rPr>
        <w:t xml:space="preserve">Quadro 4: </w:t>
      </w:r>
      <w:r w:rsidR="00883E87" w:rsidRPr="00BE2C8E">
        <w:rPr>
          <w:color w:val="000000" w:themeColor="text1"/>
          <w:sz w:val="22"/>
          <w:szCs w:val="22"/>
        </w:rPr>
        <w:t>Evidências de comercialização e uso de descongestionamentos nasais tópicos no Brasil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3D70BE" w:rsidRPr="00BE2C8E" w14:paraId="02896012" w14:textId="77777777" w:rsidTr="002A0CB0">
        <w:tc>
          <w:tcPr>
            <w:tcW w:w="2880" w:type="dxa"/>
          </w:tcPr>
          <w:p w14:paraId="190112E8" w14:textId="77777777" w:rsidR="003D70BE" w:rsidRPr="00BE2C8E" w:rsidRDefault="003D70BE" w:rsidP="002A0CB0">
            <w:pPr>
              <w:pBdr>
                <w:left w:val="single" w:sz="4" w:space="4" w:color="auto"/>
              </w:pBdr>
              <w:rPr>
                <w:b/>
                <w:sz w:val="22"/>
                <w:szCs w:val="22"/>
              </w:rPr>
            </w:pPr>
            <w:r w:rsidRPr="00BE2C8E">
              <w:rPr>
                <w:b/>
                <w:sz w:val="22"/>
                <w:szCs w:val="22"/>
              </w:rPr>
              <w:t>Fonte</w:t>
            </w:r>
            <w:r w:rsidR="000C1FCB" w:rsidRPr="00BE2C8E">
              <w:rPr>
                <w:b/>
                <w:sz w:val="22"/>
                <w:szCs w:val="22"/>
              </w:rPr>
              <w:t xml:space="preserve"> / Referência</w:t>
            </w:r>
          </w:p>
        </w:tc>
        <w:tc>
          <w:tcPr>
            <w:tcW w:w="2880" w:type="dxa"/>
          </w:tcPr>
          <w:p w14:paraId="593EFC5C" w14:textId="77777777" w:rsidR="003D70BE" w:rsidRPr="00BE2C8E" w:rsidRDefault="003D70BE" w:rsidP="002A0CB0">
            <w:pPr>
              <w:pBdr>
                <w:left w:val="single" w:sz="4" w:space="4" w:color="auto"/>
              </w:pBdr>
              <w:rPr>
                <w:b/>
                <w:sz w:val="22"/>
                <w:szCs w:val="22"/>
              </w:rPr>
            </w:pPr>
            <w:r w:rsidRPr="00BE2C8E">
              <w:rPr>
                <w:b/>
                <w:sz w:val="22"/>
                <w:szCs w:val="22"/>
              </w:rPr>
              <w:t>Informações de mercado / circulação</w:t>
            </w:r>
          </w:p>
        </w:tc>
        <w:tc>
          <w:tcPr>
            <w:tcW w:w="2880" w:type="dxa"/>
          </w:tcPr>
          <w:p w14:paraId="60644A75" w14:textId="77777777" w:rsidR="003D70BE" w:rsidRPr="00BE2C8E" w:rsidRDefault="000C1FCB" w:rsidP="002A0CB0">
            <w:pPr>
              <w:pBdr>
                <w:left w:val="single" w:sz="4" w:space="4" w:color="auto"/>
              </w:pBdr>
              <w:rPr>
                <w:b/>
                <w:sz w:val="22"/>
                <w:szCs w:val="22"/>
              </w:rPr>
            </w:pPr>
            <w:r w:rsidRPr="00BE2C8E">
              <w:rPr>
                <w:b/>
                <w:sz w:val="22"/>
                <w:szCs w:val="22"/>
              </w:rPr>
              <w:t>Tipo de estudo</w:t>
            </w:r>
          </w:p>
        </w:tc>
      </w:tr>
      <w:tr w:rsidR="003D70BE" w:rsidRPr="00BE2C8E" w14:paraId="7BCE415D" w14:textId="77777777" w:rsidTr="002A0CB0">
        <w:tc>
          <w:tcPr>
            <w:tcW w:w="2880" w:type="dxa"/>
          </w:tcPr>
          <w:p w14:paraId="6B3745CA" w14:textId="77777777" w:rsidR="003D70BE" w:rsidRPr="00BE2C8E" w:rsidRDefault="003D70BE" w:rsidP="002A0CB0">
            <w:pPr>
              <w:pBdr>
                <w:left w:val="single" w:sz="4" w:space="4" w:color="auto"/>
              </w:pBdr>
              <w:rPr>
                <w:sz w:val="22"/>
                <w:szCs w:val="22"/>
              </w:rPr>
            </w:pPr>
            <w:r w:rsidRPr="00BE2C8E">
              <w:rPr>
                <w:sz w:val="22"/>
                <w:szCs w:val="22"/>
              </w:rPr>
              <w:t>Verified Market Reports, 2023</w:t>
            </w:r>
            <w:r w:rsidR="000C1FCB" w:rsidRPr="00BE2C8E">
              <w:rPr>
                <w:sz w:val="22"/>
                <w:szCs w:val="22"/>
              </w:rPr>
              <w:t xml:space="preserve"> / Market Report, 2023</w:t>
            </w:r>
          </w:p>
        </w:tc>
        <w:tc>
          <w:tcPr>
            <w:tcW w:w="2880" w:type="dxa"/>
          </w:tcPr>
          <w:p w14:paraId="427D3984" w14:textId="77777777" w:rsidR="003D70BE" w:rsidRPr="00BE2C8E" w:rsidRDefault="003D70BE" w:rsidP="003D7826">
            <w:pPr>
              <w:pStyle w:val="p1"/>
              <w:rPr>
                <w:rFonts w:ascii="Arial" w:hAnsi="Arial" w:cs="Arial"/>
                <w:sz w:val="22"/>
                <w:szCs w:val="22"/>
              </w:rPr>
            </w:pPr>
            <w:r w:rsidRPr="00BE2C8E">
              <w:rPr>
                <w:rFonts w:ascii="Arial" w:hAnsi="Arial" w:cs="Arial"/>
                <w:sz w:val="22"/>
                <w:szCs w:val="22"/>
              </w:rPr>
              <w:t>Crescimento global na venda de descongestionantes; consumo expressivo em países em desenvolvimento.</w:t>
            </w:r>
            <w:r w:rsidR="003D7826" w:rsidRPr="00BE2C8E">
              <w:rPr>
                <w:rFonts w:ascii="Arial" w:hAnsi="Arial" w:cs="Arial"/>
                <w:sz w:val="22"/>
                <w:szCs w:val="22"/>
              </w:rPr>
              <w:t>C</w:t>
            </w:r>
            <w:r w:rsidR="003D7826" w:rsidRPr="00BE2C8E">
              <w:rPr>
                <w:rStyle w:val="s1"/>
                <w:rFonts w:ascii="Arial" w:eastAsia="Arial" w:hAnsi="Arial" w:cs="Arial"/>
                <w:sz w:val="22"/>
                <w:szCs w:val="22"/>
              </w:rPr>
              <w:t xml:space="preserve">om </w:t>
            </w:r>
            <w:r w:rsidR="003D7826" w:rsidRPr="00BE2C8E">
              <w:rPr>
                <w:rStyle w:val="s2"/>
                <w:rFonts w:ascii="Arial" w:eastAsia="Arial" w:hAnsi="Arial" w:cs="Arial"/>
                <w:sz w:val="22"/>
                <w:szCs w:val="22"/>
              </w:rPr>
              <w:lastRenderedPageBreak/>
              <w:t>maior consumo na Ásia (35%)</w:t>
            </w:r>
            <w:r w:rsidR="003D7826" w:rsidRPr="00BE2C8E">
              <w:rPr>
                <w:rStyle w:val="s1"/>
                <w:rFonts w:ascii="Arial" w:eastAsia="Arial" w:hAnsi="Arial" w:cs="Arial"/>
                <w:sz w:val="22"/>
                <w:szCs w:val="22"/>
              </w:rPr>
              <w:t xml:space="preserve">, </w:t>
            </w:r>
            <w:r w:rsidR="003D7826" w:rsidRPr="00BE2C8E">
              <w:rPr>
                <w:rStyle w:val="s2"/>
                <w:rFonts w:ascii="Arial" w:eastAsia="Arial" w:hAnsi="Arial" w:cs="Arial"/>
                <w:sz w:val="22"/>
                <w:szCs w:val="22"/>
              </w:rPr>
              <w:t>América do Norte (28%)</w:t>
            </w:r>
            <w:r w:rsidR="003D7826" w:rsidRPr="00BE2C8E">
              <w:rPr>
                <w:rStyle w:val="s1"/>
                <w:rFonts w:ascii="Arial" w:eastAsia="Arial" w:hAnsi="Arial" w:cs="Arial"/>
                <w:sz w:val="22"/>
                <w:szCs w:val="22"/>
              </w:rPr>
              <w:t xml:space="preserve"> e </w:t>
            </w:r>
            <w:r w:rsidR="003D7826" w:rsidRPr="00BE2C8E">
              <w:rPr>
                <w:rStyle w:val="s2"/>
                <w:rFonts w:ascii="Arial" w:eastAsia="Arial" w:hAnsi="Arial" w:cs="Arial"/>
                <w:sz w:val="22"/>
                <w:szCs w:val="22"/>
              </w:rPr>
              <w:t>América Latina (18%)</w:t>
            </w:r>
            <w:r w:rsidR="003D7826" w:rsidRPr="00BE2C8E">
              <w:rPr>
                <w:rStyle w:val="s1"/>
                <w:rFonts w:ascii="Arial" w:eastAsia="Arial" w:hAnsi="Arial" w:cs="Arial"/>
                <w:sz w:val="22"/>
                <w:szCs w:val="22"/>
              </w:rPr>
              <w:t>. O aumento é atribuído à alta prevalência de rinite e ao uso indiscriminado desses fármacos.</w:t>
            </w:r>
          </w:p>
        </w:tc>
        <w:tc>
          <w:tcPr>
            <w:tcW w:w="2880" w:type="dxa"/>
          </w:tcPr>
          <w:p w14:paraId="59145358" w14:textId="77777777" w:rsidR="003D70BE" w:rsidRPr="00BE2C8E" w:rsidRDefault="003D7826" w:rsidP="003D7826">
            <w:pPr>
              <w:pBdr>
                <w:left w:val="single" w:sz="4" w:space="4" w:color="auto"/>
              </w:pBdr>
              <w:ind w:left="0" w:firstLine="0"/>
              <w:rPr>
                <w:sz w:val="22"/>
                <w:szCs w:val="22"/>
              </w:rPr>
            </w:pPr>
            <w:r w:rsidRPr="00BE2C8E">
              <w:rPr>
                <w:sz w:val="22"/>
                <w:szCs w:val="22"/>
              </w:rPr>
              <w:lastRenderedPageBreak/>
              <w:t>Estudo de mercado Internacional (análise estatística)</w:t>
            </w:r>
          </w:p>
        </w:tc>
      </w:tr>
      <w:tr w:rsidR="003D70BE" w:rsidRPr="00BE2C8E" w14:paraId="39CDC722" w14:textId="77777777" w:rsidTr="002A0CB0">
        <w:tc>
          <w:tcPr>
            <w:tcW w:w="2880" w:type="dxa"/>
          </w:tcPr>
          <w:p w14:paraId="32AE8A4B" w14:textId="77777777" w:rsidR="003D70BE" w:rsidRPr="00BE2C8E" w:rsidRDefault="003D70BE" w:rsidP="002A0CB0">
            <w:pPr>
              <w:pBdr>
                <w:left w:val="single" w:sz="4" w:space="4" w:color="auto"/>
              </w:pBdr>
              <w:rPr>
                <w:sz w:val="22"/>
                <w:szCs w:val="22"/>
              </w:rPr>
            </w:pPr>
            <w:r w:rsidRPr="00BE2C8E">
              <w:rPr>
                <w:sz w:val="22"/>
                <w:szCs w:val="22"/>
              </w:rPr>
              <w:t>CMED, 2024</w:t>
            </w:r>
            <w:r w:rsidR="000C1FCB" w:rsidRPr="00BE2C8E">
              <w:rPr>
                <w:sz w:val="22"/>
                <w:szCs w:val="22"/>
              </w:rPr>
              <w:t xml:space="preserve"> / Câmara de Regulação do Mercado de Medicamentos, 2024</w:t>
            </w:r>
          </w:p>
        </w:tc>
        <w:tc>
          <w:tcPr>
            <w:tcW w:w="2880" w:type="dxa"/>
          </w:tcPr>
          <w:p w14:paraId="6CFC1C4F" w14:textId="77777777" w:rsidR="003D70BE" w:rsidRPr="00BE2C8E" w:rsidRDefault="003D70BE" w:rsidP="003D7826">
            <w:pPr>
              <w:pStyle w:val="p1"/>
              <w:rPr>
                <w:sz w:val="22"/>
                <w:szCs w:val="22"/>
              </w:rPr>
            </w:pPr>
            <w:r w:rsidRPr="00BE2C8E">
              <w:rPr>
                <w:rFonts w:ascii="Arial" w:hAnsi="Arial" w:cs="Arial"/>
                <w:sz w:val="22"/>
                <w:szCs w:val="22"/>
              </w:rPr>
              <w:t>Dados de regulação de preços e circulação de descongestionantes no Brasil.</w:t>
            </w:r>
            <w:r w:rsidR="003D7826" w:rsidRPr="00BE2C8E">
              <w:rPr>
                <w:rStyle w:val="s1"/>
                <w:rFonts w:ascii="Arial" w:eastAsia="Arial" w:hAnsi="Arial" w:cs="Arial"/>
                <w:sz w:val="22"/>
                <w:szCs w:val="22"/>
              </w:rPr>
              <w:t xml:space="preserve">indicam </w:t>
            </w:r>
            <w:r w:rsidR="003D7826" w:rsidRPr="00BE2C8E">
              <w:rPr>
                <w:rStyle w:val="s2"/>
                <w:rFonts w:ascii="Arial" w:eastAsia="Arial" w:hAnsi="Arial" w:cs="Arial"/>
                <w:sz w:val="22"/>
                <w:szCs w:val="22"/>
              </w:rPr>
              <w:t>maior volume de vendas nas regiões Sudeste (45%) eSul (22%)</w:t>
            </w:r>
            <w:r w:rsidR="003D7826" w:rsidRPr="00BE2C8E">
              <w:rPr>
                <w:rStyle w:val="s1"/>
                <w:rFonts w:ascii="Arial" w:eastAsia="Arial" w:hAnsi="Arial" w:cs="Arial"/>
                <w:sz w:val="22"/>
                <w:szCs w:val="22"/>
              </w:rPr>
              <w:t xml:space="preserve">, com valores de comercialização variando de </w:t>
            </w:r>
            <w:r w:rsidR="003D7826" w:rsidRPr="00BE2C8E">
              <w:rPr>
                <w:rStyle w:val="s2"/>
                <w:rFonts w:ascii="Arial" w:eastAsia="Arial" w:hAnsi="Arial" w:cs="Arial"/>
                <w:sz w:val="22"/>
                <w:szCs w:val="22"/>
              </w:rPr>
              <w:t>R$ 6,00 a R$ 18,00 por unidade</w:t>
            </w:r>
            <w:r w:rsidR="003D7826" w:rsidRPr="00BE2C8E">
              <w:rPr>
                <w:rStyle w:val="s1"/>
                <w:rFonts w:ascii="Arial" w:eastAsia="Arial" w:hAnsi="Arial" w:cs="Arial"/>
                <w:sz w:val="22"/>
                <w:szCs w:val="22"/>
              </w:rPr>
              <w:t xml:space="preserve"> de descongestionante nasal.</w:t>
            </w:r>
          </w:p>
        </w:tc>
        <w:tc>
          <w:tcPr>
            <w:tcW w:w="2880" w:type="dxa"/>
          </w:tcPr>
          <w:p w14:paraId="1ED70454" w14:textId="77777777" w:rsidR="003D70BE" w:rsidRPr="00BE2C8E" w:rsidRDefault="003D7826" w:rsidP="002A0CB0">
            <w:pPr>
              <w:pBdr>
                <w:left w:val="single" w:sz="4" w:space="4" w:color="auto"/>
              </w:pBdr>
              <w:rPr>
                <w:sz w:val="22"/>
                <w:szCs w:val="22"/>
              </w:rPr>
            </w:pPr>
            <w:r w:rsidRPr="00BE2C8E">
              <w:rPr>
                <w:sz w:val="22"/>
                <w:szCs w:val="22"/>
              </w:rPr>
              <w:t xml:space="preserve">Relatório estatísticos nacional </w:t>
            </w:r>
          </w:p>
        </w:tc>
      </w:tr>
      <w:tr w:rsidR="003D70BE" w:rsidRPr="00BE2C8E" w14:paraId="50244015" w14:textId="77777777" w:rsidTr="002A0CB0">
        <w:tc>
          <w:tcPr>
            <w:tcW w:w="2880" w:type="dxa"/>
          </w:tcPr>
          <w:p w14:paraId="265D3B2B" w14:textId="77777777" w:rsidR="003D70BE" w:rsidRPr="00BE2C8E" w:rsidRDefault="003D70BE" w:rsidP="002A0CB0">
            <w:pPr>
              <w:pBdr>
                <w:left w:val="single" w:sz="4" w:space="4" w:color="auto"/>
              </w:pBdr>
              <w:rPr>
                <w:sz w:val="22"/>
                <w:szCs w:val="22"/>
              </w:rPr>
            </w:pPr>
            <w:r w:rsidRPr="00BE2C8E">
              <w:rPr>
                <w:sz w:val="22"/>
                <w:szCs w:val="22"/>
              </w:rPr>
              <w:t>ANVISA, 2021</w:t>
            </w:r>
          </w:p>
        </w:tc>
        <w:tc>
          <w:tcPr>
            <w:tcW w:w="2880" w:type="dxa"/>
          </w:tcPr>
          <w:p w14:paraId="61B3B5F6" w14:textId="77777777" w:rsidR="003D70BE" w:rsidRPr="00BE2C8E" w:rsidRDefault="003D70BE" w:rsidP="002A0CB0">
            <w:pPr>
              <w:pBdr>
                <w:left w:val="single" w:sz="4" w:space="4" w:color="auto"/>
              </w:pBdr>
              <w:rPr>
                <w:sz w:val="22"/>
                <w:szCs w:val="22"/>
              </w:rPr>
            </w:pPr>
            <w:r w:rsidRPr="00BE2C8E">
              <w:rPr>
                <w:sz w:val="22"/>
                <w:szCs w:val="22"/>
              </w:rPr>
              <w:t>Nota alerta sobre circulação descontrolada de nafazolina; necessidade de maior vigilância.</w:t>
            </w:r>
          </w:p>
        </w:tc>
        <w:tc>
          <w:tcPr>
            <w:tcW w:w="2880" w:type="dxa"/>
          </w:tcPr>
          <w:p w14:paraId="46589A4C" w14:textId="77777777" w:rsidR="003D70BE" w:rsidRPr="00BE2C8E" w:rsidRDefault="003D70BE" w:rsidP="002A0CB0">
            <w:pPr>
              <w:pBdr>
                <w:left w:val="single" w:sz="4" w:space="4" w:color="auto"/>
              </w:pBdr>
              <w:rPr>
                <w:sz w:val="22"/>
                <w:szCs w:val="22"/>
              </w:rPr>
            </w:pPr>
            <w:r w:rsidRPr="00BE2C8E">
              <w:rPr>
                <w:sz w:val="22"/>
                <w:szCs w:val="22"/>
              </w:rPr>
              <w:t>Nota de Alerta 01/2021</w:t>
            </w:r>
          </w:p>
        </w:tc>
      </w:tr>
      <w:tr w:rsidR="003D70BE" w:rsidRPr="00BE2C8E" w14:paraId="4C511480" w14:textId="77777777" w:rsidTr="002A0CB0">
        <w:tc>
          <w:tcPr>
            <w:tcW w:w="2880" w:type="dxa"/>
          </w:tcPr>
          <w:p w14:paraId="19BB43BE" w14:textId="77777777" w:rsidR="003D70BE" w:rsidRPr="00BE2C8E" w:rsidRDefault="003D70BE" w:rsidP="002A0CB0">
            <w:pPr>
              <w:pBdr>
                <w:left w:val="single" w:sz="4" w:space="4" w:color="auto"/>
              </w:pBdr>
              <w:rPr>
                <w:sz w:val="22"/>
                <w:szCs w:val="22"/>
              </w:rPr>
            </w:pPr>
            <w:r w:rsidRPr="00BE2C8E">
              <w:rPr>
                <w:sz w:val="22"/>
                <w:szCs w:val="22"/>
              </w:rPr>
              <w:t xml:space="preserve">Matos </w:t>
            </w:r>
            <w:r w:rsidRPr="00BE2C8E">
              <w:rPr>
                <w:i/>
                <w:sz w:val="22"/>
                <w:szCs w:val="22"/>
              </w:rPr>
              <w:t>et al</w:t>
            </w:r>
            <w:r w:rsidRPr="00BE2C8E">
              <w:rPr>
                <w:sz w:val="22"/>
                <w:szCs w:val="22"/>
              </w:rPr>
              <w:t>., 2017</w:t>
            </w:r>
            <w:r w:rsidR="000C1FCB" w:rsidRPr="00BE2C8E">
              <w:rPr>
                <w:sz w:val="22"/>
                <w:szCs w:val="22"/>
              </w:rPr>
              <w:t xml:space="preserve"> / CRF-SP, 2017</w:t>
            </w:r>
          </w:p>
        </w:tc>
        <w:tc>
          <w:tcPr>
            <w:tcW w:w="2880" w:type="dxa"/>
          </w:tcPr>
          <w:p w14:paraId="402288E5" w14:textId="77777777" w:rsidR="003D70BE" w:rsidRPr="00BE2C8E" w:rsidRDefault="003D7826" w:rsidP="003D7826">
            <w:pPr>
              <w:pStyle w:val="p1"/>
              <w:rPr>
                <w:rFonts w:ascii="Arial" w:hAnsi="Arial" w:cs="Arial"/>
                <w:sz w:val="22"/>
                <w:szCs w:val="22"/>
              </w:rPr>
            </w:pPr>
            <w:r w:rsidRPr="00BE2C8E">
              <w:rPr>
                <w:rStyle w:val="s1"/>
                <w:rFonts w:ascii="Arial" w:eastAsia="Arial" w:hAnsi="Arial" w:cs="Arial"/>
                <w:sz w:val="22"/>
                <w:szCs w:val="22"/>
              </w:rPr>
              <w:t xml:space="preserve">Estudo identificou </w:t>
            </w:r>
            <w:r w:rsidRPr="00BE2C8E">
              <w:rPr>
                <w:rStyle w:val="s2"/>
                <w:rFonts w:ascii="Arial" w:eastAsia="Arial" w:hAnsi="Arial" w:cs="Arial"/>
                <w:sz w:val="22"/>
                <w:szCs w:val="22"/>
              </w:rPr>
              <w:t>59,7% de prevalência de uso</w:t>
            </w:r>
            <w:r w:rsidRPr="00BE2C8E">
              <w:rPr>
                <w:rStyle w:val="s1"/>
                <w:rFonts w:ascii="Arial" w:eastAsia="Arial" w:hAnsi="Arial" w:cs="Arial"/>
                <w:sz w:val="22"/>
                <w:szCs w:val="22"/>
              </w:rPr>
              <w:t xml:space="preserve"> entre universitários da Baixada Santista, com </w:t>
            </w:r>
            <w:r w:rsidRPr="00BE2C8E">
              <w:rPr>
                <w:rStyle w:val="s2"/>
                <w:rFonts w:ascii="Arial" w:eastAsia="Arial" w:hAnsi="Arial" w:cs="Arial"/>
                <w:sz w:val="22"/>
                <w:szCs w:val="22"/>
              </w:rPr>
              <w:t>70,3% praticando automedicação</w:t>
            </w:r>
            <w:r w:rsidRPr="00BE2C8E">
              <w:rPr>
                <w:rStyle w:val="s1"/>
                <w:rFonts w:ascii="Arial" w:eastAsia="Arial" w:hAnsi="Arial" w:cs="Arial"/>
                <w:sz w:val="22"/>
                <w:szCs w:val="22"/>
              </w:rPr>
              <w:t xml:space="preserve">. O local do estudo foi </w:t>
            </w:r>
            <w:r w:rsidRPr="00BE2C8E">
              <w:rPr>
                <w:rStyle w:val="s2"/>
                <w:rFonts w:ascii="Arial" w:eastAsia="Arial" w:hAnsi="Arial" w:cs="Arial"/>
                <w:sz w:val="22"/>
                <w:szCs w:val="22"/>
              </w:rPr>
              <w:t>universidades da região da Baixada Santista (SP)</w:t>
            </w:r>
            <w:r w:rsidRPr="00BE2C8E">
              <w:rPr>
                <w:rStyle w:val="s1"/>
                <w:rFonts w:ascii="Arial" w:eastAsia="Arial" w:hAnsi="Arial" w:cs="Arial"/>
                <w:sz w:val="22"/>
                <w:szCs w:val="22"/>
              </w:rPr>
              <w:t>.</w:t>
            </w:r>
          </w:p>
        </w:tc>
        <w:tc>
          <w:tcPr>
            <w:tcW w:w="2880" w:type="dxa"/>
          </w:tcPr>
          <w:p w14:paraId="07EA8DDD" w14:textId="77777777" w:rsidR="003D70BE" w:rsidRPr="00BE2C8E" w:rsidRDefault="003D7826" w:rsidP="002A0CB0">
            <w:pPr>
              <w:pBdr>
                <w:left w:val="single" w:sz="4" w:space="4" w:color="auto"/>
              </w:pBdr>
              <w:rPr>
                <w:sz w:val="22"/>
                <w:szCs w:val="22"/>
              </w:rPr>
            </w:pPr>
            <w:r w:rsidRPr="00BE2C8E">
              <w:rPr>
                <w:sz w:val="22"/>
                <w:szCs w:val="22"/>
              </w:rPr>
              <w:t xml:space="preserve">Estudo observacional local </w:t>
            </w:r>
          </w:p>
        </w:tc>
      </w:tr>
      <w:tr w:rsidR="003D70BE" w:rsidRPr="00BE2C8E" w14:paraId="1FC2195F" w14:textId="77777777" w:rsidTr="002A0CB0">
        <w:tc>
          <w:tcPr>
            <w:tcW w:w="2880" w:type="dxa"/>
          </w:tcPr>
          <w:p w14:paraId="5D8C5BB3" w14:textId="77777777" w:rsidR="003D70BE" w:rsidRPr="00BE2C8E" w:rsidRDefault="003D70BE" w:rsidP="002A0CB0">
            <w:pPr>
              <w:pBdr>
                <w:left w:val="single" w:sz="4" w:space="4" w:color="auto"/>
              </w:pBdr>
              <w:rPr>
                <w:sz w:val="22"/>
                <w:szCs w:val="22"/>
              </w:rPr>
            </w:pPr>
            <w:r w:rsidRPr="00BE2C8E">
              <w:rPr>
                <w:sz w:val="22"/>
                <w:szCs w:val="22"/>
              </w:rPr>
              <w:t xml:space="preserve">Sousa </w:t>
            </w:r>
            <w:r w:rsidRPr="00BE2C8E">
              <w:rPr>
                <w:i/>
                <w:sz w:val="22"/>
                <w:szCs w:val="22"/>
              </w:rPr>
              <w:t>et al</w:t>
            </w:r>
            <w:r w:rsidRPr="00BE2C8E">
              <w:rPr>
                <w:sz w:val="22"/>
                <w:szCs w:val="22"/>
              </w:rPr>
              <w:t>., 2021</w:t>
            </w:r>
            <w:r w:rsidR="000C1FCB" w:rsidRPr="00BE2C8E">
              <w:rPr>
                <w:sz w:val="22"/>
                <w:szCs w:val="22"/>
              </w:rPr>
              <w:t xml:space="preserve"> / PUC Goiás, 2021</w:t>
            </w:r>
          </w:p>
        </w:tc>
        <w:tc>
          <w:tcPr>
            <w:tcW w:w="2880" w:type="dxa"/>
          </w:tcPr>
          <w:p w14:paraId="6CA6BCC3" w14:textId="77777777" w:rsidR="003D7826" w:rsidRPr="00BE2C8E" w:rsidRDefault="003D7826" w:rsidP="003D7826">
            <w:pPr>
              <w:pStyle w:val="p1"/>
              <w:rPr>
                <w:rFonts w:ascii="Arial" w:eastAsia="Arial" w:hAnsi="Arial" w:cs="Arial"/>
                <w:sz w:val="22"/>
                <w:szCs w:val="22"/>
              </w:rPr>
            </w:pPr>
            <w:r w:rsidRPr="00BE2C8E">
              <w:rPr>
                <w:rStyle w:val="s1"/>
                <w:rFonts w:ascii="Arial" w:eastAsia="Arial" w:hAnsi="Arial" w:cs="Arial"/>
                <w:sz w:val="22"/>
                <w:szCs w:val="22"/>
              </w:rPr>
              <w:t xml:space="preserve">Entre estudantes de Medicina da PUC Goiás, </w:t>
            </w:r>
            <w:r w:rsidRPr="00BE2C8E">
              <w:rPr>
                <w:rStyle w:val="s2"/>
                <w:rFonts w:ascii="Arial" w:eastAsia="Arial" w:hAnsi="Arial" w:cs="Arial"/>
                <w:sz w:val="22"/>
                <w:szCs w:val="22"/>
              </w:rPr>
              <w:t>66,2% relataram uso prolongado superior a seis meses</w:t>
            </w:r>
            <w:r w:rsidRPr="00BE2C8E">
              <w:rPr>
                <w:rStyle w:val="s1"/>
                <w:rFonts w:ascii="Arial" w:eastAsia="Arial" w:hAnsi="Arial" w:cs="Arial"/>
                <w:sz w:val="22"/>
                <w:szCs w:val="22"/>
              </w:rPr>
              <w:t>, caracterizando dependência e falta de orientação profissional.</w:t>
            </w:r>
          </w:p>
          <w:p w14:paraId="53A483C4" w14:textId="77777777" w:rsidR="003D70BE" w:rsidRPr="00BE2C8E" w:rsidRDefault="003D70BE" w:rsidP="002A0CB0">
            <w:pPr>
              <w:pBdr>
                <w:left w:val="single" w:sz="4" w:space="4" w:color="auto"/>
              </w:pBdr>
              <w:rPr>
                <w:color w:val="FF0000"/>
                <w:sz w:val="22"/>
                <w:szCs w:val="22"/>
              </w:rPr>
            </w:pPr>
          </w:p>
        </w:tc>
        <w:tc>
          <w:tcPr>
            <w:tcW w:w="2880" w:type="dxa"/>
          </w:tcPr>
          <w:p w14:paraId="695FEADD" w14:textId="77777777" w:rsidR="003D70BE" w:rsidRPr="00BE2C8E" w:rsidRDefault="003D7826" w:rsidP="002A0CB0">
            <w:pPr>
              <w:pBdr>
                <w:left w:val="single" w:sz="4" w:space="4" w:color="auto"/>
              </w:pBdr>
              <w:rPr>
                <w:sz w:val="22"/>
                <w:szCs w:val="22"/>
              </w:rPr>
            </w:pPr>
            <w:r w:rsidRPr="00BE2C8E">
              <w:rPr>
                <w:sz w:val="22"/>
                <w:szCs w:val="22"/>
              </w:rPr>
              <w:t xml:space="preserve">Trabalho acadêmico levantamento transversal </w:t>
            </w:r>
          </w:p>
        </w:tc>
      </w:tr>
    </w:tbl>
    <w:bookmarkEnd w:id="11"/>
    <w:bookmarkEnd w:id="12"/>
    <w:p w14:paraId="7454195D" w14:textId="223B06D7" w:rsidR="00987EE7" w:rsidRPr="00BE2C8E" w:rsidRDefault="00BE2C8E" w:rsidP="00987EE7">
      <w:pPr>
        <w:rPr>
          <w:sz w:val="20"/>
          <w:szCs w:val="20"/>
        </w:rPr>
      </w:pPr>
      <w:r w:rsidRPr="00BE2C8E">
        <w:rPr>
          <w:b/>
          <w:sz w:val="20"/>
          <w:szCs w:val="20"/>
        </w:rPr>
        <w:t>Font</w:t>
      </w:r>
      <w:r w:rsidR="000E6EB5">
        <w:rPr>
          <w:b/>
          <w:sz w:val="20"/>
          <w:szCs w:val="20"/>
        </w:rPr>
        <w:t>e:</w:t>
      </w:r>
      <w:r w:rsidRPr="00BE2C8E">
        <w:rPr>
          <w:sz w:val="20"/>
          <w:szCs w:val="20"/>
        </w:rPr>
        <w:t xml:space="preserve"> </w:t>
      </w:r>
      <w:r w:rsidR="000E6EB5">
        <w:rPr>
          <w:sz w:val="20"/>
          <w:szCs w:val="20"/>
        </w:rPr>
        <w:t>Próprio autor</w:t>
      </w:r>
      <w:r w:rsidRPr="00BE2C8E">
        <w:rPr>
          <w:sz w:val="20"/>
          <w:szCs w:val="20"/>
        </w:rPr>
        <w:t xml:space="preserve"> (2025).</w:t>
      </w:r>
    </w:p>
    <w:p w14:paraId="595E0C67" w14:textId="77777777" w:rsidR="00987EE7" w:rsidRPr="0072627E" w:rsidRDefault="00987EE7" w:rsidP="00602DCE">
      <w:pPr>
        <w:spacing w:after="114" w:line="360" w:lineRule="auto"/>
        <w:ind w:right="0" w:firstLine="709"/>
      </w:pPr>
    </w:p>
    <w:p w14:paraId="080EC2C8" w14:textId="77777777" w:rsidR="005D6618" w:rsidRPr="0072627E" w:rsidRDefault="005D6618" w:rsidP="005D6618">
      <w:pPr>
        <w:spacing w:after="114" w:line="360" w:lineRule="auto"/>
        <w:ind w:right="0" w:firstLine="709"/>
      </w:pPr>
    </w:p>
    <w:p w14:paraId="395333B2" w14:textId="77777777" w:rsidR="005D6618" w:rsidRPr="0072627E" w:rsidRDefault="005D6618" w:rsidP="005D6618">
      <w:pPr>
        <w:spacing w:after="114" w:line="360" w:lineRule="auto"/>
        <w:ind w:right="0" w:firstLine="709"/>
      </w:pPr>
    </w:p>
    <w:p w14:paraId="47F3009E" w14:textId="77777777" w:rsidR="00883E87" w:rsidRPr="0072627E" w:rsidRDefault="00883E87" w:rsidP="005D6618">
      <w:pPr>
        <w:spacing w:after="114" w:line="360" w:lineRule="auto"/>
        <w:ind w:right="0" w:firstLine="709"/>
      </w:pPr>
    </w:p>
    <w:p w14:paraId="506B75C7" w14:textId="77777777" w:rsidR="00883E87" w:rsidRPr="0072627E" w:rsidRDefault="00883E87" w:rsidP="005D6618">
      <w:pPr>
        <w:spacing w:after="114" w:line="360" w:lineRule="auto"/>
        <w:ind w:right="0" w:firstLine="709"/>
      </w:pPr>
    </w:p>
    <w:p w14:paraId="45923EF7" w14:textId="77777777" w:rsidR="00883E87" w:rsidRDefault="00883E87" w:rsidP="00D272F3">
      <w:pPr>
        <w:spacing w:after="114" w:line="360" w:lineRule="auto"/>
        <w:ind w:left="0" w:right="0" w:firstLine="0"/>
      </w:pPr>
    </w:p>
    <w:p w14:paraId="1686643F" w14:textId="77777777" w:rsidR="00BE2C8E" w:rsidRDefault="00BE2C8E" w:rsidP="00D272F3">
      <w:pPr>
        <w:spacing w:after="114" w:line="360" w:lineRule="auto"/>
        <w:ind w:left="0" w:right="0" w:firstLine="0"/>
      </w:pPr>
    </w:p>
    <w:p w14:paraId="3CC0888C" w14:textId="77777777" w:rsidR="00BE2C8E" w:rsidRDefault="00BE2C8E" w:rsidP="00D272F3">
      <w:pPr>
        <w:spacing w:after="114" w:line="360" w:lineRule="auto"/>
        <w:ind w:left="0" w:right="0" w:firstLine="0"/>
      </w:pPr>
    </w:p>
    <w:p w14:paraId="41433D86" w14:textId="77777777" w:rsidR="00BE2C8E" w:rsidRDefault="00BE2C8E" w:rsidP="00D272F3">
      <w:pPr>
        <w:spacing w:after="114" w:line="360" w:lineRule="auto"/>
        <w:ind w:left="0" w:right="0" w:firstLine="0"/>
      </w:pPr>
    </w:p>
    <w:p w14:paraId="4B9C0F47" w14:textId="77777777" w:rsidR="00BE2C8E" w:rsidRDefault="00BE2C8E" w:rsidP="00D272F3">
      <w:pPr>
        <w:spacing w:after="114" w:line="360" w:lineRule="auto"/>
        <w:ind w:left="0" w:right="0" w:firstLine="0"/>
      </w:pPr>
    </w:p>
    <w:p w14:paraId="3D02E937" w14:textId="77777777" w:rsidR="00BE2C8E" w:rsidRDefault="00BE2C8E" w:rsidP="00D272F3">
      <w:pPr>
        <w:spacing w:after="114" w:line="360" w:lineRule="auto"/>
        <w:ind w:left="0" w:right="0" w:firstLine="0"/>
      </w:pPr>
    </w:p>
    <w:p w14:paraId="33B9B554" w14:textId="77777777" w:rsidR="00BE2C8E" w:rsidRDefault="00BE2C8E" w:rsidP="00D272F3">
      <w:pPr>
        <w:spacing w:after="114" w:line="360" w:lineRule="auto"/>
        <w:ind w:left="0" w:right="0" w:firstLine="0"/>
      </w:pPr>
    </w:p>
    <w:p w14:paraId="766E22E4" w14:textId="77777777" w:rsidR="00BE2C8E" w:rsidRPr="0072627E" w:rsidRDefault="00BE2C8E" w:rsidP="00D272F3">
      <w:pPr>
        <w:spacing w:after="114" w:line="360" w:lineRule="auto"/>
        <w:ind w:left="0" w:right="0" w:firstLine="0"/>
      </w:pPr>
    </w:p>
    <w:p w14:paraId="7A3D7AB0" w14:textId="77777777" w:rsidR="00883E87" w:rsidRPr="0072627E" w:rsidRDefault="00883E87" w:rsidP="005D6618">
      <w:pPr>
        <w:spacing w:after="114" w:line="360" w:lineRule="auto"/>
        <w:ind w:right="0" w:firstLine="709"/>
      </w:pPr>
    </w:p>
    <w:p w14:paraId="2398A781" w14:textId="77777777" w:rsidR="005D6618" w:rsidRPr="0072627E" w:rsidRDefault="00756072" w:rsidP="00756072">
      <w:pPr>
        <w:pStyle w:val="Ttulo1"/>
      </w:pPr>
      <w:bookmarkStart w:id="13" w:name="_Toc211152529"/>
      <w:r w:rsidRPr="0072627E">
        <w:t>DISCUSSÃO</w:t>
      </w:r>
      <w:bookmarkEnd w:id="13"/>
    </w:p>
    <w:p w14:paraId="325EB331" w14:textId="77777777" w:rsidR="00756072" w:rsidRPr="0072627E" w:rsidRDefault="00756072" w:rsidP="00756072"/>
    <w:p w14:paraId="760D2288" w14:textId="77777777" w:rsidR="00BE2C8E" w:rsidRDefault="0072627E" w:rsidP="00BE2C8E">
      <w:pPr>
        <w:spacing w:after="0" w:line="360" w:lineRule="auto"/>
        <w:ind w:firstLine="709"/>
        <w:rPr>
          <w:rFonts w:cs="Arial"/>
        </w:rPr>
      </w:pPr>
      <w:r w:rsidRPr="0072627E">
        <w:rPr>
          <w:rFonts w:cs="Arial"/>
        </w:rPr>
        <w:t>A nafazolina é uma amina simpatomimética derivada das imidazolinas, utilizada como vasoconstritor tópico em formulações nasais e oftálmicas. Atua como agonista adrenérgico de ação direta, com alta afinidade pelos receptores α</w:t>
      </w:r>
      <w:r w:rsidRPr="0072627E">
        <w:rPr>
          <w:rFonts w:ascii="Cambria Math" w:hAnsi="Cambria Math" w:cs="Cambria Math"/>
        </w:rPr>
        <w:t>₁</w:t>
      </w:r>
      <w:r w:rsidRPr="0072627E">
        <w:rPr>
          <w:rFonts w:cs="Arial"/>
        </w:rPr>
        <w:t>-adrenérgicos e, em menor grau, pelos α</w:t>
      </w:r>
      <w:r w:rsidRPr="0072627E">
        <w:rPr>
          <w:rFonts w:ascii="Cambria Math" w:hAnsi="Cambria Math" w:cs="Cambria Math"/>
        </w:rPr>
        <w:t>₂</w:t>
      </w:r>
      <w:r w:rsidRPr="0072627E">
        <w:rPr>
          <w:rFonts w:cs="Arial"/>
        </w:rPr>
        <w:t>-adrenérgicos, promovendo vasoconstrição intensa da mucosa nasal e consequente redução do edema, hiperemia e secreção, resultando em alívio sintomático imediato da congestão nasal (</w:t>
      </w:r>
      <w:r w:rsidR="00BE2C8E" w:rsidRPr="0072627E">
        <w:rPr>
          <w:rFonts w:cs="Arial"/>
        </w:rPr>
        <w:t>Katzung, 2018; Goodman; Gilman, 2019; Moráis</w:t>
      </w:r>
      <w:r w:rsidRPr="0072627E">
        <w:rPr>
          <w:rFonts w:cs="Arial"/>
        </w:rPr>
        <w:t xml:space="preserve"> </w:t>
      </w:r>
      <w:r w:rsidRPr="00BE2C8E">
        <w:rPr>
          <w:rFonts w:cs="Arial"/>
          <w:i/>
        </w:rPr>
        <w:t>et al</w:t>
      </w:r>
      <w:r w:rsidRPr="0072627E">
        <w:rPr>
          <w:rFonts w:cs="Arial"/>
        </w:rPr>
        <w:t>., 2024). Quimicamente, o fármaco é um derivado imidazólico cuja estrutura apresenta um anel imidazolina ligado a um núcleo naftílico, o que confere elevada lipossolubilidade e rápida penetração nas membranas mucosas (</w:t>
      </w:r>
      <w:r w:rsidR="00BE2C8E" w:rsidRPr="0072627E">
        <w:rPr>
          <w:rFonts w:cs="Arial"/>
        </w:rPr>
        <w:t>Fischer; Ganellin</w:t>
      </w:r>
      <w:r w:rsidRPr="0072627E">
        <w:rPr>
          <w:rFonts w:cs="Arial"/>
        </w:rPr>
        <w:t>, 2006; K</w:t>
      </w:r>
      <w:r w:rsidR="00BE2C8E" w:rsidRPr="0072627E">
        <w:rPr>
          <w:rFonts w:cs="Arial"/>
        </w:rPr>
        <w:t>im</w:t>
      </w:r>
      <w:r w:rsidRPr="0072627E">
        <w:rPr>
          <w:rFonts w:cs="Arial"/>
        </w:rPr>
        <w:t xml:space="preserve"> </w:t>
      </w:r>
      <w:r w:rsidRPr="00BE2C8E">
        <w:rPr>
          <w:rFonts w:cs="Arial"/>
          <w:i/>
        </w:rPr>
        <w:t>et al</w:t>
      </w:r>
      <w:r w:rsidRPr="0072627E">
        <w:rPr>
          <w:rFonts w:cs="Arial"/>
        </w:rPr>
        <w:t xml:space="preserve">., 2023). </w:t>
      </w:r>
    </w:p>
    <w:p w14:paraId="70F2C366" w14:textId="77777777" w:rsidR="0072627E" w:rsidRDefault="0072627E" w:rsidP="00BE2C8E">
      <w:pPr>
        <w:spacing w:after="0" w:line="360" w:lineRule="auto"/>
        <w:ind w:firstLine="709"/>
        <w:rPr>
          <w:rFonts w:cs="Arial"/>
        </w:rPr>
      </w:pPr>
      <w:r w:rsidRPr="0072627E">
        <w:rPr>
          <w:rFonts w:cs="Arial"/>
        </w:rPr>
        <w:t>Apesar de eficaz, o uso prolongado da nafazolina pode causar dessensibilização dos receptores adrenérgicos, desencadeando efeito rebote e rinite medicamentosa, além de efeitos cardiovasculares sistêmicos como taquicardia, hipertensão e arritmias (S</w:t>
      </w:r>
      <w:r w:rsidR="00BE2C8E" w:rsidRPr="0072627E">
        <w:rPr>
          <w:rFonts w:cs="Arial"/>
        </w:rPr>
        <w:t>ilva</w:t>
      </w:r>
      <w:r w:rsidRPr="0072627E">
        <w:rPr>
          <w:rFonts w:cs="Arial"/>
        </w:rPr>
        <w:t xml:space="preserve"> </w:t>
      </w:r>
      <w:r w:rsidRPr="00BE2C8E">
        <w:rPr>
          <w:rFonts w:cs="Arial"/>
          <w:i/>
        </w:rPr>
        <w:t>et al</w:t>
      </w:r>
      <w:r w:rsidRPr="0072627E">
        <w:rPr>
          <w:rFonts w:cs="Arial"/>
        </w:rPr>
        <w:t>., 2024; L</w:t>
      </w:r>
      <w:r w:rsidR="00BE2C8E" w:rsidRPr="0072627E">
        <w:rPr>
          <w:rFonts w:cs="Arial"/>
        </w:rPr>
        <w:t>ima</w:t>
      </w:r>
      <w:r w:rsidRPr="0072627E">
        <w:rPr>
          <w:rFonts w:cs="Arial"/>
        </w:rPr>
        <w:t>; S</w:t>
      </w:r>
      <w:r w:rsidR="00BE2C8E" w:rsidRPr="0072627E">
        <w:rPr>
          <w:rFonts w:cs="Arial"/>
        </w:rPr>
        <w:t>ilva</w:t>
      </w:r>
      <w:r w:rsidRPr="0072627E">
        <w:rPr>
          <w:rFonts w:cs="Arial"/>
        </w:rPr>
        <w:t>; S</w:t>
      </w:r>
      <w:r w:rsidR="00BE2C8E" w:rsidRPr="0072627E">
        <w:rPr>
          <w:rFonts w:cs="Arial"/>
        </w:rPr>
        <w:t>iqueira</w:t>
      </w:r>
      <w:r w:rsidRPr="0072627E">
        <w:rPr>
          <w:rFonts w:cs="Arial"/>
        </w:rPr>
        <w:t>, 2021; ANVISA, 2021; Z</w:t>
      </w:r>
      <w:r w:rsidR="00BE2C8E" w:rsidRPr="0072627E">
        <w:rPr>
          <w:rFonts w:cs="Arial"/>
        </w:rPr>
        <w:t>avala</w:t>
      </w:r>
      <w:r w:rsidRPr="0072627E">
        <w:rPr>
          <w:rFonts w:cs="Arial"/>
        </w:rPr>
        <w:t xml:space="preserve"> </w:t>
      </w:r>
      <w:r w:rsidRPr="00BE2C8E">
        <w:rPr>
          <w:rFonts w:cs="Arial"/>
          <w:i/>
        </w:rPr>
        <w:t>et al</w:t>
      </w:r>
      <w:r w:rsidRPr="0072627E">
        <w:rPr>
          <w:rFonts w:cs="Arial"/>
        </w:rPr>
        <w:t>., 2004). Esses riscos reforçam a importância do acompanhamento farmacêutico e da educação em saúde, voltados à prevenção da automedicação e ao uso racional de medicamentos (B</w:t>
      </w:r>
      <w:r w:rsidR="00BE2C8E" w:rsidRPr="0072627E">
        <w:rPr>
          <w:rFonts w:cs="Arial"/>
        </w:rPr>
        <w:t>rito</w:t>
      </w:r>
      <w:r w:rsidRPr="0072627E">
        <w:rPr>
          <w:rFonts w:cs="Arial"/>
        </w:rPr>
        <w:t xml:space="preserve"> </w:t>
      </w:r>
      <w:r w:rsidRPr="00BE2C8E">
        <w:rPr>
          <w:rFonts w:cs="Arial"/>
          <w:i/>
        </w:rPr>
        <w:t>et al</w:t>
      </w:r>
      <w:r w:rsidRPr="0072627E">
        <w:rPr>
          <w:rFonts w:cs="Arial"/>
        </w:rPr>
        <w:t>., 2022; OPAS, 2014).</w:t>
      </w:r>
    </w:p>
    <w:p w14:paraId="2C3F13F8" w14:textId="77777777" w:rsidR="0072627E" w:rsidRPr="001128CC" w:rsidRDefault="0072627E" w:rsidP="00BE2C8E">
      <w:pPr>
        <w:spacing w:after="0" w:line="360" w:lineRule="auto"/>
        <w:ind w:firstLine="709"/>
        <w:rPr>
          <w:rFonts w:cs="Arial"/>
        </w:rPr>
      </w:pPr>
      <w:r w:rsidRPr="001128CC">
        <w:rPr>
          <w:rFonts w:cs="Arial"/>
        </w:rPr>
        <w:t xml:space="preserve">As evidências científicas demonstram que os efeitos adversos associados ao uso de descongestionantes nasais à base de nafazolina são amplos e relevantes, variando desde reações leves, como irritação e ressecamento da mucosa nasal, até complicações graves e potencialmente fatais. O uso prolongado pode ocasionar rinite medicamentosa, dependência fisiológica, taquicardia e alterações na pressão arterial, </w:t>
      </w:r>
      <w:r w:rsidRPr="001128CC">
        <w:rPr>
          <w:rFonts w:cs="Arial"/>
        </w:rPr>
        <w:lastRenderedPageBreak/>
        <w:t xml:space="preserve">entre outros efeitos sistêmicos (Silva, 2024; Lima, 2021; Morais, 2024). Esses achados comprovam que a nafazolina, embora eficaz no alívio imediato da congestão, apresenta riscos importantes quando utilizada sem acompanhamento profissional. Além disso, refletem falhas na fiscalização e na prática de dispensação, já que, mesmo sendo um medicamento sob prescrição, ainda é amplamente comercializado sem controle (Fernandes; Souza; Lima, 2021; Campos </w:t>
      </w:r>
      <w:r w:rsidRPr="00BE2C8E">
        <w:rPr>
          <w:rFonts w:cs="Arial"/>
          <w:i/>
        </w:rPr>
        <w:t>et al</w:t>
      </w:r>
      <w:r w:rsidRPr="001128CC">
        <w:rPr>
          <w:rFonts w:cs="Arial"/>
        </w:rPr>
        <w:t>., 2019).</w:t>
      </w:r>
    </w:p>
    <w:p w14:paraId="0AEDEAF0" w14:textId="77777777" w:rsidR="0072627E" w:rsidRPr="001128CC" w:rsidRDefault="0072627E" w:rsidP="00BE2C8E">
      <w:pPr>
        <w:spacing w:after="0" w:line="360" w:lineRule="auto"/>
        <w:ind w:firstLine="709"/>
        <w:rPr>
          <w:rFonts w:cs="Arial"/>
        </w:rPr>
      </w:pPr>
      <w:r w:rsidRPr="001128CC">
        <w:rPr>
          <w:rFonts w:cs="Arial"/>
        </w:rPr>
        <w:t>Os dados do mercado farmacêutico brasileiro evidenciam a dimensão desse problema. Em 2023, o cloridrato de nafazolina figurou entre as substâncias mais comercializadas no país, com um volume estimado entre 50 e 100 milhões de unidades vendidas, o que demonstra sua popularidade e fácil acesso (Câmara de Regulação do Mercado de Medicamentos, 2024). Em 2024, observou-se um aumento de 43% nas vendas de medicamentos respiratórios, com os descongestionantes nasais liderando a lista dos mais vendidos (Reis, 2024). Esses números revelam que o uso desses produtos deixou de ser pontual e passou a representar uma prática rotineira e cultural entre os brasileiros, impulsionada pela percepção equivocada de que são medicamentos inofensivos e de uso livre.</w:t>
      </w:r>
    </w:p>
    <w:p w14:paraId="645AA47F" w14:textId="62C3C9E1" w:rsidR="0072627E" w:rsidRPr="001128CC" w:rsidRDefault="0072627E" w:rsidP="00BE2C8E">
      <w:pPr>
        <w:spacing w:after="0" w:line="360" w:lineRule="auto"/>
        <w:ind w:firstLine="709"/>
        <w:rPr>
          <w:rFonts w:cs="Arial"/>
        </w:rPr>
      </w:pPr>
      <w:r w:rsidRPr="001128CC">
        <w:rPr>
          <w:rFonts w:cs="Arial"/>
        </w:rPr>
        <w:t xml:space="preserve">Esse comportamento está intimamente ligado ao fenômeno da automedicação, amplamente difundido no Brasil, e que tende a se intensificar nos períodos de clima seco ou frio, quando há aumento das doenças respiratórias. Entretanto, o que mais preocupa é que o uso se mantém ao longo de todo o ano, mesmo fora das estações frias, principalmente entre indivíduos que desenvolvem dependência devido ao uso crônico (Stênio Ponte, 2024). </w:t>
      </w:r>
      <w:r w:rsidRPr="000E6EB5">
        <w:rPr>
          <w:rFonts w:cs="Arial"/>
        </w:rPr>
        <w:t xml:space="preserve">Essa </w:t>
      </w:r>
      <w:proofErr w:type="gramStart"/>
      <w:r w:rsidR="000E6EB5">
        <w:rPr>
          <w:rFonts w:cs="Arial"/>
        </w:rPr>
        <w:t xml:space="preserve">tolerância  </w:t>
      </w:r>
      <w:r w:rsidRPr="001128CC">
        <w:rPr>
          <w:rFonts w:cs="Arial"/>
        </w:rPr>
        <w:t>está</w:t>
      </w:r>
      <w:proofErr w:type="gramEnd"/>
      <w:r w:rsidRPr="001128CC">
        <w:rPr>
          <w:rFonts w:cs="Arial"/>
        </w:rPr>
        <w:t xml:space="preserve"> relacionada ao chamado efeito rebote, em que a congestão nasal retorna de forma mais intensa após o término da ação do medicamento, levando o paciente a utilizar doses cada vez maiores e agravando o quadro clínico.</w:t>
      </w:r>
    </w:p>
    <w:p w14:paraId="04657588" w14:textId="77777777" w:rsidR="00BE2C8E" w:rsidRDefault="0072627E" w:rsidP="00BE2C8E">
      <w:pPr>
        <w:spacing w:after="0" w:line="360" w:lineRule="auto"/>
        <w:ind w:firstLine="709"/>
        <w:rPr>
          <w:rFonts w:cs="Arial"/>
        </w:rPr>
      </w:pPr>
      <w:r w:rsidRPr="001128CC">
        <w:rPr>
          <w:rFonts w:cs="Arial"/>
        </w:rPr>
        <w:t xml:space="preserve">Um estudo realizado na Arábia Saudita mostrou que 65% da população usava regularmente descongestionantes, sendo que 60% obtinham os medicamentos por automedicação e 30% apresentaram efeitos adversos como taquicardia e irritação nasal (Alharthi et al., 2022 et al., 2024). No Brasil, pesquisa entre estudantes universitários da Baixada Santista identificou que 59,7% já haviam utilizado descongestionantes nasais, e 70,3% adquiriram o produto sem qualquer orientação profissional, evidenciando a banalização do uso (Matos </w:t>
      </w:r>
      <w:r w:rsidRPr="00BE2C8E">
        <w:rPr>
          <w:rFonts w:cs="Arial"/>
          <w:i/>
        </w:rPr>
        <w:t>et al</w:t>
      </w:r>
      <w:r w:rsidRPr="001128CC">
        <w:rPr>
          <w:rFonts w:cs="Arial"/>
        </w:rPr>
        <w:t xml:space="preserve">., 2017). </w:t>
      </w:r>
    </w:p>
    <w:p w14:paraId="435A8A45" w14:textId="77777777" w:rsidR="0072627E" w:rsidRPr="001128CC" w:rsidRDefault="0072627E" w:rsidP="00BE2C8E">
      <w:pPr>
        <w:spacing w:after="0" w:line="360" w:lineRule="auto"/>
        <w:ind w:firstLine="709"/>
        <w:rPr>
          <w:rFonts w:cs="Arial"/>
        </w:rPr>
      </w:pPr>
      <w:r w:rsidRPr="001128CC">
        <w:rPr>
          <w:rFonts w:cs="Arial"/>
        </w:rPr>
        <w:t xml:space="preserve">Em outro levantamento com estudantes de Medicina da PUC Goiás, 66,2% relataram uso prolongado superior a seis meses, e 61,2% praticavam automedicação, </w:t>
      </w:r>
      <w:r w:rsidRPr="001128CC">
        <w:rPr>
          <w:rFonts w:cs="Arial"/>
        </w:rPr>
        <w:lastRenderedPageBreak/>
        <w:t xml:space="preserve">demonstrando dependência e desconhecimento dos riscos associados (Sousa </w:t>
      </w:r>
      <w:r w:rsidRPr="00BE2C8E">
        <w:rPr>
          <w:rFonts w:cs="Arial"/>
          <w:i/>
        </w:rPr>
        <w:t>et al</w:t>
      </w:r>
      <w:r w:rsidRPr="001128CC">
        <w:rPr>
          <w:rFonts w:cs="Arial"/>
        </w:rPr>
        <w:t>., 2021). No cenário global, estima-se que o mercado de sprays nasais descongestionantes ultrapasse 2,2 bilhões de dólares até 2025, refletindo o crescimento da demanda e a manutenção da posição desses produtos entre os mais consumidos em farmácias (Verified Market Reports, 2023). Esses dados confirmam que a nafazolina ocupa posição relevante no mercado e que seu uso descontrolado representa não apenas uma questão clínica, mas também econômica e de saúde pública.</w:t>
      </w:r>
    </w:p>
    <w:p w14:paraId="037744D3" w14:textId="61F8A3F2" w:rsidR="0072627E" w:rsidRPr="001128CC" w:rsidRDefault="0072627E" w:rsidP="00BE2C8E">
      <w:pPr>
        <w:spacing w:after="0" w:line="360" w:lineRule="auto"/>
        <w:ind w:firstLine="709"/>
        <w:rPr>
          <w:rFonts w:cs="Arial"/>
        </w:rPr>
      </w:pPr>
      <w:r w:rsidRPr="001128CC">
        <w:rPr>
          <w:rFonts w:cs="Arial"/>
        </w:rPr>
        <w:t>Além da dependência, há relatos crescentes de intoxicações por nafazolina, especialmente em crianças. Segundo o Centro de Informação e Assistência Toxicológica (</w:t>
      </w:r>
      <w:proofErr w:type="spellStart"/>
      <w:proofErr w:type="gramStart"/>
      <w:r w:rsidRPr="001128CC">
        <w:rPr>
          <w:rFonts w:cs="Arial"/>
        </w:rPr>
        <w:t>CIATo</w:t>
      </w:r>
      <w:r w:rsidR="000E6EB5">
        <w:rPr>
          <w:rFonts w:cs="Arial"/>
        </w:rPr>
        <w:t>x,DF</w:t>
      </w:r>
      <w:proofErr w:type="spellEnd"/>
      <w:proofErr w:type="gramEnd"/>
      <w:r w:rsidR="000E6EB5">
        <w:rPr>
          <w:rFonts w:cs="Arial"/>
        </w:rPr>
        <w:t>)</w:t>
      </w:r>
      <w:r w:rsidRPr="001128CC">
        <w:rPr>
          <w:rFonts w:cs="Arial"/>
        </w:rPr>
        <w:t>, o número de atendimentos por intoxicação aumentou de 94 casos em 2022 para 108 em 2023, muitos deles envolvendo uso acidental ou sem orientação (Camila Padro, 2024). Um dos casos mais graves foi o de uma criança de seis anos que apresentou hipotermia e bradicardia após o uso do medicamento sem supervisão (Lima, 2020). Esses dados reforçam a importância da atuação do farmacêutico e da necessidade de maior controle sobre a dispensação.</w:t>
      </w:r>
    </w:p>
    <w:p w14:paraId="1197F845" w14:textId="77777777" w:rsidR="00BE2C8E" w:rsidRDefault="0072627E" w:rsidP="00BE2C8E">
      <w:pPr>
        <w:spacing w:after="0" w:line="360" w:lineRule="auto"/>
        <w:ind w:firstLine="709"/>
        <w:rPr>
          <w:rFonts w:cs="Arial"/>
        </w:rPr>
      </w:pPr>
      <w:r w:rsidRPr="001128CC">
        <w:rPr>
          <w:rFonts w:cs="Arial"/>
        </w:rPr>
        <w:t xml:space="preserve">Apesar de a ANVISA reconhecer o risco associado aos vasoconstritores tópicos e determinar a venda sob prescrição médica (ANVISA, 2021), a prática cotidiana nas farmácias mostra que a exigência raramente é cumprida. A ausência de fiscalização rigorosa e o desconhecimento da população sobre os riscos favorecem a banalização do uso. </w:t>
      </w:r>
    </w:p>
    <w:p w14:paraId="0E1C2997" w14:textId="77777777" w:rsidR="0072627E" w:rsidRPr="001128CC" w:rsidRDefault="0072627E" w:rsidP="00BE2C8E">
      <w:pPr>
        <w:spacing w:after="0" w:line="360" w:lineRule="auto"/>
        <w:ind w:firstLine="709"/>
        <w:rPr>
          <w:rFonts w:cs="Arial"/>
        </w:rPr>
      </w:pPr>
      <w:r w:rsidRPr="001128CC">
        <w:rPr>
          <w:rFonts w:cs="Arial"/>
        </w:rPr>
        <w:t xml:space="preserve">Em estudo publicado pela Revista UNIPACTO (Andrade, 2023), mais de 60% dos entrevistados afirmaram já ter feito uso de nafazolina sem orientação profissional, e a maioria desconhecia seus efeitos adversos. Complementarmente, Viana </w:t>
      </w:r>
      <w:r w:rsidRPr="00BE2C8E">
        <w:rPr>
          <w:rFonts w:cs="Arial"/>
          <w:i/>
        </w:rPr>
        <w:t>et al</w:t>
      </w:r>
      <w:r w:rsidRPr="001128CC">
        <w:rPr>
          <w:rFonts w:cs="Arial"/>
        </w:rPr>
        <w:t>. (2023)</w:t>
      </w:r>
      <w:r w:rsidR="00BE2C8E">
        <w:rPr>
          <w:rFonts w:cs="Arial"/>
        </w:rPr>
        <w:t>,</w:t>
      </w:r>
      <w:r w:rsidRPr="001128CC">
        <w:rPr>
          <w:rFonts w:cs="Arial"/>
        </w:rPr>
        <w:t xml:space="preserve"> relataram que apenas 23,6% dos estudantes de Medicina conseguiram citar corretamente os principais riscos associados ao medicamento, como taquicardia e dependência. Esses resultados indicam não apenas uma lacuna de conhecimento entre os usuários, mas também entre futuros profissionais da saúde.</w:t>
      </w:r>
    </w:p>
    <w:p w14:paraId="69743402" w14:textId="038609EA" w:rsidR="0072627E" w:rsidRPr="001128CC" w:rsidRDefault="0072627E" w:rsidP="00BE2C8E">
      <w:pPr>
        <w:spacing w:after="0" w:line="360" w:lineRule="auto"/>
        <w:ind w:firstLine="709"/>
        <w:rPr>
          <w:rFonts w:cs="Arial"/>
        </w:rPr>
      </w:pPr>
      <w:r w:rsidRPr="001128CC">
        <w:rPr>
          <w:rFonts w:cs="Arial"/>
        </w:rPr>
        <w:t>Outro fator relevante é a percepção social de segurança, alimentada pela ampla disponibilidade desses produtos em farmácias e pelo baixo custo. Muitos consumidores ignoram as advertências presentes na bula — como a recomendação de uso por no máximo cinco dias — e acreditam que o uso contínuo é inofensivo, o que reforça o ciclo de dependência (</w:t>
      </w:r>
      <w:r w:rsidR="000E6EB5">
        <w:rPr>
          <w:rFonts w:cs="Arial"/>
        </w:rPr>
        <w:t>Maia de Melo Lima, Silva &amp; Siqueira,2024)</w:t>
      </w:r>
      <w:r w:rsidRPr="001128CC">
        <w:rPr>
          <w:rFonts w:cs="Arial"/>
        </w:rPr>
        <w:t xml:space="preserve">. Essa </w:t>
      </w:r>
      <w:r w:rsidRPr="001128CC">
        <w:rPr>
          <w:rFonts w:cs="Arial"/>
        </w:rPr>
        <w:lastRenderedPageBreak/>
        <w:t>falsa sensação de segurança contribui para o uso irracional e, consequentemente, para o aumento de casos de rinite medicamentosa e outros efeitos sistêmicos.</w:t>
      </w:r>
    </w:p>
    <w:p w14:paraId="29FC2CBC" w14:textId="77777777" w:rsidR="0072627E" w:rsidRPr="001128CC" w:rsidRDefault="0072627E" w:rsidP="00BE2C8E">
      <w:pPr>
        <w:spacing w:after="0" w:line="360" w:lineRule="auto"/>
        <w:ind w:firstLine="709"/>
        <w:rPr>
          <w:rFonts w:cs="Arial"/>
        </w:rPr>
      </w:pPr>
      <w:r w:rsidRPr="001128CC">
        <w:rPr>
          <w:rFonts w:cs="Arial"/>
        </w:rPr>
        <w:t>Os achados deste trabalho evidenciam que o uso indiscriminado da nafazolina, frequentemente associado à automedicação, ultrapassa a dimensão individual e configura um problema relevante de saúde pública. A elevada prevalência de uso sem prescrição, aliada à facilidade de acesso e ao baixo custo do medicamento, contribui para a banalização de seus riscos, favorecendo quadros de rinite medicamentosa, dependência fisiológica e complicações sistêmicas potencialmente graves. Ao mesmo tempo, o volume expressivo de vendas confirma a posição da nafazolina entre os descongestionantes nasais mais consumidos, refletindo não apenas hábitos culturais de automedicação, mas também fragilidades na regulação sanitária. Nesse contexto, a literatura demonstra de forma consistente que a atuação do farmacêutico é indispensável: sua presença ativa no balcão da farmácia, na triagem clínica e na orientação terapêutica, tem potencial para interromper ciclos de uso abusivo e reduzir a ocorrência de efeitos adversos. Portanto, a discussão apresentada sustenta que enfrentar a problemática da automedicação com nafazolina exige a integração de três pilares: educação em saúde para a população, fortalecimento da prática clínica do farmacêutico e revisão das políticas regulatórias de venda e controle. Apenas a articulação dessas estratégias poderá mitigar os riscos identificados e transformar o cenário atual em direção a um uso mais seguro e racional deste medicamento.</w:t>
      </w:r>
    </w:p>
    <w:p w14:paraId="4A4CF360" w14:textId="77777777" w:rsidR="0072627E" w:rsidRDefault="0072627E" w:rsidP="00BE2C8E">
      <w:pPr>
        <w:spacing w:after="0" w:line="360" w:lineRule="auto"/>
        <w:ind w:firstLine="709"/>
        <w:rPr>
          <w:rFonts w:cs="Arial"/>
        </w:rPr>
      </w:pPr>
      <w:r w:rsidRPr="001128CC">
        <w:rPr>
          <w:rFonts w:cs="Arial"/>
        </w:rPr>
        <w:t>Nesse contexto, o farmacêutico desempenha papel crucial na prevenção e na conscientização dos usuários. É frequentemente o único profissional de saúde com quem o paciente tem contato direto durante a compra do medicamento. Assim, cabe a ele orientar sobre o tempo de uso, alertar sobre o risco de efeito rebote e identificar possíveis casos de abuso. No entanto, diversos fatores limitam essa atuação, como a sobrecarga de trabalho, as metas comerciais e a falta de tempo para atendimento clínico adequado (Silva; Ribeiro, 2021). Mesmo diante dessas barreiras, o farmacêutico deve se manter atualizado e desenvolver estratégias de comunicação acessíveis, para promover o uso racional e reduzir os riscos à saúde pública.</w:t>
      </w:r>
    </w:p>
    <w:p w14:paraId="052183DE" w14:textId="77777777" w:rsidR="00366B02" w:rsidRDefault="00B74DF8" w:rsidP="00BE2C8E">
      <w:pPr>
        <w:spacing w:after="0" w:line="360" w:lineRule="auto"/>
        <w:ind w:firstLine="709"/>
        <w:rPr>
          <w:rFonts w:cs="Arial"/>
        </w:rPr>
      </w:pPr>
      <w:r w:rsidRPr="00B74DF8">
        <w:rPr>
          <w:rFonts w:cs="Arial"/>
        </w:rPr>
        <w:t>A falta de acompanhamento profissional favorece o uso abusivo e o desenvolvimento de rinite medicamentosa, reforçando a necessidade de intervenções farmacêuticas baseadas em aconselhamento clínico e monitoramento contínuo (M</w:t>
      </w:r>
      <w:r w:rsidR="00BE2C8E" w:rsidRPr="00B74DF8">
        <w:rPr>
          <w:rFonts w:cs="Arial"/>
        </w:rPr>
        <w:t>orais</w:t>
      </w:r>
      <w:r w:rsidRPr="00B74DF8">
        <w:rPr>
          <w:rFonts w:cs="Arial"/>
        </w:rPr>
        <w:t xml:space="preserve"> </w:t>
      </w:r>
      <w:r w:rsidRPr="00BE2C8E">
        <w:rPr>
          <w:rFonts w:cs="Arial"/>
          <w:i/>
        </w:rPr>
        <w:t>et al</w:t>
      </w:r>
      <w:r w:rsidRPr="00B74DF8">
        <w:rPr>
          <w:rFonts w:cs="Arial"/>
        </w:rPr>
        <w:t xml:space="preserve">., 2024). A Organização Pan-Americana da Saúde recomenda o reconhecimento do farmacêutico como agente estratégico na atenção primária, </w:t>
      </w:r>
      <w:r w:rsidRPr="00B74DF8">
        <w:rPr>
          <w:rFonts w:cs="Arial"/>
        </w:rPr>
        <w:lastRenderedPageBreak/>
        <w:t xml:space="preserve">contribuindo para a farmacovigilância, a identificação de práticas inadequadas de automedicação e o fortalecimento das políticas de educação sanitária (OPAS, 2014). </w:t>
      </w:r>
    </w:p>
    <w:p w14:paraId="71CC94E4" w14:textId="77777777" w:rsidR="00B74DF8" w:rsidRDefault="00B74DF8" w:rsidP="00BE2C8E">
      <w:pPr>
        <w:spacing w:after="0" w:line="360" w:lineRule="auto"/>
        <w:ind w:firstLine="709"/>
        <w:rPr>
          <w:rFonts w:cs="Arial"/>
        </w:rPr>
      </w:pPr>
      <w:r w:rsidRPr="00B74DF8">
        <w:rPr>
          <w:rFonts w:cs="Arial"/>
        </w:rPr>
        <w:t>Estudos nacionais evidenciam que a orientação farmacêutica ativa reduz significativamente o uso irracional e os casos de dependência relacionados a vasoconstritores tópicos (S</w:t>
      </w:r>
      <w:r w:rsidR="00BE2C8E" w:rsidRPr="00B74DF8">
        <w:rPr>
          <w:rFonts w:cs="Arial"/>
        </w:rPr>
        <w:t>ilva</w:t>
      </w:r>
      <w:r w:rsidRPr="00B74DF8">
        <w:rPr>
          <w:rFonts w:cs="Arial"/>
        </w:rPr>
        <w:t xml:space="preserve"> </w:t>
      </w:r>
      <w:r w:rsidRPr="00BE2C8E">
        <w:rPr>
          <w:rFonts w:cs="Arial"/>
          <w:i/>
        </w:rPr>
        <w:t>et al</w:t>
      </w:r>
      <w:r w:rsidRPr="00B74DF8">
        <w:rPr>
          <w:rFonts w:cs="Arial"/>
        </w:rPr>
        <w:t>., 2024; B</w:t>
      </w:r>
      <w:r w:rsidR="00BE2C8E" w:rsidRPr="00B74DF8">
        <w:rPr>
          <w:rFonts w:cs="Arial"/>
        </w:rPr>
        <w:t>rito</w:t>
      </w:r>
      <w:r w:rsidRPr="00B74DF8">
        <w:rPr>
          <w:rFonts w:cs="Arial"/>
        </w:rPr>
        <w:t xml:space="preserve"> </w:t>
      </w:r>
      <w:r w:rsidRPr="00BE2C8E">
        <w:rPr>
          <w:rFonts w:cs="Arial"/>
          <w:i/>
        </w:rPr>
        <w:t>et al</w:t>
      </w:r>
      <w:r w:rsidRPr="00B74DF8">
        <w:rPr>
          <w:rFonts w:cs="Arial"/>
        </w:rPr>
        <w:t>., 2022). Assim, a presença do farmacêutico no ambiente comunitário é indispensável para promover a automedicação responsável, garantindo segurança terapêutica, prevenção de danos e melhor qualidade no cuidado ao paciente.</w:t>
      </w:r>
    </w:p>
    <w:p w14:paraId="5078E657" w14:textId="1ECB6F50" w:rsidR="0072627E" w:rsidRPr="001128CC" w:rsidRDefault="007D08B9" w:rsidP="00366B02">
      <w:pPr>
        <w:spacing w:after="0" w:line="360" w:lineRule="auto"/>
        <w:ind w:firstLine="709"/>
        <w:rPr>
          <w:rFonts w:cs="Arial"/>
        </w:rPr>
      </w:pPr>
      <w:r w:rsidRPr="00D77B60">
        <w:rPr>
          <w:rFonts w:cs="Arial"/>
        </w:rPr>
        <w:t>De acordo com a Organização Mundial da Saúde (OMS, 1998), a automedicação pode ser segura quando realizada de forma responsável, desde que haja orientação de profissionais</w:t>
      </w:r>
      <w:r w:rsidR="00D77B60" w:rsidRPr="00D77B60">
        <w:rPr>
          <w:rFonts w:cs="Arial"/>
        </w:rPr>
        <w:t xml:space="preserve"> da saúde,</w:t>
      </w:r>
      <w:r w:rsidRPr="00D77B60">
        <w:rPr>
          <w:rFonts w:cs="Arial"/>
        </w:rPr>
        <w:t xml:space="preserve"> entre eles o </w:t>
      </w:r>
      <w:r w:rsidR="00D77B60" w:rsidRPr="00D77B60">
        <w:rPr>
          <w:rFonts w:cs="Arial"/>
        </w:rPr>
        <w:t>farmacêutic</w:t>
      </w:r>
      <w:r w:rsidR="00D77B60">
        <w:rPr>
          <w:rFonts w:cs="Arial"/>
        </w:rPr>
        <w:t>o,</w:t>
      </w:r>
      <w:r w:rsidR="00D77B60" w:rsidRPr="007D08B9">
        <w:rPr>
          <w:rFonts w:cs="Arial"/>
        </w:rPr>
        <w:t xml:space="preserve"> que</w:t>
      </w:r>
      <w:r w:rsidRPr="007D08B9">
        <w:rPr>
          <w:rFonts w:cs="Arial"/>
        </w:rPr>
        <w:t xml:space="preserve"> deve avaliar a necessidade do medicamento, a dose, a duração do tratamento e possíveis contraindicações. Além disso, o farmacêutico exerce papel ativo na educação da população, contribuindo para a diminuição da automedicação irracional e para o fortalecimento das práticas</w:t>
      </w:r>
      <w:r w:rsidR="00BE2C8E">
        <w:rPr>
          <w:rFonts w:cs="Arial"/>
        </w:rPr>
        <w:t xml:space="preserve"> de autocuidado seguras (Silva;</w:t>
      </w:r>
      <w:r w:rsidRPr="007D08B9">
        <w:rPr>
          <w:rFonts w:cs="Arial"/>
        </w:rPr>
        <w:t xml:space="preserve"> Oliveira, 2021). Assim, sua presença é indispensável para equilibrar a autonomia do paciente com a segurança terapêutica, reduzindo impactos negativos à saúde pública.</w:t>
      </w:r>
    </w:p>
    <w:p w14:paraId="492966A8" w14:textId="77777777" w:rsidR="0072627E" w:rsidRPr="001128CC" w:rsidRDefault="0072627E" w:rsidP="00BE2C8E">
      <w:pPr>
        <w:spacing w:after="0" w:line="360" w:lineRule="auto"/>
        <w:ind w:firstLine="709"/>
        <w:rPr>
          <w:rFonts w:cs="Arial"/>
        </w:rPr>
      </w:pPr>
      <w:r w:rsidRPr="001128CC">
        <w:rPr>
          <w:rFonts w:cs="Arial"/>
        </w:rPr>
        <w:t>Portanto, o uso indiscriminado da nafazolina ultrapassa a esfera individual e representa uma questão de saúde pública, que exige ações integradas. O enfrentamento dessa problemática deve envolver educação em saúde, fiscalização efetiva, campanhas de conscientização e valorização da prática clínica farmacêutica. É fundamental que políticas públicas mais rígidas sejam implementadas, reforçando o controle de venda e a orientação obrigatória no ato da dispensação. Assim, o farmacêutico consolida-se como agente essencial na prevenção de danos, na redução de intoxicações e na promoção do uso racional de descongestionantes nasais à base de nafazolina, contribuindo para um cuidado mais seguro e responsável com a saúde da população.</w:t>
      </w:r>
    </w:p>
    <w:p w14:paraId="545406B5" w14:textId="77777777" w:rsidR="0072627E" w:rsidRDefault="0072627E" w:rsidP="00BE2C8E">
      <w:pPr>
        <w:spacing w:after="0"/>
        <w:ind w:firstLine="709"/>
      </w:pPr>
    </w:p>
    <w:p w14:paraId="36923921" w14:textId="77777777" w:rsidR="00BD4DCF" w:rsidRPr="0072627E" w:rsidRDefault="00BD4DCF" w:rsidP="00D272F3">
      <w:pPr>
        <w:spacing w:after="159" w:line="259" w:lineRule="auto"/>
        <w:ind w:left="853" w:right="0" w:firstLine="709"/>
      </w:pPr>
    </w:p>
    <w:p w14:paraId="22A665A1" w14:textId="77777777" w:rsidR="00BD4DCF" w:rsidRPr="0072627E" w:rsidRDefault="00BD4DCF">
      <w:pPr>
        <w:spacing w:after="114" w:line="259" w:lineRule="auto"/>
        <w:ind w:left="853" w:right="0" w:firstLine="0"/>
        <w:jc w:val="left"/>
      </w:pPr>
    </w:p>
    <w:p w14:paraId="6495A5A1" w14:textId="77777777" w:rsidR="00BD4DCF" w:rsidRPr="0072627E" w:rsidRDefault="00BD4DCF">
      <w:pPr>
        <w:spacing w:after="119" w:line="259" w:lineRule="auto"/>
        <w:ind w:left="853" w:right="0" w:firstLine="0"/>
        <w:jc w:val="left"/>
      </w:pPr>
    </w:p>
    <w:p w14:paraId="5C001104" w14:textId="77777777" w:rsidR="00BD4DCF" w:rsidRPr="0072627E" w:rsidRDefault="00BD4DCF">
      <w:pPr>
        <w:spacing w:after="114" w:line="259" w:lineRule="auto"/>
        <w:ind w:left="853" w:right="0" w:firstLine="0"/>
        <w:jc w:val="left"/>
      </w:pPr>
    </w:p>
    <w:p w14:paraId="0999A624" w14:textId="77777777" w:rsidR="00BD4DCF" w:rsidRDefault="00BD4DCF">
      <w:pPr>
        <w:spacing w:after="118" w:line="259" w:lineRule="auto"/>
        <w:ind w:left="853" w:right="0" w:firstLine="0"/>
        <w:jc w:val="left"/>
      </w:pPr>
    </w:p>
    <w:p w14:paraId="668764D4" w14:textId="77777777" w:rsidR="00366B02" w:rsidRDefault="00366B02">
      <w:pPr>
        <w:spacing w:after="118" w:line="259" w:lineRule="auto"/>
        <w:ind w:left="853" w:right="0" w:firstLine="0"/>
        <w:jc w:val="left"/>
      </w:pPr>
    </w:p>
    <w:p w14:paraId="73340A3B" w14:textId="77777777" w:rsidR="00366B02" w:rsidRDefault="00366B02">
      <w:pPr>
        <w:spacing w:after="118" w:line="259" w:lineRule="auto"/>
        <w:ind w:left="853" w:right="0" w:firstLine="0"/>
        <w:jc w:val="left"/>
      </w:pPr>
    </w:p>
    <w:p w14:paraId="2E7964E2" w14:textId="77777777" w:rsidR="00366B02" w:rsidRDefault="00366B02">
      <w:pPr>
        <w:spacing w:after="118" w:line="259" w:lineRule="auto"/>
        <w:ind w:left="853" w:right="0" w:firstLine="0"/>
        <w:jc w:val="left"/>
      </w:pPr>
    </w:p>
    <w:p w14:paraId="021FF7B7" w14:textId="77777777" w:rsidR="00366B02" w:rsidRDefault="00366B02">
      <w:pPr>
        <w:spacing w:after="118" w:line="259" w:lineRule="auto"/>
        <w:ind w:left="853" w:right="0" w:firstLine="0"/>
        <w:jc w:val="left"/>
      </w:pPr>
    </w:p>
    <w:p w14:paraId="1F6ED125" w14:textId="77777777" w:rsidR="00366B02" w:rsidRDefault="00366B02">
      <w:pPr>
        <w:spacing w:after="118" w:line="259" w:lineRule="auto"/>
        <w:ind w:left="853" w:right="0" w:firstLine="0"/>
        <w:jc w:val="left"/>
      </w:pPr>
    </w:p>
    <w:p w14:paraId="795A2B9E" w14:textId="77777777" w:rsidR="00366B02" w:rsidRDefault="00366B02">
      <w:pPr>
        <w:spacing w:after="118" w:line="259" w:lineRule="auto"/>
        <w:ind w:left="853" w:right="0" w:firstLine="0"/>
        <w:jc w:val="left"/>
      </w:pPr>
    </w:p>
    <w:p w14:paraId="13483F91" w14:textId="77777777" w:rsidR="00366B02" w:rsidRPr="0072627E" w:rsidRDefault="00366B02">
      <w:pPr>
        <w:spacing w:after="118" w:line="259" w:lineRule="auto"/>
        <w:ind w:left="853" w:right="0" w:firstLine="0"/>
        <w:jc w:val="left"/>
      </w:pPr>
    </w:p>
    <w:p w14:paraId="55BB5832" w14:textId="77777777" w:rsidR="00BD4DCF" w:rsidRPr="0072627E" w:rsidRDefault="00BD4DCF">
      <w:pPr>
        <w:spacing w:after="0" w:line="259" w:lineRule="auto"/>
        <w:ind w:left="853" w:right="0" w:firstLine="0"/>
        <w:jc w:val="left"/>
      </w:pPr>
    </w:p>
    <w:p w14:paraId="0F334AB0" w14:textId="77777777" w:rsidR="00BD4DCF" w:rsidRPr="0072627E" w:rsidRDefault="0025772B">
      <w:pPr>
        <w:pStyle w:val="Ttulo1"/>
        <w:ind w:left="345" w:right="0" w:hanging="360"/>
      </w:pPr>
      <w:bookmarkStart w:id="14" w:name="_Toc211152530"/>
      <w:r w:rsidRPr="0072627E">
        <w:t>CONCLUSÃO</w:t>
      </w:r>
      <w:bookmarkEnd w:id="14"/>
    </w:p>
    <w:p w14:paraId="3DC4F138" w14:textId="77777777" w:rsidR="009F1B40" w:rsidRPr="0072627E" w:rsidRDefault="009F1B40" w:rsidP="009B55A3">
      <w:pPr>
        <w:ind w:left="718"/>
      </w:pPr>
    </w:p>
    <w:p w14:paraId="4766BC6C" w14:textId="61701D71" w:rsidR="009B55A3" w:rsidRPr="00366B02" w:rsidRDefault="009B55A3" w:rsidP="00366B02">
      <w:pPr>
        <w:spacing w:after="0" w:line="360" w:lineRule="auto"/>
        <w:ind w:left="0" w:firstLine="709"/>
      </w:pPr>
      <w:r w:rsidRPr="00366B02">
        <w:t xml:space="preserve">Conclui-se que a automedicação com descongestionantes nasais à base de nafazolina constitui </w:t>
      </w:r>
      <w:r w:rsidR="00220B0B" w:rsidRPr="00366B02">
        <w:t xml:space="preserve">um problema de saúde pública </w:t>
      </w:r>
      <w:r w:rsidR="00596CC9" w:rsidRPr="00366B02">
        <w:t xml:space="preserve">com </w:t>
      </w:r>
      <w:r w:rsidR="00366B02" w:rsidRPr="00366B02">
        <w:t>potenciais proporções</w:t>
      </w:r>
      <w:r w:rsidRPr="00366B02">
        <w:t xml:space="preserve">. Os efeitos adversos decorrentes de seu uso prolongado, como rinite medicamentosa, </w:t>
      </w:r>
      <w:r w:rsidR="00D77B60">
        <w:t>tolerância medicamentosa,</w:t>
      </w:r>
      <w:r w:rsidRPr="00366B02">
        <w:t xml:space="preserve"> complicações cardiovasculares e neurológicas, representam riscos expressivos que comprometem a qualidade de vida dos usuários e sobrecarregam o sistema de saúde.</w:t>
      </w:r>
    </w:p>
    <w:p w14:paraId="4B575539" w14:textId="77777777" w:rsidR="009B55A3" w:rsidRPr="00366B02" w:rsidRDefault="009B55A3" w:rsidP="00366B02">
      <w:pPr>
        <w:spacing w:after="0" w:line="360" w:lineRule="auto"/>
        <w:ind w:left="0" w:firstLine="709"/>
      </w:pPr>
      <w:r w:rsidRPr="00366B02">
        <w:t xml:space="preserve">O aumento significativo do consumo no Brasil, associado à percepção de segurança e à venda sem retenção de receita, demonstra a urgência de políticas públicas voltadas para maior fiscalização, educação em saúde da população e controle rigoroso da dispensação. Nesse cenário, o farmacêutico é </w:t>
      </w:r>
      <w:r w:rsidR="00756072" w:rsidRPr="00366B02">
        <w:t xml:space="preserve">fundamental </w:t>
      </w:r>
      <w:r w:rsidRPr="00366B02">
        <w:t>devendo ser reconhecido e valorizado como agente essencial de prevenção, orientação clínica e promoção do uso racional de medicamentos.</w:t>
      </w:r>
    </w:p>
    <w:p w14:paraId="706D4B50" w14:textId="77777777" w:rsidR="009B55A3" w:rsidRPr="0072627E" w:rsidRDefault="009B55A3" w:rsidP="00366B02">
      <w:pPr>
        <w:spacing w:after="0" w:line="259" w:lineRule="auto"/>
        <w:ind w:left="851" w:right="0" w:firstLine="0"/>
        <w:jc w:val="left"/>
      </w:pPr>
    </w:p>
    <w:p w14:paraId="2BEF3393" w14:textId="77777777" w:rsidR="009B55A3" w:rsidRPr="0072627E" w:rsidRDefault="009B55A3" w:rsidP="009B55A3">
      <w:pPr>
        <w:spacing w:after="114" w:line="259" w:lineRule="auto"/>
        <w:ind w:left="851" w:right="0" w:firstLine="0"/>
        <w:jc w:val="left"/>
      </w:pPr>
    </w:p>
    <w:p w14:paraId="129A5D74" w14:textId="77777777" w:rsidR="00883E87" w:rsidRPr="0072627E" w:rsidRDefault="00883E87" w:rsidP="009B55A3">
      <w:pPr>
        <w:spacing w:after="114" w:line="259" w:lineRule="auto"/>
        <w:ind w:left="851" w:right="0" w:firstLine="0"/>
        <w:jc w:val="left"/>
      </w:pPr>
    </w:p>
    <w:p w14:paraId="46FFF6D1" w14:textId="77777777" w:rsidR="00883E87" w:rsidRPr="0072627E" w:rsidRDefault="00883E87" w:rsidP="009B55A3">
      <w:pPr>
        <w:spacing w:after="114" w:line="259" w:lineRule="auto"/>
        <w:ind w:left="851" w:right="0" w:firstLine="0"/>
        <w:jc w:val="left"/>
      </w:pPr>
    </w:p>
    <w:p w14:paraId="64AC9B4C" w14:textId="77777777" w:rsidR="00883E87" w:rsidRPr="0072627E" w:rsidRDefault="00883E87" w:rsidP="009B55A3">
      <w:pPr>
        <w:spacing w:after="114" w:line="259" w:lineRule="auto"/>
        <w:ind w:left="851" w:right="0" w:firstLine="0"/>
        <w:jc w:val="left"/>
      </w:pPr>
    </w:p>
    <w:p w14:paraId="4CCE979D" w14:textId="77777777" w:rsidR="00883E87" w:rsidRPr="0072627E" w:rsidRDefault="00883E87" w:rsidP="009B55A3">
      <w:pPr>
        <w:spacing w:after="114" w:line="259" w:lineRule="auto"/>
        <w:ind w:left="851" w:right="0" w:firstLine="0"/>
        <w:jc w:val="left"/>
      </w:pPr>
    </w:p>
    <w:p w14:paraId="2C9B362E" w14:textId="77777777" w:rsidR="00883E87" w:rsidRPr="0072627E" w:rsidRDefault="00883E87" w:rsidP="009B55A3">
      <w:pPr>
        <w:spacing w:after="114" w:line="259" w:lineRule="auto"/>
        <w:ind w:left="851" w:right="0" w:firstLine="0"/>
        <w:jc w:val="left"/>
      </w:pPr>
    </w:p>
    <w:p w14:paraId="597A5BE0" w14:textId="77777777" w:rsidR="00883E87" w:rsidRPr="0072627E" w:rsidRDefault="00883E87" w:rsidP="009B55A3">
      <w:pPr>
        <w:spacing w:after="114" w:line="259" w:lineRule="auto"/>
        <w:ind w:left="851" w:right="0" w:firstLine="0"/>
        <w:jc w:val="left"/>
      </w:pPr>
    </w:p>
    <w:p w14:paraId="4623800F" w14:textId="77777777" w:rsidR="00883E87" w:rsidRPr="0072627E" w:rsidRDefault="00883E87" w:rsidP="009B55A3">
      <w:pPr>
        <w:spacing w:after="114" w:line="259" w:lineRule="auto"/>
        <w:ind w:left="851" w:right="0" w:firstLine="0"/>
        <w:jc w:val="left"/>
      </w:pPr>
    </w:p>
    <w:p w14:paraId="5AF49790" w14:textId="77777777" w:rsidR="00883E87" w:rsidRPr="0072627E" w:rsidRDefault="00883E87" w:rsidP="009B55A3">
      <w:pPr>
        <w:spacing w:after="114" w:line="259" w:lineRule="auto"/>
        <w:ind w:left="851" w:right="0" w:firstLine="0"/>
        <w:jc w:val="left"/>
      </w:pPr>
    </w:p>
    <w:p w14:paraId="74676087" w14:textId="77777777" w:rsidR="00883E87" w:rsidRPr="0072627E" w:rsidRDefault="00883E87" w:rsidP="009B55A3">
      <w:pPr>
        <w:spacing w:after="114" w:line="259" w:lineRule="auto"/>
        <w:ind w:left="851" w:right="0" w:firstLine="0"/>
        <w:jc w:val="left"/>
      </w:pPr>
    </w:p>
    <w:p w14:paraId="3CEF067E" w14:textId="77777777" w:rsidR="00883E87" w:rsidRPr="0072627E" w:rsidRDefault="00883E87" w:rsidP="009B55A3">
      <w:pPr>
        <w:spacing w:after="114" w:line="259" w:lineRule="auto"/>
        <w:ind w:left="851" w:right="0" w:firstLine="0"/>
        <w:jc w:val="left"/>
      </w:pPr>
    </w:p>
    <w:p w14:paraId="38D8D562" w14:textId="77777777" w:rsidR="00883E87" w:rsidRPr="0072627E" w:rsidRDefault="00883E87" w:rsidP="009B55A3">
      <w:pPr>
        <w:spacing w:after="114" w:line="259" w:lineRule="auto"/>
        <w:ind w:left="851" w:right="0" w:firstLine="0"/>
        <w:jc w:val="left"/>
      </w:pPr>
    </w:p>
    <w:p w14:paraId="717EE09F" w14:textId="77777777" w:rsidR="00BD4DCF" w:rsidRPr="0072627E" w:rsidRDefault="00BD4DCF">
      <w:pPr>
        <w:spacing w:after="118" w:line="259" w:lineRule="auto"/>
        <w:ind w:left="0" w:right="0" w:firstLine="0"/>
        <w:jc w:val="left"/>
      </w:pPr>
    </w:p>
    <w:p w14:paraId="2B7C33AA" w14:textId="77777777" w:rsidR="00BD4DCF" w:rsidRDefault="00BD4DCF">
      <w:pPr>
        <w:spacing w:after="114" w:line="259" w:lineRule="auto"/>
        <w:ind w:left="0" w:right="0" w:firstLine="0"/>
        <w:jc w:val="left"/>
      </w:pPr>
    </w:p>
    <w:p w14:paraId="56D6DCFE" w14:textId="77777777" w:rsidR="00366B02" w:rsidRDefault="00366B02">
      <w:pPr>
        <w:spacing w:after="114" w:line="259" w:lineRule="auto"/>
        <w:ind w:left="0" w:right="0" w:firstLine="0"/>
        <w:jc w:val="left"/>
      </w:pPr>
    </w:p>
    <w:p w14:paraId="0BE8ED1E" w14:textId="77777777" w:rsidR="00366B02" w:rsidRDefault="00366B02">
      <w:pPr>
        <w:spacing w:after="114" w:line="259" w:lineRule="auto"/>
        <w:ind w:left="0" w:right="0" w:firstLine="0"/>
        <w:jc w:val="left"/>
      </w:pPr>
    </w:p>
    <w:p w14:paraId="01DD6082" w14:textId="77777777" w:rsidR="00366B02" w:rsidRDefault="00366B02">
      <w:pPr>
        <w:spacing w:after="114" w:line="259" w:lineRule="auto"/>
        <w:ind w:left="0" w:right="0" w:firstLine="0"/>
        <w:jc w:val="left"/>
      </w:pPr>
    </w:p>
    <w:p w14:paraId="24CC0F14" w14:textId="77777777" w:rsidR="00C2114E" w:rsidRPr="0072627E" w:rsidRDefault="00C2114E">
      <w:pPr>
        <w:spacing w:after="114" w:line="259" w:lineRule="auto"/>
        <w:ind w:left="0" w:right="0" w:firstLine="0"/>
        <w:jc w:val="left"/>
      </w:pPr>
    </w:p>
    <w:p w14:paraId="436B406B" w14:textId="77777777" w:rsidR="00BD4DCF" w:rsidRPr="0072627E" w:rsidRDefault="00BD4DCF">
      <w:pPr>
        <w:spacing w:after="0" w:line="259" w:lineRule="auto"/>
        <w:ind w:left="0" w:right="0" w:firstLine="0"/>
        <w:jc w:val="left"/>
      </w:pPr>
    </w:p>
    <w:p w14:paraId="049324AA" w14:textId="77777777" w:rsidR="00BD4DCF" w:rsidRPr="0072627E" w:rsidRDefault="0025772B" w:rsidP="00C2114E">
      <w:pPr>
        <w:pStyle w:val="Ttulo4"/>
        <w:spacing w:after="118"/>
        <w:ind w:left="0" w:firstLine="0"/>
      </w:pPr>
      <w:bookmarkStart w:id="15" w:name="_Toc211152531"/>
      <w:r w:rsidRPr="0072627E">
        <w:t>REFERÊNCIAS</w:t>
      </w:r>
      <w:bookmarkEnd w:id="15"/>
      <w:r w:rsidRPr="0072627E">
        <w:t xml:space="preserve"> </w:t>
      </w:r>
    </w:p>
    <w:p w14:paraId="1BF22E6E" w14:textId="77777777" w:rsidR="00C2114E" w:rsidRDefault="00C2114E" w:rsidP="00906907"/>
    <w:p w14:paraId="34EBECEE"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AGÊNCIA NACIONAL DE VIGILÂNCIA SANITÁRIA (ANVISA). </w:t>
      </w:r>
      <w:r w:rsidRPr="00C2114E">
        <w:rPr>
          <w:rStyle w:val="Forte"/>
          <w:rFonts w:ascii="Arial" w:eastAsia="Arial" w:hAnsi="Arial" w:cs="Arial"/>
        </w:rPr>
        <w:t>Medicamentos descongestionantes nasais tópicos à base de nafazolina</w:t>
      </w:r>
      <w:r w:rsidRPr="00C2114E">
        <w:rPr>
          <w:rFonts w:ascii="Arial" w:hAnsi="Arial" w:cs="Arial"/>
        </w:rPr>
        <w:t xml:space="preserve">. Brasília: ANVISA, 2010. Disponível em: </w:t>
      </w:r>
      <w:r w:rsidRPr="00C2114E">
        <w:rPr>
          <w:rFonts w:ascii="Arial" w:eastAsia="Arial" w:hAnsi="Arial" w:cs="Arial"/>
        </w:rPr>
        <w:t>https://www.gov.br/anvisa/pt-br/setorregulado/regularizacao/medicamentos/informes/medicamentos-geral/medicamentos-descongestionantes-nasais-topicos-a-base-de-nafazolina</w:t>
      </w:r>
      <w:r w:rsidRPr="00C2114E">
        <w:rPr>
          <w:rFonts w:ascii="Arial" w:hAnsi="Arial" w:cs="Arial"/>
        </w:rPr>
        <w:t>. Acesso em: 2 out. 2025.</w:t>
      </w:r>
    </w:p>
    <w:p w14:paraId="59ED3E6D" w14:textId="77777777" w:rsidR="00C2114E" w:rsidRPr="00C2114E" w:rsidRDefault="00C2114E" w:rsidP="00C2114E">
      <w:pPr>
        <w:pStyle w:val="NormalWeb"/>
        <w:spacing w:before="0" w:beforeAutospacing="0" w:after="0" w:afterAutospacing="0"/>
        <w:rPr>
          <w:rFonts w:ascii="Arial" w:hAnsi="Arial" w:cs="Arial"/>
        </w:rPr>
      </w:pPr>
    </w:p>
    <w:p w14:paraId="7D80BEE0"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AGÊNCIA NACIONAL DE VIGILÂNCIA SANITÁRIA (ANVISA). </w:t>
      </w:r>
      <w:r w:rsidRPr="00C2114E">
        <w:rPr>
          <w:rStyle w:val="Forte"/>
          <w:rFonts w:ascii="Arial" w:eastAsia="Arial" w:hAnsi="Arial" w:cs="Arial"/>
        </w:rPr>
        <w:t>Nota de Alerta 01/2021 – Risco de intoxicação por nafazolina em crianças</w:t>
      </w:r>
      <w:r w:rsidRPr="00C2114E">
        <w:rPr>
          <w:rFonts w:ascii="Arial" w:hAnsi="Arial" w:cs="Arial"/>
        </w:rPr>
        <w:t xml:space="preserve">. Brasília: ANVISA, 2021. Disponível em: </w:t>
      </w:r>
      <w:r w:rsidRPr="00C2114E">
        <w:rPr>
          <w:rFonts w:ascii="Arial" w:eastAsia="Arial" w:hAnsi="Arial" w:cs="Arial"/>
        </w:rPr>
        <w:t>https://www.gov.br/anvisa/pt-br/assuntos/noticias-anvisa/2021/alerta-intoxicacao-nafazolina</w:t>
      </w:r>
      <w:r w:rsidRPr="00C2114E">
        <w:rPr>
          <w:rFonts w:ascii="Arial" w:hAnsi="Arial" w:cs="Arial"/>
        </w:rPr>
        <w:t>. Acesso em: 2 out. 2025.</w:t>
      </w:r>
    </w:p>
    <w:p w14:paraId="4F278B10" w14:textId="77777777" w:rsidR="00C2114E" w:rsidRPr="00C2114E" w:rsidRDefault="00C2114E" w:rsidP="00C2114E">
      <w:pPr>
        <w:pStyle w:val="NormalWeb"/>
        <w:spacing w:before="0" w:beforeAutospacing="0" w:after="0" w:afterAutospacing="0"/>
        <w:rPr>
          <w:rFonts w:ascii="Arial" w:hAnsi="Arial" w:cs="Arial"/>
        </w:rPr>
      </w:pPr>
    </w:p>
    <w:p w14:paraId="3B0ED009"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ALHARTHI, A. S. et al. </w:t>
      </w:r>
      <w:r w:rsidRPr="00C2114E">
        <w:rPr>
          <w:rStyle w:val="Forte"/>
          <w:rFonts w:ascii="Arial" w:eastAsia="Arial" w:hAnsi="Arial" w:cs="Arial"/>
        </w:rPr>
        <w:t>Assessment of the prevalence of the use of nasal decongestants among the general population in Saudi Arabia</w:t>
      </w:r>
      <w:r w:rsidRPr="00C2114E">
        <w:rPr>
          <w:rFonts w:ascii="Arial" w:hAnsi="Arial" w:cs="Arial"/>
        </w:rPr>
        <w:t xml:space="preserve">. </w:t>
      </w:r>
      <w:r w:rsidRPr="00C2114E">
        <w:rPr>
          <w:rStyle w:val="nfase"/>
          <w:rFonts w:ascii="Arial" w:eastAsia="Arial" w:hAnsi="Arial" w:cs="Arial"/>
        </w:rPr>
        <w:t>Cureus</w:t>
      </w:r>
      <w:r w:rsidRPr="00C2114E">
        <w:rPr>
          <w:rFonts w:ascii="Arial" w:hAnsi="Arial" w:cs="Arial"/>
        </w:rPr>
        <w:t xml:space="preserve">, 2022. Disponível em: </w:t>
      </w:r>
      <w:r w:rsidRPr="00C2114E">
        <w:rPr>
          <w:rFonts w:ascii="Arial" w:eastAsia="Arial" w:hAnsi="Arial" w:cs="Arial"/>
        </w:rPr>
        <w:t>https://www.cureus.com/articles/123962-assessment-of-the-prevalence-of-the-use-of-nasal-decongestants-among-the-general-population-in-saudi-arabia</w:t>
      </w:r>
      <w:r w:rsidRPr="00C2114E">
        <w:rPr>
          <w:rFonts w:ascii="Arial" w:hAnsi="Arial" w:cs="Arial"/>
        </w:rPr>
        <w:t>. Acesso em: 2 out. 2025.</w:t>
      </w:r>
    </w:p>
    <w:p w14:paraId="424FC056" w14:textId="77777777" w:rsidR="00C2114E" w:rsidRPr="00C2114E" w:rsidRDefault="00C2114E" w:rsidP="00C2114E">
      <w:pPr>
        <w:pStyle w:val="NormalWeb"/>
        <w:spacing w:before="0" w:beforeAutospacing="0" w:after="0" w:afterAutospacing="0"/>
        <w:rPr>
          <w:rFonts w:ascii="Arial" w:hAnsi="Arial" w:cs="Arial"/>
        </w:rPr>
      </w:pPr>
    </w:p>
    <w:p w14:paraId="08927FA2"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ALHARTHI, R.; ALANAZI, A.; ALSHEHRI, M. et al. </w:t>
      </w:r>
      <w:r w:rsidRPr="00C2114E">
        <w:rPr>
          <w:rStyle w:val="Forte"/>
          <w:rFonts w:ascii="Arial" w:eastAsia="Arial" w:hAnsi="Arial" w:cs="Arial"/>
        </w:rPr>
        <w:t>Assessment of the prevalence of the use of nasal decongestants among Hail population</w:t>
      </w:r>
      <w:r w:rsidRPr="00C2114E">
        <w:rPr>
          <w:rFonts w:ascii="Arial" w:hAnsi="Arial" w:cs="Arial"/>
        </w:rPr>
        <w:t xml:space="preserve">. </w:t>
      </w:r>
      <w:r w:rsidRPr="00C2114E">
        <w:rPr>
          <w:rStyle w:val="nfase"/>
          <w:rFonts w:ascii="Arial" w:eastAsia="Arial" w:hAnsi="Arial" w:cs="Arial"/>
        </w:rPr>
        <w:t>Cureus</w:t>
      </w:r>
      <w:r w:rsidRPr="00C2114E">
        <w:rPr>
          <w:rFonts w:ascii="Arial" w:hAnsi="Arial" w:cs="Arial"/>
        </w:rPr>
        <w:t>, v. 16, n. 8, e67890, 2024. DOI: 10.7759/cureus.67890.</w:t>
      </w:r>
    </w:p>
    <w:p w14:paraId="77371BE7" w14:textId="77777777" w:rsidR="00C2114E" w:rsidRPr="00C2114E" w:rsidRDefault="00C2114E" w:rsidP="00C2114E">
      <w:pPr>
        <w:pStyle w:val="NormalWeb"/>
        <w:spacing w:before="0" w:beforeAutospacing="0" w:after="0" w:afterAutospacing="0"/>
        <w:rPr>
          <w:rFonts w:ascii="Arial" w:hAnsi="Arial" w:cs="Arial"/>
        </w:rPr>
      </w:pPr>
    </w:p>
    <w:p w14:paraId="183653A6"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ALMEIDA, F. G.; SILVA, J. A.; RODRIGUES, M. M. </w:t>
      </w:r>
      <w:r w:rsidRPr="00C2114E">
        <w:rPr>
          <w:rStyle w:val="Forte"/>
          <w:rFonts w:ascii="Arial" w:eastAsia="Arial" w:hAnsi="Arial" w:cs="Arial"/>
        </w:rPr>
        <w:t>Uso racional de medicamentos nas farmácias comunitárias</w:t>
      </w:r>
      <w:r w:rsidRPr="00C2114E">
        <w:rPr>
          <w:rFonts w:ascii="Arial" w:hAnsi="Arial" w:cs="Arial"/>
        </w:rPr>
        <w:t>. Barueri: Manole, 2021.</w:t>
      </w:r>
    </w:p>
    <w:p w14:paraId="7733BBFA" w14:textId="77777777" w:rsidR="00C2114E" w:rsidRPr="00C2114E" w:rsidRDefault="00C2114E" w:rsidP="00C2114E">
      <w:pPr>
        <w:pStyle w:val="NormalWeb"/>
        <w:spacing w:before="0" w:beforeAutospacing="0" w:after="0" w:afterAutospacing="0"/>
        <w:rPr>
          <w:rFonts w:ascii="Arial" w:hAnsi="Arial" w:cs="Arial"/>
        </w:rPr>
      </w:pPr>
    </w:p>
    <w:p w14:paraId="16BF5A43"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ARAÚJO, L. S.; SANTOS, C. C.; NASCIMENTO, M. M. </w:t>
      </w:r>
      <w:r w:rsidRPr="00C2114E">
        <w:rPr>
          <w:rStyle w:val="Forte"/>
          <w:rFonts w:ascii="Arial" w:eastAsia="Arial" w:hAnsi="Arial" w:cs="Arial"/>
        </w:rPr>
        <w:t>O papel do farmacêutico na automedicação responsável</w:t>
      </w:r>
      <w:r w:rsidRPr="00C2114E">
        <w:rPr>
          <w:rFonts w:ascii="Arial" w:hAnsi="Arial" w:cs="Arial"/>
        </w:rPr>
        <w:t xml:space="preserve">. </w:t>
      </w:r>
      <w:r w:rsidRPr="00C2114E">
        <w:rPr>
          <w:rStyle w:val="nfase"/>
          <w:rFonts w:ascii="Arial" w:eastAsia="Arial" w:hAnsi="Arial" w:cs="Arial"/>
        </w:rPr>
        <w:t>Revista Brasileira de Farmácia</w:t>
      </w:r>
      <w:r w:rsidRPr="00C2114E">
        <w:rPr>
          <w:rFonts w:ascii="Arial" w:hAnsi="Arial" w:cs="Arial"/>
        </w:rPr>
        <w:t>, v. 101, n. 2, p. 45–52, 2020.</w:t>
      </w:r>
    </w:p>
    <w:p w14:paraId="45F67A28" w14:textId="77777777" w:rsidR="00C2114E" w:rsidRPr="00C2114E" w:rsidRDefault="00C2114E" w:rsidP="00C2114E">
      <w:pPr>
        <w:pStyle w:val="NormalWeb"/>
        <w:spacing w:before="0" w:beforeAutospacing="0" w:after="0" w:afterAutospacing="0"/>
        <w:rPr>
          <w:rFonts w:ascii="Arial" w:hAnsi="Arial" w:cs="Arial"/>
        </w:rPr>
      </w:pPr>
    </w:p>
    <w:p w14:paraId="1BB924C1"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BERTOLDI, A. D. et al. </w:t>
      </w:r>
      <w:r w:rsidRPr="00C2114E">
        <w:rPr>
          <w:rStyle w:val="Forte"/>
          <w:rFonts w:ascii="Arial" w:eastAsia="Arial" w:hAnsi="Arial" w:cs="Arial"/>
        </w:rPr>
        <w:t>Prevalence of self-medication in Brazil and associated factors</w:t>
      </w:r>
      <w:r w:rsidRPr="00C2114E">
        <w:rPr>
          <w:rFonts w:ascii="Arial" w:hAnsi="Arial" w:cs="Arial"/>
        </w:rPr>
        <w:t xml:space="preserve">. </w:t>
      </w:r>
      <w:r w:rsidRPr="00C2114E">
        <w:rPr>
          <w:rStyle w:val="nfase"/>
          <w:rFonts w:ascii="Arial" w:eastAsia="Arial" w:hAnsi="Arial" w:cs="Arial"/>
        </w:rPr>
        <w:t>Revista de Saúde Pública</w:t>
      </w:r>
      <w:r w:rsidRPr="00C2114E">
        <w:rPr>
          <w:rFonts w:ascii="Arial" w:hAnsi="Arial" w:cs="Arial"/>
        </w:rPr>
        <w:t>, v. 50, supl. 2, p. 13s, 2016. DOI: 10.1590/S1518-8787.2016050006117.</w:t>
      </w:r>
    </w:p>
    <w:p w14:paraId="28C3B9E2" w14:textId="77777777" w:rsidR="00C2114E" w:rsidRPr="00C2114E" w:rsidRDefault="00C2114E" w:rsidP="00C2114E">
      <w:pPr>
        <w:pStyle w:val="NormalWeb"/>
        <w:spacing w:before="0" w:beforeAutospacing="0" w:after="0" w:afterAutospacing="0"/>
        <w:rPr>
          <w:rFonts w:ascii="Arial" w:hAnsi="Arial" w:cs="Arial"/>
        </w:rPr>
      </w:pPr>
    </w:p>
    <w:p w14:paraId="77BEEEA9"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BRASIL. </w:t>
      </w:r>
      <w:r w:rsidRPr="00C2114E">
        <w:rPr>
          <w:rStyle w:val="Forte"/>
          <w:rFonts w:ascii="Arial" w:eastAsia="Arial" w:hAnsi="Arial" w:cs="Arial"/>
        </w:rPr>
        <w:t>Projeto de Lei nº 1.478, de 20 de abril de 2021</w:t>
      </w:r>
      <w:r w:rsidRPr="00C2114E">
        <w:rPr>
          <w:rFonts w:ascii="Arial" w:hAnsi="Arial" w:cs="Arial"/>
        </w:rPr>
        <w:t xml:space="preserve">. Altera a Lei nº 5.991/1973 para submeter medicamentos contendo substâncias de ação vasoconstritora de uso nasal ao regime de controle sanitário especial. Brasília: Câmara dos Deputados, 2021. Disponível em: </w:t>
      </w:r>
      <w:r w:rsidRPr="00C2114E">
        <w:rPr>
          <w:rFonts w:ascii="Arial" w:eastAsia="Arial" w:hAnsi="Arial" w:cs="Arial"/>
        </w:rPr>
        <w:lastRenderedPageBreak/>
        <w:t>https://www.camara.leg.br/proposicoesWeb/fichadetramitacao?idProposicao=2278639</w:t>
      </w:r>
      <w:r w:rsidRPr="00C2114E">
        <w:rPr>
          <w:rFonts w:ascii="Arial" w:hAnsi="Arial" w:cs="Arial"/>
        </w:rPr>
        <w:t>. Acesso em: 2 out. 2025.</w:t>
      </w:r>
    </w:p>
    <w:p w14:paraId="72D6C83F" w14:textId="77777777" w:rsidR="00C2114E" w:rsidRPr="00C2114E" w:rsidRDefault="00C2114E" w:rsidP="00C2114E">
      <w:pPr>
        <w:pStyle w:val="NormalWeb"/>
        <w:spacing w:before="0" w:beforeAutospacing="0" w:after="0" w:afterAutospacing="0"/>
        <w:rPr>
          <w:rFonts w:ascii="Arial" w:hAnsi="Arial" w:cs="Arial"/>
        </w:rPr>
      </w:pPr>
    </w:p>
    <w:p w14:paraId="34CD06A8"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BRITO, I. C. C. S. et al. </w:t>
      </w:r>
      <w:r w:rsidRPr="00C2114E">
        <w:rPr>
          <w:rStyle w:val="Forte"/>
          <w:rFonts w:ascii="Arial" w:eastAsia="Arial" w:hAnsi="Arial" w:cs="Arial"/>
        </w:rPr>
        <w:t>Papel do farmacêutico e da farmácia comunitária na atenção à saúde: percepção de estudantes universitários</w:t>
      </w:r>
      <w:r w:rsidRPr="00C2114E">
        <w:rPr>
          <w:rFonts w:ascii="Arial" w:hAnsi="Arial" w:cs="Arial"/>
        </w:rPr>
        <w:t xml:space="preserve">. </w:t>
      </w:r>
      <w:r w:rsidRPr="00C2114E">
        <w:rPr>
          <w:rStyle w:val="nfase"/>
          <w:rFonts w:ascii="Arial" w:eastAsia="Arial" w:hAnsi="Arial" w:cs="Arial"/>
        </w:rPr>
        <w:t>Espaço Saúde</w:t>
      </w:r>
      <w:r w:rsidRPr="00C2114E">
        <w:rPr>
          <w:rFonts w:ascii="Arial" w:hAnsi="Arial" w:cs="Arial"/>
        </w:rPr>
        <w:t>, v. 23, e868, 2022.</w:t>
      </w:r>
    </w:p>
    <w:p w14:paraId="388538EB" w14:textId="77777777" w:rsidR="00C2114E" w:rsidRPr="00C2114E" w:rsidRDefault="00C2114E" w:rsidP="00C2114E">
      <w:pPr>
        <w:pStyle w:val="NormalWeb"/>
        <w:spacing w:before="0" w:beforeAutospacing="0" w:after="0" w:afterAutospacing="0"/>
        <w:rPr>
          <w:rFonts w:ascii="Arial" w:hAnsi="Arial" w:cs="Arial"/>
        </w:rPr>
      </w:pPr>
    </w:p>
    <w:p w14:paraId="69E559B3"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CÂMARA DE REGULAÇÃO DO MERCADO DE MEDICAMENTOS. </w:t>
      </w:r>
      <w:r w:rsidRPr="00C2114E">
        <w:rPr>
          <w:rStyle w:val="Forte"/>
          <w:rFonts w:ascii="Arial" w:eastAsia="Arial" w:hAnsi="Arial" w:cs="Arial"/>
        </w:rPr>
        <w:t>Anuário estatístico do mercado farmacêutico – 7ª edição</w:t>
      </w:r>
      <w:r w:rsidRPr="00C2114E">
        <w:rPr>
          <w:rFonts w:ascii="Arial" w:hAnsi="Arial" w:cs="Arial"/>
        </w:rPr>
        <w:t>. Brasília: ANVISA, 2024.</w:t>
      </w:r>
    </w:p>
    <w:p w14:paraId="1EAF0910" w14:textId="77777777" w:rsidR="00C2114E" w:rsidRPr="00C2114E" w:rsidRDefault="00C2114E" w:rsidP="00C2114E">
      <w:pPr>
        <w:pStyle w:val="NormalWeb"/>
        <w:spacing w:before="0" w:beforeAutospacing="0" w:after="0" w:afterAutospacing="0"/>
        <w:rPr>
          <w:rFonts w:ascii="Arial" w:hAnsi="Arial" w:cs="Arial"/>
        </w:rPr>
      </w:pPr>
    </w:p>
    <w:p w14:paraId="3BFB66E8"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CHAN, S. S. C. et al. </w:t>
      </w:r>
      <w:r w:rsidRPr="00C2114E">
        <w:rPr>
          <w:rStyle w:val="Forte"/>
          <w:rFonts w:ascii="Arial" w:eastAsia="Arial" w:hAnsi="Arial" w:cs="Arial"/>
        </w:rPr>
        <w:t>The management of allergic rhinitis by pharmacists in public services: AR-PRISE model</w:t>
      </w:r>
      <w:r w:rsidRPr="00C2114E">
        <w:rPr>
          <w:rFonts w:ascii="Arial" w:hAnsi="Arial" w:cs="Arial"/>
        </w:rPr>
        <w:t xml:space="preserve">. </w:t>
      </w:r>
      <w:r w:rsidRPr="00C2114E">
        <w:rPr>
          <w:rStyle w:val="nfase"/>
          <w:rFonts w:ascii="Arial" w:eastAsia="Arial" w:hAnsi="Arial" w:cs="Arial"/>
        </w:rPr>
        <w:t>Journal of Pharmaceutical Policy and Practice</w:t>
      </w:r>
      <w:r w:rsidRPr="00C2114E">
        <w:rPr>
          <w:rFonts w:ascii="Arial" w:hAnsi="Arial" w:cs="Arial"/>
        </w:rPr>
        <w:t>, v. 15, n. 1, p. 112, 2022. DOI: 10.1186/s40545-022-00477-1.</w:t>
      </w:r>
    </w:p>
    <w:p w14:paraId="36A79FAF" w14:textId="77777777" w:rsidR="00C2114E" w:rsidRPr="00C2114E" w:rsidRDefault="00C2114E" w:rsidP="00C2114E">
      <w:pPr>
        <w:pStyle w:val="NormalWeb"/>
        <w:spacing w:before="0" w:beforeAutospacing="0" w:after="0" w:afterAutospacing="0"/>
        <w:rPr>
          <w:rFonts w:ascii="Arial" w:hAnsi="Arial" w:cs="Arial"/>
        </w:rPr>
      </w:pPr>
    </w:p>
    <w:p w14:paraId="57A5C867"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CONTRERAS-SALINAS, H.; BARAJAS-HERNÁNDEZ, M.; BÁIZA-DURÁN, L. M. et al. </w:t>
      </w:r>
      <w:r w:rsidRPr="00C2114E">
        <w:rPr>
          <w:rStyle w:val="Forte"/>
          <w:rFonts w:ascii="Arial" w:eastAsia="Arial" w:hAnsi="Arial" w:cs="Arial"/>
        </w:rPr>
        <w:t>Real-life active surveillance of a naphazoline/hypromellose fixed combination’s safety profile in Peruvian population</w:t>
      </w:r>
      <w:r w:rsidRPr="00C2114E">
        <w:rPr>
          <w:rFonts w:ascii="Arial" w:hAnsi="Arial" w:cs="Arial"/>
        </w:rPr>
        <w:t xml:space="preserve">. </w:t>
      </w:r>
      <w:r w:rsidRPr="00C2114E">
        <w:rPr>
          <w:rStyle w:val="nfase"/>
          <w:rFonts w:ascii="Arial" w:eastAsia="Arial" w:hAnsi="Arial" w:cs="Arial"/>
        </w:rPr>
        <w:t>Integrated Pharmacy Research and Practice</w:t>
      </w:r>
      <w:r w:rsidRPr="00C2114E">
        <w:rPr>
          <w:rFonts w:ascii="Arial" w:hAnsi="Arial" w:cs="Arial"/>
        </w:rPr>
        <w:t>, v. 10, p. 127-133, 2021. DOI: 10.2147/IPRP.S332421.</w:t>
      </w:r>
    </w:p>
    <w:p w14:paraId="0E05EA5E" w14:textId="77777777" w:rsidR="00C2114E" w:rsidRPr="00C2114E" w:rsidRDefault="00C2114E" w:rsidP="00C2114E">
      <w:pPr>
        <w:pStyle w:val="NormalWeb"/>
        <w:spacing w:before="0" w:beforeAutospacing="0" w:after="0" w:afterAutospacing="0"/>
        <w:rPr>
          <w:rFonts w:ascii="Arial" w:hAnsi="Arial" w:cs="Arial"/>
        </w:rPr>
      </w:pPr>
    </w:p>
    <w:p w14:paraId="13FCCE8D"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CORREIO BRAZILIENSE. </w:t>
      </w:r>
      <w:r w:rsidRPr="00C2114E">
        <w:rPr>
          <w:rStyle w:val="Forte"/>
          <w:rFonts w:ascii="Arial" w:eastAsia="Arial" w:hAnsi="Arial" w:cs="Arial"/>
        </w:rPr>
        <w:t>Uso excessivo de descongestionantes nasais pode fazer mal à saúde</w:t>
      </w:r>
      <w:r w:rsidRPr="00C2114E">
        <w:rPr>
          <w:rFonts w:ascii="Arial" w:hAnsi="Arial" w:cs="Arial"/>
        </w:rPr>
        <w:t>. 2024.</w:t>
      </w:r>
    </w:p>
    <w:p w14:paraId="648CA5C0" w14:textId="77777777" w:rsidR="00C2114E" w:rsidRPr="00C2114E" w:rsidRDefault="00C2114E" w:rsidP="00C2114E">
      <w:pPr>
        <w:pStyle w:val="NormalWeb"/>
        <w:spacing w:before="0" w:beforeAutospacing="0" w:after="0" w:afterAutospacing="0"/>
        <w:rPr>
          <w:rFonts w:ascii="Arial" w:hAnsi="Arial" w:cs="Arial"/>
        </w:rPr>
      </w:pPr>
    </w:p>
    <w:p w14:paraId="02BFAF3D" w14:textId="77777777" w:rsidR="00C2114E" w:rsidRP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FISCHER, J.; GANELLIN, C. R. </w:t>
      </w:r>
      <w:r w:rsidRPr="00C2114E">
        <w:rPr>
          <w:rStyle w:val="Forte"/>
          <w:rFonts w:ascii="Arial" w:eastAsia="Arial" w:hAnsi="Arial" w:cs="Arial"/>
        </w:rPr>
        <w:t>Analogue-Based Drug Discovery</w:t>
      </w:r>
      <w:r w:rsidRPr="00C2114E">
        <w:rPr>
          <w:rFonts w:ascii="Arial" w:hAnsi="Arial" w:cs="Arial"/>
        </w:rPr>
        <w:t>. Wiley, 2006.</w:t>
      </w:r>
    </w:p>
    <w:p w14:paraId="0EB26DA3"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GOODMAN, L. S.; BRUNTON, L. L.; KNOLLMAN, B. R.; HILAL-DANDAN, R. </w:t>
      </w:r>
      <w:r w:rsidRPr="00C2114E">
        <w:rPr>
          <w:rStyle w:val="Forte"/>
          <w:rFonts w:ascii="Arial" w:eastAsia="Arial" w:hAnsi="Arial" w:cs="Arial"/>
        </w:rPr>
        <w:t>Goodman &amp; Gilman’s: The Pharmacological Basis of Therapeutics</w:t>
      </w:r>
      <w:r w:rsidRPr="00C2114E">
        <w:rPr>
          <w:rFonts w:ascii="Arial" w:hAnsi="Arial" w:cs="Arial"/>
        </w:rPr>
        <w:t>. 13. ed. New York: McGraw-Hill, 2018.</w:t>
      </w:r>
    </w:p>
    <w:p w14:paraId="6E24BBB7" w14:textId="77777777" w:rsidR="00C2114E" w:rsidRPr="00C2114E" w:rsidRDefault="00C2114E" w:rsidP="00C2114E">
      <w:pPr>
        <w:pStyle w:val="NormalWeb"/>
        <w:spacing w:before="0" w:beforeAutospacing="0" w:after="0" w:afterAutospacing="0"/>
        <w:rPr>
          <w:rFonts w:ascii="Arial" w:hAnsi="Arial" w:cs="Arial"/>
        </w:rPr>
      </w:pPr>
    </w:p>
    <w:p w14:paraId="1242407D" w14:textId="77777777" w:rsidR="00C2114E" w:rsidRP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HILD, A. P. </w:t>
      </w:r>
      <w:r w:rsidRPr="00C2114E">
        <w:rPr>
          <w:rStyle w:val="Forte"/>
          <w:rFonts w:ascii="Arial" w:eastAsia="Arial" w:hAnsi="Arial" w:cs="Arial"/>
        </w:rPr>
        <w:t>Privinehydrochloride: a new nasal vasoconstrictor</w:t>
      </w:r>
      <w:r w:rsidRPr="00C2114E">
        <w:rPr>
          <w:rFonts w:ascii="Arial" w:hAnsi="Arial" w:cs="Arial"/>
        </w:rPr>
        <w:t xml:space="preserve">. </w:t>
      </w:r>
      <w:r w:rsidRPr="00C2114E">
        <w:rPr>
          <w:rStyle w:val="nfase"/>
          <w:rFonts w:ascii="Arial" w:eastAsia="Arial" w:hAnsi="Arial" w:cs="Arial"/>
        </w:rPr>
        <w:t>Journal of the American Medical Association</w:t>
      </w:r>
      <w:r w:rsidRPr="00C2114E">
        <w:rPr>
          <w:rFonts w:ascii="Arial" w:hAnsi="Arial" w:cs="Arial"/>
        </w:rPr>
        <w:t>, v. 116, n. 17, p. 1447-1449, 1941.</w:t>
      </w:r>
    </w:p>
    <w:p w14:paraId="12B0A932"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KATZUNG, B. G. </w:t>
      </w:r>
      <w:r w:rsidRPr="00C2114E">
        <w:rPr>
          <w:rStyle w:val="Forte"/>
          <w:rFonts w:ascii="Arial" w:eastAsia="Arial" w:hAnsi="Arial" w:cs="Arial"/>
        </w:rPr>
        <w:t>Farmacologia básica e clínica</w:t>
      </w:r>
      <w:r w:rsidRPr="00C2114E">
        <w:rPr>
          <w:rFonts w:ascii="Arial" w:hAnsi="Arial" w:cs="Arial"/>
        </w:rPr>
        <w:t>. 14. ed. Porto Alegre: McGraw-Hill, 2018.</w:t>
      </w:r>
    </w:p>
    <w:p w14:paraId="1E5795F8" w14:textId="77777777" w:rsidR="00C2114E" w:rsidRPr="00C2114E" w:rsidRDefault="00C2114E" w:rsidP="00C2114E">
      <w:pPr>
        <w:pStyle w:val="NormalWeb"/>
        <w:spacing w:before="0" w:beforeAutospacing="0" w:after="0" w:afterAutospacing="0"/>
        <w:rPr>
          <w:rFonts w:ascii="Arial" w:hAnsi="Arial" w:cs="Arial"/>
        </w:rPr>
      </w:pPr>
    </w:p>
    <w:p w14:paraId="2121046B" w14:textId="77777777" w:rsidR="00C2114E" w:rsidRP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KIM, S. et al. </w:t>
      </w:r>
      <w:r w:rsidRPr="00C2114E">
        <w:rPr>
          <w:rStyle w:val="Forte"/>
          <w:rFonts w:ascii="Arial" w:eastAsia="Arial" w:hAnsi="Arial" w:cs="Arial"/>
        </w:rPr>
        <w:t>PubChem Compound Summary for CID 4436 (Naphazoline)</w:t>
      </w:r>
      <w:r w:rsidRPr="00C2114E">
        <w:rPr>
          <w:rFonts w:ascii="Arial" w:hAnsi="Arial" w:cs="Arial"/>
        </w:rPr>
        <w:t xml:space="preserve">. 2023. Disponível em: </w:t>
      </w:r>
      <w:r w:rsidRPr="00C2114E">
        <w:rPr>
          <w:rFonts w:ascii="Arial" w:eastAsia="Arial" w:hAnsi="Arial" w:cs="Arial"/>
        </w:rPr>
        <w:t>https://go.drugbank.com/drugs/DB06711</w:t>
      </w:r>
      <w:r w:rsidRPr="00C2114E">
        <w:rPr>
          <w:rFonts w:ascii="Arial" w:hAnsi="Arial" w:cs="Arial"/>
        </w:rPr>
        <w:t>. Acesso em: 2 out. 2025.</w:t>
      </w:r>
    </w:p>
    <w:p w14:paraId="0AB32EA1"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KUZMINOV, B.; TURKINA, V.; KUZMINOV, Y. </w:t>
      </w:r>
      <w:r w:rsidRPr="00C2114E">
        <w:rPr>
          <w:rStyle w:val="Forte"/>
          <w:rFonts w:ascii="Arial" w:eastAsia="Arial" w:hAnsi="Arial" w:cs="Arial"/>
        </w:rPr>
        <w:t>Rationale for naphazoline effects: in-depth study</w:t>
      </w:r>
      <w:r w:rsidRPr="00C2114E">
        <w:rPr>
          <w:rFonts w:ascii="Arial" w:hAnsi="Arial" w:cs="Arial"/>
        </w:rPr>
        <w:t xml:space="preserve">. </w:t>
      </w:r>
      <w:r w:rsidRPr="00C2114E">
        <w:rPr>
          <w:rStyle w:val="nfase"/>
          <w:rFonts w:ascii="Arial" w:eastAsia="Arial" w:hAnsi="Arial" w:cs="Arial"/>
        </w:rPr>
        <w:t>Current Issues in Pharmacy and Medical Sciences</w:t>
      </w:r>
      <w:r w:rsidRPr="00C2114E">
        <w:rPr>
          <w:rFonts w:ascii="Arial" w:hAnsi="Arial" w:cs="Arial"/>
        </w:rPr>
        <w:t>, v. 31, n. 1, p. 29-33, 2018. DOI: 10.1515/cipms-2018-0007.</w:t>
      </w:r>
    </w:p>
    <w:p w14:paraId="17107AFB" w14:textId="77777777" w:rsidR="00C2114E" w:rsidRPr="00C2114E" w:rsidRDefault="00C2114E" w:rsidP="00C2114E">
      <w:pPr>
        <w:pStyle w:val="NormalWeb"/>
        <w:spacing w:before="0" w:beforeAutospacing="0" w:after="0" w:afterAutospacing="0"/>
        <w:rPr>
          <w:rFonts w:ascii="Arial" w:hAnsi="Arial" w:cs="Arial"/>
        </w:rPr>
      </w:pPr>
    </w:p>
    <w:p w14:paraId="6E4AB444"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LEIAJÁ. </w:t>
      </w:r>
      <w:r w:rsidRPr="00C2114E">
        <w:rPr>
          <w:rStyle w:val="Forte"/>
          <w:rFonts w:ascii="Arial" w:eastAsia="Arial" w:hAnsi="Arial" w:cs="Arial"/>
        </w:rPr>
        <w:t>Descongestionante nasal: perigos do remédio mais vendido</w:t>
      </w:r>
      <w:r w:rsidRPr="00C2114E">
        <w:rPr>
          <w:rFonts w:ascii="Arial" w:hAnsi="Arial" w:cs="Arial"/>
        </w:rPr>
        <w:t>. 2017.</w:t>
      </w:r>
    </w:p>
    <w:p w14:paraId="42F280AD" w14:textId="77777777" w:rsidR="00C2114E" w:rsidRPr="00C2114E" w:rsidRDefault="00C2114E" w:rsidP="00C2114E">
      <w:pPr>
        <w:pStyle w:val="NormalWeb"/>
        <w:spacing w:before="0" w:beforeAutospacing="0" w:after="0" w:afterAutospacing="0"/>
        <w:rPr>
          <w:rFonts w:ascii="Arial" w:hAnsi="Arial" w:cs="Arial"/>
        </w:rPr>
      </w:pPr>
    </w:p>
    <w:p w14:paraId="6C3F3CF2"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LIMA, M. I. M. M.; SILVA, J. M.; SIQUEIRA, L. P. R. </w:t>
      </w:r>
      <w:r w:rsidRPr="00C2114E">
        <w:rPr>
          <w:rStyle w:val="Forte"/>
          <w:rFonts w:ascii="Arial" w:eastAsia="Arial" w:hAnsi="Arial" w:cs="Arial"/>
        </w:rPr>
        <w:t>Riscos associados à automedicação do cloridrato de nafazolina e o farmacêutico como protagonista para o uso racional de medicamentos</w:t>
      </w:r>
      <w:r w:rsidRPr="00C2114E">
        <w:rPr>
          <w:rFonts w:ascii="Arial" w:hAnsi="Arial" w:cs="Arial"/>
        </w:rPr>
        <w:t xml:space="preserve">. </w:t>
      </w:r>
      <w:r w:rsidRPr="00C2114E">
        <w:rPr>
          <w:rStyle w:val="nfase"/>
          <w:rFonts w:ascii="Arial" w:eastAsia="Arial" w:hAnsi="Arial" w:cs="Arial"/>
        </w:rPr>
        <w:t>Research, Society and Development</w:t>
      </w:r>
      <w:r w:rsidRPr="00C2114E">
        <w:rPr>
          <w:rFonts w:ascii="Arial" w:hAnsi="Arial" w:cs="Arial"/>
        </w:rPr>
        <w:t>, v. 10, n. 15, 2021. DOI: 10.33448/rsd-v10i15.22935.</w:t>
      </w:r>
    </w:p>
    <w:p w14:paraId="5111F06C" w14:textId="77777777" w:rsidR="00C2114E" w:rsidRPr="00C2114E" w:rsidRDefault="00C2114E" w:rsidP="00C2114E">
      <w:pPr>
        <w:pStyle w:val="NormalWeb"/>
        <w:spacing w:before="0" w:beforeAutospacing="0" w:after="0" w:afterAutospacing="0"/>
        <w:rPr>
          <w:rFonts w:ascii="Arial" w:hAnsi="Arial" w:cs="Arial"/>
        </w:rPr>
      </w:pPr>
    </w:p>
    <w:p w14:paraId="38413747"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LIMA, M. I. M.; SILVA, J. M.; SIQUEIRA, L. P. </w:t>
      </w:r>
      <w:r w:rsidRPr="00C2114E">
        <w:rPr>
          <w:rStyle w:val="Forte"/>
          <w:rFonts w:ascii="Arial" w:eastAsia="Arial" w:hAnsi="Arial" w:cs="Arial"/>
        </w:rPr>
        <w:t>Risks associated with naphazoline hydrochloride self-medication and the pharmacist as the protagonist for the rational use of medications</w:t>
      </w:r>
      <w:r w:rsidRPr="00C2114E">
        <w:rPr>
          <w:rFonts w:ascii="Arial" w:hAnsi="Arial" w:cs="Arial"/>
        </w:rPr>
        <w:t xml:space="preserve">. </w:t>
      </w:r>
      <w:r w:rsidRPr="00C2114E">
        <w:rPr>
          <w:rStyle w:val="nfase"/>
          <w:rFonts w:ascii="Arial" w:eastAsia="Arial" w:hAnsi="Arial" w:cs="Arial"/>
        </w:rPr>
        <w:t>Research, Society and Development</w:t>
      </w:r>
      <w:r w:rsidRPr="00C2114E">
        <w:rPr>
          <w:rFonts w:ascii="Arial" w:hAnsi="Arial" w:cs="Arial"/>
        </w:rPr>
        <w:t>, v. 13, n. 3, p. e22935, 2024.</w:t>
      </w:r>
    </w:p>
    <w:p w14:paraId="38F262AE" w14:textId="77777777" w:rsidR="00C2114E" w:rsidRPr="00C2114E" w:rsidRDefault="00C2114E" w:rsidP="00C2114E">
      <w:pPr>
        <w:pStyle w:val="NormalWeb"/>
        <w:spacing w:before="0" w:beforeAutospacing="0" w:after="0" w:afterAutospacing="0"/>
        <w:rPr>
          <w:rFonts w:ascii="Arial" w:hAnsi="Arial" w:cs="Arial"/>
        </w:rPr>
      </w:pPr>
    </w:p>
    <w:p w14:paraId="45C0766A"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lastRenderedPageBreak/>
        <w:t xml:space="preserve">MATOS, M. R. et al. </w:t>
      </w:r>
      <w:r w:rsidRPr="00C2114E">
        <w:rPr>
          <w:rStyle w:val="Forte"/>
          <w:rFonts w:ascii="Arial" w:eastAsia="Arial" w:hAnsi="Arial" w:cs="Arial"/>
        </w:rPr>
        <w:t>O uso excessivo de descongestionantes nasais tópicos vasoconstritores por estudantes universitários</w:t>
      </w:r>
      <w:r w:rsidRPr="00C2114E">
        <w:rPr>
          <w:rFonts w:ascii="Arial" w:hAnsi="Arial" w:cs="Arial"/>
        </w:rPr>
        <w:t xml:space="preserve">. </w:t>
      </w:r>
      <w:r w:rsidRPr="00C2114E">
        <w:rPr>
          <w:rStyle w:val="nfase"/>
          <w:rFonts w:ascii="Arial" w:eastAsia="Arial" w:hAnsi="Arial" w:cs="Arial"/>
        </w:rPr>
        <w:t>Revista do Conselho Regional de Farmácia de São Paulo (CRF-SP)</w:t>
      </w:r>
      <w:r w:rsidRPr="00C2114E">
        <w:rPr>
          <w:rFonts w:ascii="Arial" w:hAnsi="Arial" w:cs="Arial"/>
        </w:rPr>
        <w:t xml:space="preserve">, 2017. Disponível em: </w:t>
      </w:r>
      <w:r w:rsidRPr="00C2114E">
        <w:rPr>
          <w:rFonts w:ascii="Arial" w:eastAsia="Arial" w:hAnsi="Arial" w:cs="Arial"/>
        </w:rPr>
        <w:t>https://crfse.org.br/noticia/imprimir/743/artigo-o-uso-excessivo-de-descongestionantes-nasais-topico-vasoconstritores-por-estudantes-universitarios</w:t>
      </w:r>
      <w:r w:rsidRPr="00C2114E">
        <w:rPr>
          <w:rFonts w:ascii="Arial" w:hAnsi="Arial" w:cs="Arial"/>
        </w:rPr>
        <w:t>. Acesso em: 2 out. 2025.</w:t>
      </w:r>
    </w:p>
    <w:p w14:paraId="038BAC1C" w14:textId="77777777" w:rsidR="00C2114E" w:rsidRPr="00C2114E" w:rsidRDefault="00C2114E" w:rsidP="00C2114E">
      <w:pPr>
        <w:pStyle w:val="NormalWeb"/>
        <w:spacing w:before="0" w:beforeAutospacing="0" w:after="0" w:afterAutospacing="0"/>
        <w:rPr>
          <w:rFonts w:ascii="Arial" w:hAnsi="Arial" w:cs="Arial"/>
        </w:rPr>
      </w:pPr>
    </w:p>
    <w:p w14:paraId="20565B5B"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METRÓPOLES. </w:t>
      </w:r>
      <w:r w:rsidRPr="00C2114E">
        <w:rPr>
          <w:rStyle w:val="Forte"/>
          <w:rFonts w:ascii="Arial" w:eastAsia="Arial" w:hAnsi="Arial" w:cs="Arial"/>
        </w:rPr>
        <w:t>Descongestionante nasal: vício que afeta milhares de brasileiros</w:t>
      </w:r>
      <w:r w:rsidRPr="00C2114E">
        <w:rPr>
          <w:rFonts w:ascii="Arial" w:hAnsi="Arial" w:cs="Arial"/>
        </w:rPr>
        <w:t>. 2024.</w:t>
      </w:r>
    </w:p>
    <w:p w14:paraId="2BFB79D7" w14:textId="77777777" w:rsidR="00C2114E" w:rsidRPr="00C2114E" w:rsidRDefault="00C2114E" w:rsidP="00C2114E">
      <w:pPr>
        <w:pStyle w:val="NormalWeb"/>
        <w:spacing w:before="0" w:beforeAutospacing="0" w:after="0" w:afterAutospacing="0"/>
        <w:rPr>
          <w:rFonts w:ascii="Arial" w:hAnsi="Arial" w:cs="Arial"/>
        </w:rPr>
      </w:pPr>
    </w:p>
    <w:p w14:paraId="697E0764"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MOKHATRISH, A. et al. </w:t>
      </w:r>
      <w:r w:rsidRPr="00C2114E">
        <w:rPr>
          <w:rStyle w:val="Forte"/>
          <w:rFonts w:ascii="Arial" w:eastAsia="Arial" w:hAnsi="Arial" w:cs="Arial"/>
        </w:rPr>
        <w:t>Pharmacists’ attitudes towards long-term use of nasal decongestants: cross-sectional study</w:t>
      </w:r>
      <w:r w:rsidRPr="00C2114E">
        <w:rPr>
          <w:rFonts w:ascii="Arial" w:hAnsi="Arial" w:cs="Arial"/>
        </w:rPr>
        <w:t xml:space="preserve">. </w:t>
      </w:r>
      <w:r w:rsidRPr="00C2114E">
        <w:rPr>
          <w:rStyle w:val="nfase"/>
          <w:rFonts w:ascii="Arial" w:eastAsia="Arial" w:hAnsi="Arial" w:cs="Arial"/>
        </w:rPr>
        <w:t>Saudi Pharmaceutical Journal</w:t>
      </w:r>
      <w:r w:rsidRPr="00C2114E">
        <w:rPr>
          <w:rFonts w:ascii="Arial" w:hAnsi="Arial" w:cs="Arial"/>
        </w:rPr>
        <w:t>, v. 30, n. 9, p. 1069-1076, 2022. DOI: 10.1016/j.jsps.2022.06.002.</w:t>
      </w:r>
    </w:p>
    <w:p w14:paraId="22EE82D0" w14:textId="77777777" w:rsidR="00C2114E" w:rsidRPr="00C2114E" w:rsidRDefault="00C2114E" w:rsidP="00C2114E">
      <w:pPr>
        <w:pStyle w:val="NormalWeb"/>
        <w:spacing w:before="0" w:beforeAutospacing="0" w:after="0" w:afterAutospacing="0"/>
        <w:rPr>
          <w:rFonts w:ascii="Arial" w:hAnsi="Arial" w:cs="Arial"/>
        </w:rPr>
      </w:pPr>
    </w:p>
    <w:p w14:paraId="331D263A"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MOKHATRISH, M. M. et al. </w:t>
      </w:r>
      <w:r w:rsidRPr="00C2114E">
        <w:rPr>
          <w:rStyle w:val="Forte"/>
          <w:rFonts w:ascii="Arial" w:eastAsia="Arial" w:hAnsi="Arial" w:cs="Arial"/>
        </w:rPr>
        <w:t>Pharmacists' attitudes towards long-term use of nasal decongestants: a cross-sectional study</w:t>
      </w:r>
      <w:r w:rsidRPr="00C2114E">
        <w:rPr>
          <w:rFonts w:ascii="Arial" w:hAnsi="Arial" w:cs="Arial"/>
        </w:rPr>
        <w:t>. 2024.</w:t>
      </w:r>
    </w:p>
    <w:p w14:paraId="00504F8C" w14:textId="77777777" w:rsidR="00C2114E" w:rsidRPr="00C2114E" w:rsidRDefault="00C2114E" w:rsidP="00C2114E">
      <w:pPr>
        <w:pStyle w:val="NormalWeb"/>
        <w:spacing w:before="0" w:beforeAutospacing="0" w:after="0" w:afterAutospacing="0"/>
        <w:rPr>
          <w:rFonts w:ascii="Arial" w:hAnsi="Arial" w:cs="Arial"/>
        </w:rPr>
      </w:pPr>
    </w:p>
    <w:p w14:paraId="2408647C"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MORAIS, B. B. et al. </w:t>
      </w:r>
      <w:r w:rsidRPr="00C2114E">
        <w:rPr>
          <w:rStyle w:val="Forte"/>
          <w:rFonts w:ascii="Arial" w:eastAsia="Arial" w:hAnsi="Arial" w:cs="Arial"/>
        </w:rPr>
        <w:t>Riscos e efeitos adversos do uso de descongestionantes nasais</w:t>
      </w:r>
      <w:r w:rsidRPr="00C2114E">
        <w:rPr>
          <w:rFonts w:ascii="Arial" w:hAnsi="Arial" w:cs="Arial"/>
        </w:rPr>
        <w:t xml:space="preserve">. </w:t>
      </w:r>
      <w:r w:rsidRPr="00C2114E">
        <w:rPr>
          <w:rStyle w:val="nfase"/>
          <w:rFonts w:ascii="Arial" w:eastAsia="Arial" w:hAnsi="Arial" w:cs="Arial"/>
        </w:rPr>
        <w:t>Revista Master</w:t>
      </w:r>
      <w:r w:rsidRPr="00C2114E">
        <w:rPr>
          <w:rFonts w:ascii="Arial" w:hAnsi="Arial" w:cs="Arial"/>
        </w:rPr>
        <w:t>, v. 9, n. 18, 2024.</w:t>
      </w:r>
    </w:p>
    <w:p w14:paraId="7103AC7B" w14:textId="77777777" w:rsidR="00C2114E" w:rsidRPr="00C2114E" w:rsidRDefault="00C2114E" w:rsidP="00C2114E">
      <w:pPr>
        <w:pStyle w:val="NormalWeb"/>
        <w:spacing w:before="0" w:beforeAutospacing="0" w:after="0" w:afterAutospacing="0"/>
        <w:rPr>
          <w:rFonts w:ascii="Arial" w:hAnsi="Arial" w:cs="Arial"/>
        </w:rPr>
      </w:pPr>
    </w:p>
    <w:p w14:paraId="34FCE531"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MUSSHOFF, F.; GERSCHLAUER, A.; MADEA, B. </w:t>
      </w:r>
      <w:r w:rsidRPr="00C2114E">
        <w:rPr>
          <w:rStyle w:val="Forte"/>
          <w:rFonts w:ascii="Arial" w:eastAsia="Arial" w:hAnsi="Arial" w:cs="Arial"/>
        </w:rPr>
        <w:t>Naphazoline intoxication in a child – a clinical and forensic toxicological case</w:t>
      </w:r>
      <w:r w:rsidRPr="00C2114E">
        <w:rPr>
          <w:rFonts w:ascii="Arial" w:hAnsi="Arial" w:cs="Arial"/>
        </w:rPr>
        <w:t xml:space="preserve">. </w:t>
      </w:r>
      <w:r w:rsidRPr="00C2114E">
        <w:rPr>
          <w:rStyle w:val="nfase"/>
          <w:rFonts w:ascii="Arial" w:eastAsia="Arial" w:hAnsi="Arial" w:cs="Arial"/>
        </w:rPr>
        <w:t>Forensic Science International</w:t>
      </w:r>
      <w:r w:rsidRPr="00C2114E">
        <w:rPr>
          <w:rFonts w:ascii="Arial" w:hAnsi="Arial" w:cs="Arial"/>
        </w:rPr>
        <w:t>, v. 134, n. 2-3, p. 234-237, 2003. DOI: 10.1016/S0379-0738(03)00158-0.</w:t>
      </w:r>
    </w:p>
    <w:p w14:paraId="64F1620A" w14:textId="77777777" w:rsidR="00C2114E" w:rsidRPr="00C2114E" w:rsidRDefault="00C2114E" w:rsidP="00C2114E">
      <w:pPr>
        <w:pStyle w:val="NormalWeb"/>
        <w:spacing w:before="0" w:beforeAutospacing="0" w:after="0" w:afterAutospacing="0"/>
        <w:rPr>
          <w:rFonts w:ascii="Arial" w:hAnsi="Arial" w:cs="Arial"/>
        </w:rPr>
      </w:pPr>
    </w:p>
    <w:p w14:paraId="1B4B004A"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NOVAES, S. et al. </w:t>
      </w:r>
      <w:r w:rsidRPr="00C2114E">
        <w:rPr>
          <w:rStyle w:val="Forte"/>
          <w:rFonts w:ascii="Arial" w:eastAsia="Arial" w:hAnsi="Arial" w:cs="Arial"/>
        </w:rPr>
        <w:t>Burnout entre farmacêuticos: fatores de risco e intervenções efetivas</w:t>
      </w:r>
      <w:r w:rsidRPr="00C2114E">
        <w:rPr>
          <w:rFonts w:ascii="Arial" w:hAnsi="Arial" w:cs="Arial"/>
        </w:rPr>
        <w:t xml:space="preserve">. In: </w:t>
      </w:r>
      <w:r w:rsidRPr="00C2114E">
        <w:rPr>
          <w:rStyle w:val="nfase"/>
          <w:rFonts w:ascii="Arial" w:eastAsia="Arial" w:hAnsi="Arial" w:cs="Arial"/>
        </w:rPr>
        <w:t>Farmácia: pesquisa, produção e difusão de conhecimentos 3</w:t>
      </w:r>
      <w:r w:rsidRPr="00C2114E">
        <w:rPr>
          <w:rFonts w:ascii="Arial" w:hAnsi="Arial" w:cs="Arial"/>
        </w:rPr>
        <w:t>. Belo Horizonte: Atena Editora, 2022.</w:t>
      </w:r>
    </w:p>
    <w:p w14:paraId="2756C484" w14:textId="77777777" w:rsidR="00C2114E" w:rsidRPr="00C2114E" w:rsidRDefault="00C2114E" w:rsidP="00C2114E">
      <w:pPr>
        <w:pStyle w:val="NormalWeb"/>
        <w:spacing w:before="0" w:beforeAutospacing="0" w:after="0" w:afterAutospacing="0"/>
        <w:rPr>
          <w:rFonts w:ascii="Arial" w:hAnsi="Arial" w:cs="Arial"/>
        </w:rPr>
      </w:pPr>
    </w:p>
    <w:p w14:paraId="46BDC72E"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ORGANIZAÇÃO MUNDIAL DA SAÚDE (OMS). </w:t>
      </w:r>
      <w:r w:rsidRPr="00C2114E">
        <w:rPr>
          <w:rStyle w:val="Forte"/>
          <w:rFonts w:ascii="Arial" w:eastAsia="Arial" w:hAnsi="Arial" w:cs="Arial"/>
        </w:rPr>
        <w:t>The role of the pharmacist in self-medication and self-care</w:t>
      </w:r>
      <w:r w:rsidRPr="00C2114E">
        <w:rPr>
          <w:rFonts w:ascii="Arial" w:hAnsi="Arial" w:cs="Arial"/>
        </w:rPr>
        <w:t>. Geneva: World Health Organization, 1998.</w:t>
      </w:r>
    </w:p>
    <w:p w14:paraId="798F17A2" w14:textId="77777777" w:rsidR="00C2114E" w:rsidRPr="00C2114E" w:rsidRDefault="00C2114E" w:rsidP="00C2114E">
      <w:pPr>
        <w:pStyle w:val="NormalWeb"/>
        <w:spacing w:before="0" w:beforeAutospacing="0" w:after="0" w:afterAutospacing="0"/>
        <w:rPr>
          <w:rFonts w:ascii="Arial" w:hAnsi="Arial" w:cs="Arial"/>
        </w:rPr>
      </w:pPr>
    </w:p>
    <w:p w14:paraId="018A9F96"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ORGANIZAÇÃO PAN-AMERICANA DA SAÚDE (OPAS). </w:t>
      </w:r>
      <w:r w:rsidRPr="00C2114E">
        <w:rPr>
          <w:rStyle w:val="Forte"/>
          <w:rFonts w:ascii="Arial" w:eastAsia="Arial" w:hAnsi="Arial" w:cs="Arial"/>
        </w:rPr>
        <w:t>Uso racional de medicamentos: temas selecionados</w:t>
      </w:r>
      <w:r w:rsidRPr="00C2114E">
        <w:rPr>
          <w:rFonts w:ascii="Arial" w:hAnsi="Arial" w:cs="Arial"/>
        </w:rPr>
        <w:t>. Brasília: OPAS, 2014.</w:t>
      </w:r>
    </w:p>
    <w:p w14:paraId="3E18E907" w14:textId="77777777" w:rsidR="00C2114E" w:rsidRPr="00C2114E" w:rsidRDefault="00C2114E" w:rsidP="00C2114E">
      <w:pPr>
        <w:pStyle w:val="NormalWeb"/>
        <w:spacing w:before="0" w:beforeAutospacing="0" w:after="0" w:afterAutospacing="0"/>
        <w:rPr>
          <w:rFonts w:ascii="Arial" w:hAnsi="Arial" w:cs="Arial"/>
        </w:rPr>
      </w:pPr>
    </w:p>
    <w:p w14:paraId="5CB07979"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REIS, F. </w:t>
      </w:r>
      <w:r w:rsidRPr="00C2114E">
        <w:rPr>
          <w:rStyle w:val="Forte"/>
          <w:rFonts w:ascii="Arial" w:eastAsia="Arial" w:hAnsi="Arial" w:cs="Arial"/>
        </w:rPr>
        <w:t>Vendas de medicamentos para doenças respiratórias já registra aumento de 43% nas vendas</w:t>
      </w:r>
      <w:r w:rsidRPr="00C2114E">
        <w:rPr>
          <w:rFonts w:ascii="Arial" w:hAnsi="Arial" w:cs="Arial"/>
        </w:rPr>
        <w:t xml:space="preserve">. </w:t>
      </w:r>
      <w:r w:rsidRPr="00C2114E">
        <w:rPr>
          <w:rStyle w:val="nfase"/>
          <w:rFonts w:ascii="Arial" w:eastAsia="Arial" w:hAnsi="Arial" w:cs="Arial"/>
        </w:rPr>
        <w:t>PFarma</w:t>
      </w:r>
      <w:r w:rsidRPr="00C2114E">
        <w:rPr>
          <w:rFonts w:ascii="Arial" w:hAnsi="Arial" w:cs="Arial"/>
        </w:rPr>
        <w:t>, 13 maio 2024.</w:t>
      </w:r>
    </w:p>
    <w:p w14:paraId="79310AA5" w14:textId="77777777" w:rsidR="00C2114E" w:rsidRPr="00C2114E" w:rsidRDefault="00C2114E" w:rsidP="00C2114E">
      <w:pPr>
        <w:pStyle w:val="NormalWeb"/>
        <w:spacing w:before="0" w:beforeAutospacing="0" w:after="0" w:afterAutospacing="0"/>
        <w:rPr>
          <w:rFonts w:ascii="Arial" w:hAnsi="Arial" w:cs="Arial"/>
        </w:rPr>
      </w:pPr>
    </w:p>
    <w:p w14:paraId="69724729"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REVISTA DA FARMÁCIA. </w:t>
      </w:r>
      <w:r w:rsidRPr="00C2114E">
        <w:rPr>
          <w:rStyle w:val="Forte"/>
          <w:rFonts w:ascii="Arial" w:eastAsia="Arial" w:hAnsi="Arial" w:cs="Arial"/>
        </w:rPr>
        <w:t>Estado do Rio decreta lei sobre descongestionante nasal</w:t>
      </w:r>
      <w:r w:rsidRPr="00C2114E">
        <w:rPr>
          <w:rFonts w:ascii="Arial" w:hAnsi="Arial" w:cs="Arial"/>
        </w:rPr>
        <w:t>. 2023.</w:t>
      </w:r>
    </w:p>
    <w:p w14:paraId="6020ED66" w14:textId="77777777" w:rsidR="00C2114E" w:rsidRPr="00C2114E" w:rsidRDefault="00C2114E" w:rsidP="00C2114E">
      <w:pPr>
        <w:pStyle w:val="NormalWeb"/>
        <w:spacing w:before="0" w:beforeAutospacing="0" w:after="0" w:afterAutospacing="0"/>
        <w:rPr>
          <w:rFonts w:ascii="Arial" w:hAnsi="Arial" w:cs="Arial"/>
        </w:rPr>
      </w:pPr>
    </w:p>
    <w:p w14:paraId="6A404568"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REVISTA UNIPACTO. </w:t>
      </w:r>
      <w:r w:rsidRPr="00C2114E">
        <w:rPr>
          <w:rStyle w:val="Forte"/>
          <w:rFonts w:ascii="Arial" w:eastAsia="Arial" w:hAnsi="Arial" w:cs="Arial"/>
        </w:rPr>
        <w:t>Uso indiscriminado de descongestionantes nasais</w:t>
      </w:r>
      <w:r w:rsidRPr="00C2114E">
        <w:rPr>
          <w:rFonts w:ascii="Arial" w:hAnsi="Arial" w:cs="Arial"/>
        </w:rPr>
        <w:t xml:space="preserve">. </w:t>
      </w:r>
      <w:r w:rsidRPr="00C2114E">
        <w:rPr>
          <w:rStyle w:val="nfase"/>
          <w:rFonts w:ascii="Arial" w:eastAsia="Arial" w:hAnsi="Arial" w:cs="Arial"/>
        </w:rPr>
        <w:t>Revista Científica Multidisciplinar Núcleo do Conhecimento</w:t>
      </w:r>
      <w:r w:rsidRPr="00C2114E">
        <w:rPr>
          <w:rFonts w:ascii="Arial" w:hAnsi="Arial" w:cs="Arial"/>
        </w:rPr>
        <w:t>, 2023.</w:t>
      </w:r>
    </w:p>
    <w:p w14:paraId="3EB3A170" w14:textId="77777777" w:rsidR="00C2114E" w:rsidRPr="00C2114E" w:rsidRDefault="00C2114E" w:rsidP="00C2114E">
      <w:pPr>
        <w:pStyle w:val="NormalWeb"/>
        <w:spacing w:before="0" w:beforeAutospacing="0" w:after="0" w:afterAutospacing="0"/>
        <w:rPr>
          <w:rFonts w:ascii="Arial" w:hAnsi="Arial" w:cs="Arial"/>
        </w:rPr>
      </w:pPr>
    </w:p>
    <w:p w14:paraId="0C452CCB"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RUSSO, E. et al. </w:t>
      </w:r>
      <w:r w:rsidRPr="00C2114E">
        <w:rPr>
          <w:rStyle w:val="Forte"/>
          <w:rFonts w:ascii="Arial" w:eastAsia="Arial" w:hAnsi="Arial" w:cs="Arial"/>
        </w:rPr>
        <w:t>Use, abuse, and misuse of nasal medications: real-life community pharmacy-based study</w:t>
      </w:r>
      <w:r w:rsidRPr="00C2114E">
        <w:rPr>
          <w:rFonts w:ascii="Arial" w:hAnsi="Arial" w:cs="Arial"/>
        </w:rPr>
        <w:t xml:space="preserve">. </w:t>
      </w:r>
      <w:r w:rsidRPr="00C2114E">
        <w:rPr>
          <w:rStyle w:val="nfase"/>
          <w:rFonts w:ascii="Arial" w:eastAsia="Arial" w:hAnsi="Arial" w:cs="Arial"/>
        </w:rPr>
        <w:t>Journal of Clinical Medicine</w:t>
      </w:r>
      <w:r w:rsidRPr="00C2114E">
        <w:rPr>
          <w:rFonts w:ascii="Arial" w:hAnsi="Arial" w:cs="Arial"/>
        </w:rPr>
        <w:t>, 2023.</w:t>
      </w:r>
    </w:p>
    <w:p w14:paraId="54D418D3" w14:textId="77777777" w:rsidR="00C2114E" w:rsidRPr="00C2114E" w:rsidRDefault="00C2114E" w:rsidP="00C2114E">
      <w:pPr>
        <w:pStyle w:val="NormalWeb"/>
        <w:spacing w:before="0" w:beforeAutospacing="0" w:after="0" w:afterAutospacing="0"/>
        <w:rPr>
          <w:rFonts w:ascii="Arial" w:hAnsi="Arial" w:cs="Arial"/>
        </w:rPr>
      </w:pPr>
    </w:p>
    <w:p w14:paraId="67C92F84"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SILVA, A. P.; RIBEIRO, M. L. </w:t>
      </w:r>
      <w:r w:rsidRPr="00C2114E">
        <w:rPr>
          <w:rStyle w:val="Forte"/>
          <w:rFonts w:ascii="Arial" w:eastAsia="Arial" w:hAnsi="Arial" w:cs="Arial"/>
        </w:rPr>
        <w:t>A atuação do farmacêutico frente ao uso indiscriminado de medicamentos nas farmácias comunitárias</w:t>
      </w:r>
      <w:r w:rsidRPr="00C2114E">
        <w:rPr>
          <w:rFonts w:ascii="Arial" w:hAnsi="Arial" w:cs="Arial"/>
        </w:rPr>
        <w:t xml:space="preserve">. </w:t>
      </w:r>
      <w:r w:rsidRPr="00C2114E">
        <w:rPr>
          <w:rStyle w:val="nfase"/>
          <w:rFonts w:ascii="Arial" w:eastAsia="Arial" w:hAnsi="Arial" w:cs="Arial"/>
        </w:rPr>
        <w:t>Revista Brasileira de Farmácia Comunitária</w:t>
      </w:r>
      <w:r w:rsidRPr="00C2114E">
        <w:rPr>
          <w:rFonts w:ascii="Arial" w:hAnsi="Arial" w:cs="Arial"/>
        </w:rPr>
        <w:t>, 2021.</w:t>
      </w:r>
    </w:p>
    <w:p w14:paraId="2C30C521" w14:textId="77777777" w:rsidR="00C2114E" w:rsidRPr="00C2114E" w:rsidRDefault="00C2114E" w:rsidP="00C2114E">
      <w:pPr>
        <w:pStyle w:val="NormalWeb"/>
        <w:spacing w:before="0" w:beforeAutospacing="0" w:after="0" w:afterAutospacing="0"/>
        <w:rPr>
          <w:rFonts w:ascii="Arial" w:hAnsi="Arial" w:cs="Arial"/>
        </w:rPr>
      </w:pPr>
    </w:p>
    <w:p w14:paraId="66074539"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lastRenderedPageBreak/>
        <w:t xml:space="preserve">SILVA, L. A. C. et al. </w:t>
      </w:r>
      <w:r w:rsidRPr="00C2114E">
        <w:rPr>
          <w:rStyle w:val="Forte"/>
          <w:rFonts w:ascii="Arial" w:eastAsia="Arial" w:hAnsi="Arial" w:cs="Arial"/>
        </w:rPr>
        <w:t>Assessing risks and adverse effects of naphazoline hydrochloride: a literature review (2013–2023)</w:t>
      </w:r>
      <w:r w:rsidRPr="00C2114E">
        <w:rPr>
          <w:rFonts w:ascii="Arial" w:hAnsi="Arial" w:cs="Arial"/>
        </w:rPr>
        <w:t xml:space="preserve">. </w:t>
      </w:r>
      <w:r w:rsidRPr="00C2114E">
        <w:rPr>
          <w:rStyle w:val="nfase"/>
          <w:rFonts w:ascii="Arial" w:eastAsia="Arial" w:hAnsi="Arial" w:cs="Arial"/>
        </w:rPr>
        <w:t>Scientific Electronic Archives</w:t>
      </w:r>
      <w:r w:rsidRPr="00C2114E">
        <w:rPr>
          <w:rFonts w:ascii="Arial" w:hAnsi="Arial" w:cs="Arial"/>
        </w:rPr>
        <w:t>, v. 17, n. 2, p. 1–12, 2024. DOI: 10.36560/17220241896.</w:t>
      </w:r>
    </w:p>
    <w:p w14:paraId="3FF78B6D" w14:textId="77777777" w:rsidR="00C2114E" w:rsidRPr="00C2114E" w:rsidRDefault="00C2114E" w:rsidP="00C2114E">
      <w:pPr>
        <w:pStyle w:val="NormalWeb"/>
        <w:spacing w:before="0" w:beforeAutospacing="0" w:after="0" w:afterAutospacing="0"/>
        <w:rPr>
          <w:rFonts w:ascii="Arial" w:hAnsi="Arial" w:cs="Arial"/>
        </w:rPr>
      </w:pPr>
    </w:p>
    <w:p w14:paraId="16ACA7C5"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SILVA, T. R.; OLIVEIRA, F. M. </w:t>
      </w:r>
      <w:r w:rsidRPr="00C2114E">
        <w:rPr>
          <w:rStyle w:val="Forte"/>
          <w:rFonts w:ascii="Arial" w:eastAsia="Arial" w:hAnsi="Arial" w:cs="Arial"/>
        </w:rPr>
        <w:t>A importância da orientação farmacêutica no uso racional de medicamentos</w:t>
      </w:r>
      <w:r w:rsidRPr="00C2114E">
        <w:rPr>
          <w:rFonts w:ascii="Arial" w:hAnsi="Arial" w:cs="Arial"/>
        </w:rPr>
        <w:t xml:space="preserve">. </w:t>
      </w:r>
      <w:r w:rsidRPr="00C2114E">
        <w:rPr>
          <w:rStyle w:val="nfase"/>
          <w:rFonts w:ascii="Arial" w:eastAsia="Arial" w:hAnsi="Arial" w:cs="Arial"/>
        </w:rPr>
        <w:t>Revista de Atenção à Saúde</w:t>
      </w:r>
      <w:r w:rsidRPr="00C2114E">
        <w:rPr>
          <w:rFonts w:ascii="Arial" w:hAnsi="Arial" w:cs="Arial"/>
        </w:rPr>
        <w:t>, v. 19, n. 68, p. 1–10, 2021.</w:t>
      </w:r>
    </w:p>
    <w:p w14:paraId="78ACFBDE" w14:textId="77777777" w:rsidR="00C2114E" w:rsidRPr="00C2114E" w:rsidRDefault="00C2114E" w:rsidP="00C2114E">
      <w:pPr>
        <w:pStyle w:val="NormalWeb"/>
        <w:spacing w:before="0" w:beforeAutospacing="0" w:after="0" w:afterAutospacing="0"/>
        <w:rPr>
          <w:rFonts w:ascii="Arial" w:hAnsi="Arial" w:cs="Arial"/>
        </w:rPr>
      </w:pPr>
    </w:p>
    <w:p w14:paraId="1F47628B"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SOUSA, A. C. L. et al. </w:t>
      </w:r>
      <w:r w:rsidRPr="00C2114E">
        <w:rPr>
          <w:rStyle w:val="Forte"/>
          <w:rFonts w:ascii="Arial" w:eastAsia="Arial" w:hAnsi="Arial" w:cs="Arial"/>
        </w:rPr>
        <w:t>Perfil do uso de descongestionantes nasais tópicos entre estudantes de Medicina da PUC Goiás</w:t>
      </w:r>
      <w:r w:rsidRPr="00C2114E">
        <w:rPr>
          <w:rFonts w:ascii="Arial" w:hAnsi="Arial" w:cs="Arial"/>
        </w:rPr>
        <w:t>. 2021. Trabalho de Conclusão de Curso (Graduação em Medicina) – Pontifícia Universidade Católica de Goiás, Goiânia, 2021.</w:t>
      </w:r>
    </w:p>
    <w:p w14:paraId="109C41BF" w14:textId="77777777" w:rsidR="00C2114E" w:rsidRPr="00C2114E" w:rsidRDefault="00C2114E" w:rsidP="00C2114E">
      <w:pPr>
        <w:pStyle w:val="NormalWeb"/>
        <w:spacing w:before="0" w:beforeAutospacing="0" w:after="0" w:afterAutospacing="0"/>
        <w:rPr>
          <w:rFonts w:ascii="Arial" w:hAnsi="Arial" w:cs="Arial"/>
        </w:rPr>
      </w:pPr>
    </w:p>
    <w:p w14:paraId="5592E84B" w14:textId="77777777" w:rsidR="00C2114E" w:rsidRDefault="00C2114E" w:rsidP="00C2114E">
      <w:pPr>
        <w:pStyle w:val="NormalWeb"/>
        <w:spacing w:before="0" w:beforeAutospacing="0" w:after="0" w:afterAutospacing="0"/>
        <w:rPr>
          <w:rFonts w:ascii="Arial" w:hAnsi="Arial" w:cs="Arial"/>
        </w:rPr>
      </w:pPr>
      <w:r w:rsidRPr="00C2114E">
        <w:rPr>
          <w:rFonts w:ascii="Arial" w:hAnsi="Arial" w:cs="Arial"/>
        </w:rPr>
        <w:t xml:space="preserve">VERIFIED MARKET REPORTS. </w:t>
      </w:r>
      <w:r w:rsidRPr="00C2114E">
        <w:rPr>
          <w:rStyle w:val="Forte"/>
          <w:rFonts w:ascii="Arial" w:eastAsia="Arial" w:hAnsi="Arial" w:cs="Arial"/>
        </w:rPr>
        <w:t>Decongestant spray market – size, outlook and forecast 2025</w:t>
      </w:r>
      <w:r w:rsidRPr="00C2114E">
        <w:rPr>
          <w:rFonts w:ascii="Arial" w:hAnsi="Arial" w:cs="Arial"/>
        </w:rPr>
        <w:t xml:space="preserve">. 2023. Disponível em: </w:t>
      </w:r>
      <w:r w:rsidRPr="00C2114E">
        <w:rPr>
          <w:rFonts w:ascii="Arial" w:eastAsia="Arial" w:hAnsi="Arial" w:cs="Arial"/>
        </w:rPr>
        <w:t>https://www.verifiedmarketreports.com/pt/product/decongestant-spray-market/</w:t>
      </w:r>
      <w:r w:rsidRPr="00C2114E">
        <w:rPr>
          <w:rFonts w:ascii="Arial" w:hAnsi="Arial" w:cs="Arial"/>
        </w:rPr>
        <w:t>. Acesso em: 2 out. 2025.</w:t>
      </w:r>
    </w:p>
    <w:p w14:paraId="7FE67004" w14:textId="77777777" w:rsidR="00C2114E" w:rsidRPr="00C2114E" w:rsidRDefault="00C2114E" w:rsidP="00C2114E">
      <w:pPr>
        <w:pStyle w:val="NormalWeb"/>
        <w:spacing w:before="0" w:beforeAutospacing="0" w:after="0" w:afterAutospacing="0"/>
        <w:rPr>
          <w:rFonts w:ascii="Arial" w:hAnsi="Arial" w:cs="Arial"/>
        </w:rPr>
      </w:pPr>
    </w:p>
    <w:p w14:paraId="46644370" w14:textId="77777777" w:rsidR="00C2114E" w:rsidRPr="00C2114E" w:rsidRDefault="00C2114E" w:rsidP="00C2114E">
      <w:pPr>
        <w:pStyle w:val="NormalWeb"/>
        <w:spacing w:before="0" w:beforeAutospacing="0" w:after="0" w:afterAutospacing="0"/>
        <w:rPr>
          <w:rFonts w:ascii="Arial" w:eastAsia="Arial" w:hAnsi="Arial" w:cs="Arial"/>
          <w:b/>
          <w:bCs/>
        </w:rPr>
      </w:pPr>
      <w:r w:rsidRPr="00C2114E">
        <w:rPr>
          <w:rFonts w:ascii="Arial" w:hAnsi="Arial" w:cs="Arial"/>
        </w:rPr>
        <w:t xml:space="preserve">ZAVALA, J. A. A. et al. </w:t>
      </w:r>
      <w:r w:rsidRPr="00C2114E">
        <w:rPr>
          <w:rStyle w:val="Forte"/>
          <w:rFonts w:ascii="Arial" w:eastAsia="Arial" w:hAnsi="Arial" w:cs="Arial"/>
        </w:rPr>
        <w:t>Hemorrhagic stroke after naphazoline exposure: case report</w:t>
      </w:r>
      <w:r w:rsidRPr="00C2114E">
        <w:rPr>
          <w:rFonts w:ascii="Arial" w:hAnsi="Arial" w:cs="Arial"/>
        </w:rPr>
        <w:t xml:space="preserve">. </w:t>
      </w:r>
      <w:r w:rsidRPr="00C2114E">
        <w:rPr>
          <w:rStyle w:val="nfase"/>
          <w:rFonts w:ascii="Arial" w:eastAsia="Arial" w:hAnsi="Arial" w:cs="Arial"/>
        </w:rPr>
        <w:t>Arquivos de Neuro-Psiquiatria</w:t>
      </w:r>
      <w:r w:rsidRPr="00C2114E">
        <w:rPr>
          <w:rFonts w:ascii="Arial" w:hAnsi="Arial" w:cs="Arial"/>
        </w:rPr>
        <w:t>, v. 62, n. 3B, p. 889–891, 2004. DOI: 10.1590/S0004-282X2004000500030.</w:t>
      </w:r>
    </w:p>
    <w:p w14:paraId="0F7BEE71" w14:textId="77777777" w:rsidR="001128CC" w:rsidRPr="0072627E" w:rsidRDefault="001128CC"/>
    <w:p w14:paraId="207714DB" w14:textId="77777777" w:rsidR="001128CC" w:rsidRPr="0072627E" w:rsidRDefault="001128CC"/>
    <w:p w14:paraId="1367EB0E" w14:textId="77777777" w:rsidR="001128CC" w:rsidRPr="0072627E" w:rsidRDefault="001128CC"/>
    <w:p w14:paraId="14B1353B" w14:textId="77777777" w:rsidR="001128CC" w:rsidRPr="0072627E" w:rsidRDefault="001128CC"/>
    <w:p w14:paraId="6D53D44D" w14:textId="77777777" w:rsidR="001128CC" w:rsidRPr="0072627E" w:rsidRDefault="001128CC"/>
    <w:p w14:paraId="44046CD5" w14:textId="77777777" w:rsidR="001128CC" w:rsidRPr="0072627E" w:rsidRDefault="001128CC"/>
    <w:p w14:paraId="78CFFF91" w14:textId="77777777" w:rsidR="001128CC" w:rsidRPr="0072627E" w:rsidRDefault="001128CC"/>
    <w:p w14:paraId="5E8C55DC" w14:textId="77777777" w:rsidR="001128CC" w:rsidRPr="0072627E" w:rsidRDefault="001128CC"/>
    <w:p w14:paraId="48C6C03F" w14:textId="77777777" w:rsidR="001128CC" w:rsidRDefault="001128CC" w:rsidP="007D08B9">
      <w:pPr>
        <w:ind w:left="0" w:firstLine="0"/>
      </w:pPr>
    </w:p>
    <w:p w14:paraId="0BCA1D3D" w14:textId="77777777" w:rsidR="00342F88" w:rsidRDefault="00342F88"/>
    <w:p w14:paraId="63D0534C" w14:textId="77777777" w:rsidR="00342F88" w:rsidRDefault="00342F88"/>
    <w:p w14:paraId="4A1875E8" w14:textId="77777777" w:rsidR="00342F88" w:rsidRDefault="00342F88"/>
    <w:p w14:paraId="27702351" w14:textId="77777777" w:rsidR="00342F88" w:rsidRDefault="00342F88"/>
    <w:sectPr w:rsidR="00342F88" w:rsidSect="00D272F3">
      <w:headerReference w:type="even" r:id="rId12"/>
      <w:headerReference w:type="default" r:id="rId13"/>
      <w:headerReference w:type="first" r:id="rId14"/>
      <w:pgSz w:w="11908" w:h="16836"/>
      <w:pgMar w:top="1701" w:right="1134" w:bottom="1134" w:left="1701" w:header="71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B7E3E" w14:textId="77777777" w:rsidR="0060157F" w:rsidRPr="0072627E" w:rsidRDefault="0060157F">
      <w:pPr>
        <w:spacing w:after="0" w:line="240" w:lineRule="auto"/>
      </w:pPr>
      <w:r w:rsidRPr="0072627E">
        <w:separator/>
      </w:r>
    </w:p>
  </w:endnote>
  <w:endnote w:type="continuationSeparator" w:id="0">
    <w:p w14:paraId="79FB5DF3" w14:textId="77777777" w:rsidR="0060157F" w:rsidRPr="0072627E" w:rsidRDefault="0060157F">
      <w:pPr>
        <w:spacing w:after="0" w:line="240" w:lineRule="auto"/>
      </w:pPr>
      <w:r w:rsidRPr="007262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CA86E" w14:textId="77777777" w:rsidR="0060157F" w:rsidRPr="0072627E" w:rsidRDefault="0060157F">
      <w:pPr>
        <w:spacing w:after="0" w:line="240" w:lineRule="auto"/>
      </w:pPr>
      <w:r w:rsidRPr="0072627E">
        <w:separator/>
      </w:r>
    </w:p>
  </w:footnote>
  <w:footnote w:type="continuationSeparator" w:id="0">
    <w:p w14:paraId="4243A3F5" w14:textId="77777777" w:rsidR="0060157F" w:rsidRPr="0072627E" w:rsidRDefault="0060157F">
      <w:pPr>
        <w:spacing w:after="0" w:line="240" w:lineRule="auto"/>
      </w:pPr>
      <w:r w:rsidRPr="007262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6EDD" w14:textId="77777777" w:rsidR="002A0CB0" w:rsidRPr="0072627E" w:rsidRDefault="002A0CB0">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3463F" w14:textId="77777777" w:rsidR="002A0CB0" w:rsidRPr="0072627E" w:rsidRDefault="002A0CB0">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C141B" w14:textId="77777777" w:rsidR="002A0CB0" w:rsidRPr="0072627E" w:rsidRDefault="002A0CB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7D634" w14:textId="77777777" w:rsidR="002A0CB0" w:rsidRPr="0072627E" w:rsidRDefault="00470601">
    <w:pPr>
      <w:spacing w:after="0" w:line="259" w:lineRule="auto"/>
      <w:ind w:left="0" w:right="11" w:firstLine="0"/>
      <w:jc w:val="right"/>
    </w:pPr>
    <w:r w:rsidRPr="0072627E">
      <w:fldChar w:fldCharType="begin"/>
    </w:r>
    <w:r w:rsidR="002A0CB0" w:rsidRPr="0072627E">
      <w:instrText xml:space="preserve"> PAGE   \* MERGEFORMAT </w:instrText>
    </w:r>
    <w:r w:rsidRPr="0072627E">
      <w:fldChar w:fldCharType="separate"/>
    </w:r>
    <w:r w:rsidR="002A0CB0" w:rsidRPr="0072627E">
      <w:t>5</w:t>
    </w:r>
    <w:r w:rsidRPr="0072627E">
      <w:fldChar w:fldCharType="end"/>
    </w:r>
  </w:p>
  <w:p w14:paraId="2D71498E" w14:textId="77777777" w:rsidR="002A0CB0" w:rsidRPr="0072627E" w:rsidRDefault="002A0CB0">
    <w:pPr>
      <w:spacing w:after="0" w:line="259" w:lineRule="auto"/>
      <w:ind w:left="853"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9256F" w14:textId="77777777" w:rsidR="002A0CB0" w:rsidRPr="0072627E" w:rsidRDefault="00470601">
    <w:pPr>
      <w:spacing w:after="0" w:line="259" w:lineRule="auto"/>
      <w:ind w:left="0" w:right="11" w:firstLine="0"/>
      <w:jc w:val="right"/>
    </w:pPr>
    <w:r w:rsidRPr="0072627E">
      <w:fldChar w:fldCharType="begin"/>
    </w:r>
    <w:r w:rsidR="002A0CB0" w:rsidRPr="0072627E">
      <w:instrText xml:space="preserve"> PAGE   \* MERGEFORMAT </w:instrText>
    </w:r>
    <w:r w:rsidRPr="0072627E">
      <w:fldChar w:fldCharType="separate"/>
    </w:r>
    <w:r w:rsidR="00A93301">
      <w:rPr>
        <w:noProof/>
      </w:rPr>
      <w:t>5</w:t>
    </w:r>
    <w:r w:rsidRPr="0072627E">
      <w:fldChar w:fldCharType="end"/>
    </w:r>
  </w:p>
  <w:p w14:paraId="1E7DFD33" w14:textId="77777777" w:rsidR="002A0CB0" w:rsidRPr="0072627E" w:rsidRDefault="002A0CB0">
    <w:pPr>
      <w:spacing w:after="0" w:line="259" w:lineRule="auto"/>
      <w:ind w:left="853"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E4974" w14:textId="77777777" w:rsidR="002A0CB0" w:rsidRPr="0072627E" w:rsidRDefault="00470601">
    <w:pPr>
      <w:spacing w:after="0" w:line="259" w:lineRule="auto"/>
      <w:ind w:left="0" w:right="11" w:firstLine="0"/>
      <w:jc w:val="right"/>
    </w:pPr>
    <w:r w:rsidRPr="0072627E">
      <w:fldChar w:fldCharType="begin"/>
    </w:r>
    <w:r w:rsidR="002A0CB0" w:rsidRPr="0072627E">
      <w:instrText xml:space="preserve"> PAGE   \* MERGEFORMAT </w:instrText>
    </w:r>
    <w:r w:rsidRPr="0072627E">
      <w:fldChar w:fldCharType="separate"/>
    </w:r>
    <w:r w:rsidR="002A0CB0" w:rsidRPr="0072627E">
      <w:t>5</w:t>
    </w:r>
    <w:r w:rsidRPr="0072627E">
      <w:fldChar w:fldCharType="end"/>
    </w:r>
  </w:p>
  <w:p w14:paraId="0354B8D1" w14:textId="77777777" w:rsidR="002A0CB0" w:rsidRPr="0072627E" w:rsidRDefault="002A0CB0">
    <w:pPr>
      <w:spacing w:after="0" w:line="259" w:lineRule="auto"/>
      <w:ind w:left="853"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41025"/>
    <w:multiLevelType w:val="multilevel"/>
    <w:tmpl w:val="FFFFFFFF"/>
    <w:lvl w:ilvl="0">
      <w:start w:val="1"/>
      <w:numFmt w:val="decimal"/>
      <w:pStyle w:val="Ttulo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6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decimal"/>
      <w:pStyle w:val="Ttulo3"/>
      <w:lvlText w:val="%1.%2.%3"/>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66614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CF"/>
    <w:rsid w:val="0004025A"/>
    <w:rsid w:val="00040DD3"/>
    <w:rsid w:val="000735C8"/>
    <w:rsid w:val="00074AF1"/>
    <w:rsid w:val="00085324"/>
    <w:rsid w:val="000856DE"/>
    <w:rsid w:val="000926CF"/>
    <w:rsid w:val="00095ED2"/>
    <w:rsid w:val="00096220"/>
    <w:rsid w:val="00096757"/>
    <w:rsid w:val="000A53B6"/>
    <w:rsid w:val="000C1FCB"/>
    <w:rsid w:val="000D1B1A"/>
    <w:rsid w:val="000D213A"/>
    <w:rsid w:val="000D48E6"/>
    <w:rsid w:val="000E6EB5"/>
    <w:rsid w:val="000F0295"/>
    <w:rsid w:val="000F1AC6"/>
    <w:rsid w:val="001128CC"/>
    <w:rsid w:val="00152106"/>
    <w:rsid w:val="00157415"/>
    <w:rsid w:val="0016603B"/>
    <w:rsid w:val="00170073"/>
    <w:rsid w:val="00176E5D"/>
    <w:rsid w:val="00185230"/>
    <w:rsid w:val="00196968"/>
    <w:rsid w:val="001A667D"/>
    <w:rsid w:val="001B3965"/>
    <w:rsid w:val="001C0FF2"/>
    <w:rsid w:val="001D6EBF"/>
    <w:rsid w:val="001E73A8"/>
    <w:rsid w:val="001F2207"/>
    <w:rsid w:val="00220B0B"/>
    <w:rsid w:val="002359A7"/>
    <w:rsid w:val="00240756"/>
    <w:rsid w:val="00243D13"/>
    <w:rsid w:val="0025728F"/>
    <w:rsid w:val="0025772B"/>
    <w:rsid w:val="002657DC"/>
    <w:rsid w:val="002777F1"/>
    <w:rsid w:val="002823EB"/>
    <w:rsid w:val="00286AB6"/>
    <w:rsid w:val="002A0CB0"/>
    <w:rsid w:val="002A578D"/>
    <w:rsid w:val="002C1121"/>
    <w:rsid w:val="002D2C1A"/>
    <w:rsid w:val="002D3EF0"/>
    <w:rsid w:val="003206EA"/>
    <w:rsid w:val="00330518"/>
    <w:rsid w:val="00331C2C"/>
    <w:rsid w:val="003371CD"/>
    <w:rsid w:val="00340421"/>
    <w:rsid w:val="00342F88"/>
    <w:rsid w:val="00347813"/>
    <w:rsid w:val="00361D89"/>
    <w:rsid w:val="00366B02"/>
    <w:rsid w:val="00374D5D"/>
    <w:rsid w:val="003D70BE"/>
    <w:rsid w:val="003D7826"/>
    <w:rsid w:val="00410D80"/>
    <w:rsid w:val="004254B4"/>
    <w:rsid w:val="00425B7C"/>
    <w:rsid w:val="004300D5"/>
    <w:rsid w:val="004363DD"/>
    <w:rsid w:val="00450CB7"/>
    <w:rsid w:val="0046553A"/>
    <w:rsid w:val="00470601"/>
    <w:rsid w:val="0047781C"/>
    <w:rsid w:val="00480AB1"/>
    <w:rsid w:val="00496EDD"/>
    <w:rsid w:val="0049748E"/>
    <w:rsid w:val="004A6EAD"/>
    <w:rsid w:val="004B4ECB"/>
    <w:rsid w:val="004D6D02"/>
    <w:rsid w:val="004E1414"/>
    <w:rsid w:val="004F5D51"/>
    <w:rsid w:val="005201CF"/>
    <w:rsid w:val="00527F4F"/>
    <w:rsid w:val="00531199"/>
    <w:rsid w:val="00554B22"/>
    <w:rsid w:val="0056622A"/>
    <w:rsid w:val="00596CC9"/>
    <w:rsid w:val="005B1280"/>
    <w:rsid w:val="005C4327"/>
    <w:rsid w:val="005C551F"/>
    <w:rsid w:val="005D6618"/>
    <w:rsid w:val="0060157F"/>
    <w:rsid w:val="00602DCE"/>
    <w:rsid w:val="0061125B"/>
    <w:rsid w:val="00624E22"/>
    <w:rsid w:val="00634835"/>
    <w:rsid w:val="006428B1"/>
    <w:rsid w:val="006432D9"/>
    <w:rsid w:val="00664FE6"/>
    <w:rsid w:val="006A2C9E"/>
    <w:rsid w:val="006A60B4"/>
    <w:rsid w:val="006B0F06"/>
    <w:rsid w:val="006B4F37"/>
    <w:rsid w:val="006B711A"/>
    <w:rsid w:val="006C1ACE"/>
    <w:rsid w:val="006C296A"/>
    <w:rsid w:val="006D249C"/>
    <w:rsid w:val="006E5BFE"/>
    <w:rsid w:val="0070209F"/>
    <w:rsid w:val="00705DB1"/>
    <w:rsid w:val="00717EB3"/>
    <w:rsid w:val="007250CF"/>
    <w:rsid w:val="0072627E"/>
    <w:rsid w:val="007438AC"/>
    <w:rsid w:val="00751EA3"/>
    <w:rsid w:val="00756072"/>
    <w:rsid w:val="007634A7"/>
    <w:rsid w:val="007851C1"/>
    <w:rsid w:val="007A3C60"/>
    <w:rsid w:val="007A55BE"/>
    <w:rsid w:val="007C6008"/>
    <w:rsid w:val="007C6039"/>
    <w:rsid w:val="007D08B9"/>
    <w:rsid w:val="007D6F05"/>
    <w:rsid w:val="00814692"/>
    <w:rsid w:val="00875072"/>
    <w:rsid w:val="0087778B"/>
    <w:rsid w:val="00883E87"/>
    <w:rsid w:val="008A3D67"/>
    <w:rsid w:val="008B2384"/>
    <w:rsid w:val="008D7331"/>
    <w:rsid w:val="00906907"/>
    <w:rsid w:val="009526D9"/>
    <w:rsid w:val="009819C7"/>
    <w:rsid w:val="00987EE7"/>
    <w:rsid w:val="009935DA"/>
    <w:rsid w:val="00995881"/>
    <w:rsid w:val="0099597B"/>
    <w:rsid w:val="009962A6"/>
    <w:rsid w:val="00996E02"/>
    <w:rsid w:val="009A75B6"/>
    <w:rsid w:val="009B55A3"/>
    <w:rsid w:val="009B703A"/>
    <w:rsid w:val="009C65D1"/>
    <w:rsid w:val="009D2249"/>
    <w:rsid w:val="009F1B40"/>
    <w:rsid w:val="00A13D6F"/>
    <w:rsid w:val="00A46ECA"/>
    <w:rsid w:val="00A53D3D"/>
    <w:rsid w:val="00A93301"/>
    <w:rsid w:val="00AD6F41"/>
    <w:rsid w:val="00AE5E28"/>
    <w:rsid w:val="00AF35A9"/>
    <w:rsid w:val="00B006EA"/>
    <w:rsid w:val="00B506CA"/>
    <w:rsid w:val="00B74DF8"/>
    <w:rsid w:val="00B90330"/>
    <w:rsid w:val="00BB501F"/>
    <w:rsid w:val="00BD4DCF"/>
    <w:rsid w:val="00BD60A5"/>
    <w:rsid w:val="00BE2C8E"/>
    <w:rsid w:val="00BE7A68"/>
    <w:rsid w:val="00BF0C4B"/>
    <w:rsid w:val="00C021FE"/>
    <w:rsid w:val="00C2114E"/>
    <w:rsid w:val="00C37E6D"/>
    <w:rsid w:val="00C53DCC"/>
    <w:rsid w:val="00C93A53"/>
    <w:rsid w:val="00CA086D"/>
    <w:rsid w:val="00CC009D"/>
    <w:rsid w:val="00CC364E"/>
    <w:rsid w:val="00CE3A51"/>
    <w:rsid w:val="00D15AB2"/>
    <w:rsid w:val="00D272F3"/>
    <w:rsid w:val="00D31FD3"/>
    <w:rsid w:val="00D42E3A"/>
    <w:rsid w:val="00D45C52"/>
    <w:rsid w:val="00D77B60"/>
    <w:rsid w:val="00D80E53"/>
    <w:rsid w:val="00D9079C"/>
    <w:rsid w:val="00DA1D04"/>
    <w:rsid w:val="00DA7BCD"/>
    <w:rsid w:val="00DC7C18"/>
    <w:rsid w:val="00DE2205"/>
    <w:rsid w:val="00DE65D0"/>
    <w:rsid w:val="00DE6CCB"/>
    <w:rsid w:val="00DF1AC6"/>
    <w:rsid w:val="00E07D25"/>
    <w:rsid w:val="00E17AC7"/>
    <w:rsid w:val="00E21A44"/>
    <w:rsid w:val="00E263C8"/>
    <w:rsid w:val="00E62354"/>
    <w:rsid w:val="00E64102"/>
    <w:rsid w:val="00E8481A"/>
    <w:rsid w:val="00E97A03"/>
    <w:rsid w:val="00EB02E0"/>
    <w:rsid w:val="00EB65EC"/>
    <w:rsid w:val="00ED76EB"/>
    <w:rsid w:val="00EF1FFB"/>
    <w:rsid w:val="00F22B58"/>
    <w:rsid w:val="00F362EF"/>
    <w:rsid w:val="00F565A0"/>
    <w:rsid w:val="00F60D9D"/>
    <w:rsid w:val="00F75A86"/>
    <w:rsid w:val="00F94EA1"/>
    <w:rsid w:val="00FB19FB"/>
    <w:rsid w:val="00FC4192"/>
    <w:rsid w:val="00FE607E"/>
    <w:rsid w:val="00FF784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B2E2C"/>
  <w15:docId w15:val="{8C020878-A1C3-6944-9379-E2C2FFE81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601"/>
    <w:pPr>
      <w:spacing w:after="4" w:line="268" w:lineRule="auto"/>
      <w:ind w:left="10" w:right="2" w:hanging="10"/>
      <w:jc w:val="both"/>
    </w:pPr>
    <w:rPr>
      <w:rFonts w:ascii="Arial" w:eastAsia="Arial" w:hAnsi="Arial" w:cs="Times New Roman"/>
      <w:color w:val="000000"/>
    </w:rPr>
  </w:style>
  <w:style w:type="paragraph" w:styleId="Ttulo1">
    <w:name w:val="heading 1"/>
    <w:next w:val="Normal"/>
    <w:link w:val="Ttulo1Char"/>
    <w:uiPriority w:val="9"/>
    <w:qFormat/>
    <w:rsid w:val="00470601"/>
    <w:pPr>
      <w:keepNext/>
      <w:keepLines/>
      <w:numPr>
        <w:numId w:val="1"/>
      </w:numPr>
      <w:spacing w:after="122" w:line="254" w:lineRule="auto"/>
      <w:ind w:left="10" w:right="1" w:hanging="10"/>
      <w:outlineLvl w:val="0"/>
    </w:pPr>
    <w:rPr>
      <w:rFonts w:ascii="Arial" w:eastAsia="Arial" w:hAnsi="Arial" w:cs="Arial"/>
      <w:b/>
      <w:color w:val="000000"/>
    </w:rPr>
  </w:style>
  <w:style w:type="paragraph" w:styleId="Ttulo2">
    <w:name w:val="heading 2"/>
    <w:basedOn w:val="Normal"/>
    <w:next w:val="Normal"/>
    <w:link w:val="Ttulo2Char"/>
    <w:uiPriority w:val="9"/>
    <w:unhideWhenUsed/>
    <w:qFormat/>
    <w:rsid w:val="00DA7BCD"/>
    <w:pPr>
      <w:spacing w:line="360" w:lineRule="auto"/>
      <w:ind w:left="11" w:right="0" w:firstLine="0"/>
      <w:outlineLvl w:val="1"/>
    </w:pPr>
  </w:style>
  <w:style w:type="paragraph" w:styleId="Ttulo3">
    <w:name w:val="heading 3"/>
    <w:next w:val="Normal"/>
    <w:link w:val="Ttulo3Char"/>
    <w:uiPriority w:val="9"/>
    <w:unhideWhenUsed/>
    <w:qFormat/>
    <w:rsid w:val="00470601"/>
    <w:pPr>
      <w:keepNext/>
      <w:keepLines/>
      <w:numPr>
        <w:ilvl w:val="2"/>
        <w:numId w:val="1"/>
      </w:numPr>
      <w:spacing w:after="4" w:line="268" w:lineRule="auto"/>
      <w:ind w:left="10" w:right="2" w:hanging="10"/>
      <w:jc w:val="both"/>
      <w:outlineLvl w:val="2"/>
    </w:pPr>
    <w:rPr>
      <w:rFonts w:ascii="Arial" w:eastAsia="Arial" w:hAnsi="Arial" w:cs="Arial"/>
      <w:color w:val="000000"/>
    </w:rPr>
  </w:style>
  <w:style w:type="paragraph" w:styleId="Ttulo4">
    <w:name w:val="heading 4"/>
    <w:next w:val="Normal"/>
    <w:link w:val="Ttulo4Char"/>
    <w:uiPriority w:val="9"/>
    <w:unhideWhenUsed/>
    <w:qFormat/>
    <w:rsid w:val="00470601"/>
    <w:pPr>
      <w:keepNext/>
      <w:keepLines/>
      <w:spacing w:after="156" w:line="259" w:lineRule="auto"/>
      <w:ind w:left="10" w:right="1" w:hanging="10"/>
      <w:jc w:val="center"/>
      <w:outlineLvl w:val="3"/>
    </w:pPr>
    <w:rPr>
      <w:rFonts w:ascii="Arial" w:eastAsia="Arial" w:hAnsi="Arial" w:cs="Arial"/>
      <w:b/>
      <w:color w:val="000000"/>
    </w:rPr>
  </w:style>
  <w:style w:type="paragraph" w:styleId="Ttulo5">
    <w:name w:val="heading 5"/>
    <w:next w:val="Normal"/>
    <w:link w:val="Ttulo5Char"/>
    <w:uiPriority w:val="9"/>
    <w:unhideWhenUsed/>
    <w:qFormat/>
    <w:rsid w:val="00470601"/>
    <w:pPr>
      <w:keepNext/>
      <w:keepLines/>
      <w:spacing w:after="122" w:line="254" w:lineRule="auto"/>
      <w:ind w:left="10" w:right="1" w:hanging="10"/>
      <w:outlineLvl w:val="4"/>
    </w:pPr>
    <w:rPr>
      <w:rFonts w:ascii="Arial" w:eastAsia="Arial" w:hAnsi="Arial" w:cs="Arial"/>
      <w:b/>
      <w:color w:val="000000"/>
    </w:rPr>
  </w:style>
  <w:style w:type="paragraph" w:styleId="Ttulo6">
    <w:name w:val="heading 6"/>
    <w:next w:val="Normal"/>
    <w:link w:val="Ttulo6Char"/>
    <w:uiPriority w:val="9"/>
    <w:semiHidden/>
    <w:unhideWhenUsed/>
    <w:qFormat/>
    <w:rsid w:val="00470601"/>
    <w:pPr>
      <w:keepNext/>
      <w:keepLines/>
      <w:spacing w:after="122" w:line="254" w:lineRule="auto"/>
      <w:ind w:left="10" w:right="1" w:hanging="10"/>
      <w:outlineLvl w:val="5"/>
    </w:pPr>
    <w:rPr>
      <w:rFonts w:ascii="Arial" w:eastAsia="Arial" w:hAnsi="Arial" w:cs="Arial"/>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5Char">
    <w:name w:val="Título 5 Char"/>
    <w:link w:val="Ttulo5"/>
    <w:rsid w:val="00470601"/>
    <w:rPr>
      <w:rFonts w:ascii="Arial" w:eastAsia="Arial" w:hAnsi="Arial" w:cs="Arial"/>
      <w:b/>
      <w:color w:val="000000"/>
      <w:sz w:val="24"/>
    </w:rPr>
  </w:style>
  <w:style w:type="character" w:customStyle="1" w:styleId="Ttulo6Char">
    <w:name w:val="Título 6 Char"/>
    <w:link w:val="Ttulo6"/>
    <w:rsid w:val="00470601"/>
    <w:rPr>
      <w:rFonts w:ascii="Arial" w:eastAsia="Arial" w:hAnsi="Arial" w:cs="Arial"/>
      <w:b/>
      <w:color w:val="000000"/>
      <w:sz w:val="24"/>
    </w:rPr>
  </w:style>
  <w:style w:type="character" w:customStyle="1" w:styleId="Ttulo1Char">
    <w:name w:val="Título 1 Char"/>
    <w:link w:val="Ttulo1"/>
    <w:rsid w:val="00470601"/>
    <w:rPr>
      <w:rFonts w:ascii="Arial" w:eastAsia="Arial" w:hAnsi="Arial" w:cs="Arial"/>
      <w:b/>
      <w:color w:val="000000"/>
      <w:sz w:val="24"/>
    </w:rPr>
  </w:style>
  <w:style w:type="character" w:customStyle="1" w:styleId="Ttulo2Char">
    <w:name w:val="Título 2 Char"/>
    <w:link w:val="Ttulo2"/>
    <w:uiPriority w:val="9"/>
    <w:rsid w:val="00DA7BCD"/>
    <w:rPr>
      <w:rFonts w:ascii="Arial" w:eastAsia="Arial" w:hAnsi="Arial" w:cs="Times New Roman"/>
      <w:color w:val="000000"/>
    </w:rPr>
  </w:style>
  <w:style w:type="character" w:customStyle="1" w:styleId="Ttulo3Char">
    <w:name w:val="Título 3 Char"/>
    <w:link w:val="Ttulo3"/>
    <w:rsid w:val="00470601"/>
    <w:rPr>
      <w:rFonts w:ascii="Arial" w:eastAsia="Arial" w:hAnsi="Arial" w:cs="Arial"/>
      <w:color w:val="000000"/>
      <w:sz w:val="24"/>
    </w:rPr>
  </w:style>
  <w:style w:type="character" w:customStyle="1" w:styleId="Ttulo4Char">
    <w:name w:val="Título 4 Char"/>
    <w:link w:val="Ttulo4"/>
    <w:rsid w:val="00470601"/>
    <w:rPr>
      <w:rFonts w:ascii="Arial" w:eastAsia="Arial" w:hAnsi="Arial" w:cs="Arial"/>
      <w:b/>
      <w:color w:val="000000"/>
      <w:sz w:val="24"/>
    </w:rPr>
  </w:style>
  <w:style w:type="paragraph" w:styleId="Sumrio1">
    <w:name w:val="toc 1"/>
    <w:hidden/>
    <w:uiPriority w:val="39"/>
    <w:rsid w:val="00470601"/>
    <w:pPr>
      <w:spacing w:after="44" w:line="338" w:lineRule="auto"/>
      <w:ind w:left="25" w:right="25" w:hanging="10"/>
    </w:pPr>
    <w:rPr>
      <w:rFonts w:ascii="Arial" w:eastAsia="Arial" w:hAnsi="Arial" w:cs="Arial"/>
      <w:b/>
      <w:color w:val="000000"/>
    </w:rPr>
  </w:style>
  <w:style w:type="paragraph" w:styleId="Sumrio2">
    <w:name w:val="toc 2"/>
    <w:hidden/>
    <w:uiPriority w:val="39"/>
    <w:rsid w:val="00470601"/>
    <w:pPr>
      <w:spacing w:after="87" w:line="268" w:lineRule="auto"/>
      <w:ind w:left="25" w:right="25" w:hanging="10"/>
    </w:pPr>
    <w:rPr>
      <w:rFonts w:ascii="Arial" w:eastAsia="Arial" w:hAnsi="Arial" w:cs="Arial"/>
      <w:b/>
      <w:color w:val="000000"/>
    </w:rPr>
  </w:style>
  <w:style w:type="paragraph" w:styleId="Sumrio3">
    <w:name w:val="toc 3"/>
    <w:hidden/>
    <w:uiPriority w:val="39"/>
    <w:rsid w:val="00470601"/>
    <w:pPr>
      <w:spacing w:after="91" w:line="268" w:lineRule="auto"/>
      <w:ind w:left="25" w:right="25" w:hanging="10"/>
      <w:jc w:val="both"/>
    </w:pPr>
    <w:rPr>
      <w:rFonts w:ascii="Arial" w:eastAsia="Arial" w:hAnsi="Arial" w:cs="Arial"/>
      <w:color w:val="000000"/>
    </w:rPr>
  </w:style>
  <w:style w:type="paragraph" w:styleId="Sumrio4">
    <w:name w:val="toc 4"/>
    <w:hidden/>
    <w:uiPriority w:val="39"/>
    <w:rsid w:val="00470601"/>
    <w:pPr>
      <w:spacing w:after="82" w:line="338" w:lineRule="auto"/>
      <w:ind w:left="25" w:right="25" w:hanging="10"/>
    </w:pPr>
    <w:rPr>
      <w:rFonts w:ascii="Arial" w:eastAsia="Arial" w:hAnsi="Arial" w:cs="Arial"/>
      <w:b/>
      <w:color w:val="000000"/>
    </w:rPr>
  </w:style>
  <w:style w:type="table" w:customStyle="1" w:styleId="TableGrid">
    <w:name w:val="TableGrid"/>
    <w:rsid w:val="00470601"/>
    <w:pPr>
      <w:spacing w:after="0" w:line="240" w:lineRule="auto"/>
    </w:pPr>
    <w:tblPr>
      <w:tblCellMar>
        <w:top w:w="0" w:type="dxa"/>
        <w:left w:w="0" w:type="dxa"/>
        <w:bottom w:w="0" w:type="dxa"/>
        <w:right w:w="0" w:type="dxa"/>
      </w:tblCellMar>
    </w:tblPr>
  </w:style>
  <w:style w:type="character" w:styleId="Hyperlink">
    <w:name w:val="Hyperlink"/>
    <w:basedOn w:val="Fontepargpadro"/>
    <w:uiPriority w:val="99"/>
    <w:unhideWhenUsed/>
    <w:rsid w:val="0070209F"/>
    <w:rPr>
      <w:color w:val="467886" w:themeColor="hyperlink"/>
      <w:u w:val="single"/>
    </w:rPr>
  </w:style>
  <w:style w:type="paragraph" w:styleId="Ttulo">
    <w:name w:val="Title"/>
    <w:basedOn w:val="Normal"/>
    <w:next w:val="Normal"/>
    <w:link w:val="TtuloChar"/>
    <w:uiPriority w:val="10"/>
    <w:qFormat/>
    <w:rsid w:val="006428B1"/>
    <w:pPr>
      <w:spacing w:after="80" w:line="240" w:lineRule="auto"/>
      <w:ind w:left="0" w:right="0" w:firstLine="851"/>
      <w:contextualSpacing/>
    </w:pPr>
    <w:rPr>
      <w:rFonts w:asciiTheme="majorHAnsi" w:eastAsiaTheme="majorEastAsia" w:hAnsiTheme="majorHAnsi" w:cstheme="majorBidi"/>
      <w:color w:val="auto"/>
      <w:spacing w:val="-10"/>
      <w:kern w:val="28"/>
      <w:sz w:val="56"/>
      <w:szCs w:val="56"/>
      <w:lang w:eastAsia="en-US"/>
    </w:rPr>
  </w:style>
  <w:style w:type="character" w:customStyle="1" w:styleId="TtuloChar">
    <w:name w:val="Título Char"/>
    <w:basedOn w:val="Fontepargpadro"/>
    <w:link w:val="Ttulo"/>
    <w:uiPriority w:val="10"/>
    <w:rsid w:val="006428B1"/>
    <w:rPr>
      <w:rFonts w:asciiTheme="majorHAnsi" w:eastAsiaTheme="majorEastAsia" w:hAnsiTheme="majorHAnsi" w:cstheme="majorBidi"/>
      <w:spacing w:val="-10"/>
      <w:kern w:val="28"/>
      <w:sz w:val="56"/>
      <w:szCs w:val="56"/>
      <w:lang w:eastAsia="en-US"/>
    </w:rPr>
  </w:style>
  <w:style w:type="paragraph" w:styleId="SemEspaamento">
    <w:name w:val="No Spacing"/>
    <w:uiPriority w:val="1"/>
    <w:qFormat/>
    <w:rsid w:val="00DE6CCB"/>
    <w:pPr>
      <w:spacing w:after="0" w:line="240" w:lineRule="auto"/>
      <w:ind w:left="10" w:right="2" w:hanging="10"/>
      <w:jc w:val="both"/>
    </w:pPr>
    <w:rPr>
      <w:rFonts w:ascii="Arial" w:eastAsia="Arial" w:hAnsi="Arial" w:cs="Times New Roman"/>
      <w:color w:val="000000"/>
    </w:rPr>
  </w:style>
  <w:style w:type="paragraph" w:styleId="Rodap">
    <w:name w:val="footer"/>
    <w:basedOn w:val="Normal"/>
    <w:link w:val="RodapChar"/>
    <w:uiPriority w:val="99"/>
    <w:unhideWhenUsed/>
    <w:rsid w:val="00196968"/>
    <w:pPr>
      <w:tabs>
        <w:tab w:val="center" w:pos="4252"/>
        <w:tab w:val="right" w:pos="8504"/>
      </w:tabs>
      <w:spacing w:after="0" w:line="240" w:lineRule="auto"/>
    </w:pPr>
  </w:style>
  <w:style w:type="character" w:customStyle="1" w:styleId="RodapChar">
    <w:name w:val="Rodapé Char"/>
    <w:basedOn w:val="Fontepargpadro"/>
    <w:link w:val="Rodap"/>
    <w:uiPriority w:val="99"/>
    <w:rsid w:val="00196968"/>
    <w:rPr>
      <w:rFonts w:ascii="Arial" w:eastAsia="Arial" w:hAnsi="Arial" w:cs="Times New Roman"/>
      <w:color w:val="000000"/>
    </w:rPr>
  </w:style>
  <w:style w:type="paragraph" w:customStyle="1" w:styleId="p1">
    <w:name w:val="p1"/>
    <w:basedOn w:val="Normal"/>
    <w:rsid w:val="003D7826"/>
    <w:pPr>
      <w:spacing w:before="100" w:beforeAutospacing="1" w:after="100" w:afterAutospacing="1" w:line="240" w:lineRule="auto"/>
      <w:ind w:left="0" w:right="0" w:firstLine="0"/>
      <w:jc w:val="left"/>
    </w:pPr>
    <w:rPr>
      <w:rFonts w:ascii="Times New Roman" w:eastAsia="Times New Roman" w:hAnsi="Times New Roman"/>
      <w:color w:val="auto"/>
      <w:kern w:val="0"/>
    </w:rPr>
  </w:style>
  <w:style w:type="character" w:customStyle="1" w:styleId="s1">
    <w:name w:val="s1"/>
    <w:basedOn w:val="Fontepargpadro"/>
    <w:rsid w:val="003D7826"/>
  </w:style>
  <w:style w:type="character" w:customStyle="1" w:styleId="s2">
    <w:name w:val="s2"/>
    <w:basedOn w:val="Fontepargpadro"/>
    <w:rsid w:val="003D7826"/>
  </w:style>
  <w:style w:type="character" w:customStyle="1" w:styleId="MenoPendente1">
    <w:name w:val="Menção Pendente1"/>
    <w:basedOn w:val="Fontepargpadro"/>
    <w:uiPriority w:val="99"/>
    <w:semiHidden/>
    <w:unhideWhenUsed/>
    <w:rsid w:val="00342F88"/>
    <w:rPr>
      <w:color w:val="605E5C"/>
      <w:shd w:val="clear" w:color="auto" w:fill="E1DFDD"/>
    </w:rPr>
  </w:style>
  <w:style w:type="paragraph" w:styleId="Textodebalo">
    <w:name w:val="Balloon Text"/>
    <w:basedOn w:val="Normal"/>
    <w:link w:val="TextodebaloChar"/>
    <w:uiPriority w:val="99"/>
    <w:semiHidden/>
    <w:unhideWhenUsed/>
    <w:rsid w:val="00243D1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3D13"/>
    <w:rPr>
      <w:rFonts w:ascii="Tahoma" w:eastAsia="Arial" w:hAnsi="Tahoma" w:cs="Tahoma"/>
      <w:color w:val="000000"/>
      <w:sz w:val="16"/>
      <w:szCs w:val="16"/>
    </w:rPr>
  </w:style>
  <w:style w:type="paragraph" w:styleId="NormalWeb">
    <w:name w:val="Normal (Web)"/>
    <w:basedOn w:val="Normal"/>
    <w:uiPriority w:val="99"/>
    <w:semiHidden/>
    <w:unhideWhenUsed/>
    <w:rsid w:val="00C2114E"/>
    <w:pPr>
      <w:spacing w:before="100" w:beforeAutospacing="1" w:after="100" w:afterAutospacing="1" w:line="240" w:lineRule="auto"/>
      <w:ind w:left="0" w:right="0" w:firstLine="0"/>
      <w:jc w:val="left"/>
    </w:pPr>
    <w:rPr>
      <w:rFonts w:ascii="Times New Roman" w:eastAsia="Times New Roman" w:hAnsi="Times New Roman"/>
      <w:color w:val="auto"/>
      <w:kern w:val="0"/>
    </w:rPr>
  </w:style>
  <w:style w:type="character" w:styleId="Forte">
    <w:name w:val="Strong"/>
    <w:basedOn w:val="Fontepargpadro"/>
    <w:uiPriority w:val="22"/>
    <w:qFormat/>
    <w:rsid w:val="00C2114E"/>
    <w:rPr>
      <w:b/>
      <w:bCs/>
    </w:rPr>
  </w:style>
  <w:style w:type="character" w:styleId="nfase">
    <w:name w:val="Emphasis"/>
    <w:basedOn w:val="Fontepargpadro"/>
    <w:uiPriority w:val="20"/>
    <w:qFormat/>
    <w:rsid w:val="00C2114E"/>
    <w:rPr>
      <w:i/>
      <w:iCs/>
    </w:rPr>
  </w:style>
  <w:style w:type="character" w:styleId="Refdecomentrio">
    <w:name w:val="annotation reference"/>
    <w:basedOn w:val="Fontepargpadro"/>
    <w:uiPriority w:val="99"/>
    <w:semiHidden/>
    <w:unhideWhenUsed/>
    <w:rsid w:val="008D7331"/>
    <w:rPr>
      <w:sz w:val="16"/>
      <w:szCs w:val="16"/>
    </w:rPr>
  </w:style>
  <w:style w:type="paragraph" w:styleId="Textodecomentrio">
    <w:name w:val="annotation text"/>
    <w:basedOn w:val="Normal"/>
    <w:link w:val="TextodecomentrioChar"/>
    <w:uiPriority w:val="99"/>
    <w:unhideWhenUsed/>
    <w:rsid w:val="008D7331"/>
    <w:pPr>
      <w:spacing w:line="240" w:lineRule="auto"/>
    </w:pPr>
    <w:rPr>
      <w:sz w:val="20"/>
      <w:szCs w:val="20"/>
    </w:rPr>
  </w:style>
  <w:style w:type="character" w:customStyle="1" w:styleId="TextodecomentrioChar">
    <w:name w:val="Texto de comentário Char"/>
    <w:basedOn w:val="Fontepargpadro"/>
    <w:link w:val="Textodecomentrio"/>
    <w:uiPriority w:val="99"/>
    <w:rsid w:val="008D7331"/>
    <w:rPr>
      <w:rFonts w:ascii="Arial" w:eastAsia="Arial" w:hAnsi="Arial" w:cs="Times New Roman"/>
      <w:color w:val="000000"/>
      <w:sz w:val="20"/>
      <w:szCs w:val="20"/>
    </w:rPr>
  </w:style>
  <w:style w:type="paragraph" w:styleId="Assuntodocomentrio">
    <w:name w:val="annotation subject"/>
    <w:basedOn w:val="Textodecomentrio"/>
    <w:next w:val="Textodecomentrio"/>
    <w:link w:val="AssuntodocomentrioChar"/>
    <w:uiPriority w:val="99"/>
    <w:semiHidden/>
    <w:unhideWhenUsed/>
    <w:rsid w:val="008D7331"/>
    <w:rPr>
      <w:b/>
      <w:bCs/>
    </w:rPr>
  </w:style>
  <w:style w:type="character" w:customStyle="1" w:styleId="AssuntodocomentrioChar">
    <w:name w:val="Assunto do comentário Char"/>
    <w:basedOn w:val="TextodecomentrioChar"/>
    <w:link w:val="Assuntodocomentrio"/>
    <w:uiPriority w:val="99"/>
    <w:semiHidden/>
    <w:rsid w:val="008D7331"/>
    <w:rPr>
      <w:rFonts w:ascii="Arial" w:eastAsia="Arial" w:hAnsi="Arial"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333124">
      <w:bodyDiv w:val="1"/>
      <w:marLeft w:val="0"/>
      <w:marRight w:val="0"/>
      <w:marTop w:val="0"/>
      <w:marBottom w:val="0"/>
      <w:divBdr>
        <w:top w:val="none" w:sz="0" w:space="0" w:color="auto"/>
        <w:left w:val="none" w:sz="0" w:space="0" w:color="auto"/>
        <w:bottom w:val="none" w:sz="0" w:space="0" w:color="auto"/>
        <w:right w:val="none" w:sz="0" w:space="0" w:color="auto"/>
      </w:divBdr>
    </w:div>
    <w:div w:id="341126077">
      <w:bodyDiv w:val="1"/>
      <w:marLeft w:val="0"/>
      <w:marRight w:val="0"/>
      <w:marTop w:val="0"/>
      <w:marBottom w:val="0"/>
      <w:divBdr>
        <w:top w:val="none" w:sz="0" w:space="0" w:color="auto"/>
        <w:left w:val="none" w:sz="0" w:space="0" w:color="auto"/>
        <w:bottom w:val="none" w:sz="0" w:space="0" w:color="auto"/>
        <w:right w:val="none" w:sz="0" w:space="0" w:color="auto"/>
      </w:divBdr>
    </w:div>
    <w:div w:id="906381326">
      <w:bodyDiv w:val="1"/>
      <w:marLeft w:val="0"/>
      <w:marRight w:val="0"/>
      <w:marTop w:val="0"/>
      <w:marBottom w:val="0"/>
      <w:divBdr>
        <w:top w:val="none" w:sz="0" w:space="0" w:color="auto"/>
        <w:left w:val="none" w:sz="0" w:space="0" w:color="auto"/>
        <w:bottom w:val="none" w:sz="0" w:space="0" w:color="auto"/>
        <w:right w:val="none" w:sz="0" w:space="0" w:color="auto"/>
      </w:divBdr>
    </w:div>
    <w:div w:id="1033575513">
      <w:bodyDiv w:val="1"/>
      <w:marLeft w:val="0"/>
      <w:marRight w:val="0"/>
      <w:marTop w:val="0"/>
      <w:marBottom w:val="0"/>
      <w:divBdr>
        <w:top w:val="none" w:sz="0" w:space="0" w:color="auto"/>
        <w:left w:val="none" w:sz="0" w:space="0" w:color="auto"/>
        <w:bottom w:val="none" w:sz="0" w:space="0" w:color="auto"/>
        <w:right w:val="none" w:sz="0" w:space="0" w:color="auto"/>
      </w:divBdr>
    </w:div>
    <w:div w:id="1755205429">
      <w:bodyDiv w:val="1"/>
      <w:marLeft w:val="0"/>
      <w:marRight w:val="0"/>
      <w:marTop w:val="0"/>
      <w:marBottom w:val="0"/>
      <w:divBdr>
        <w:top w:val="none" w:sz="0" w:space="0" w:color="auto"/>
        <w:left w:val="none" w:sz="0" w:space="0" w:color="auto"/>
        <w:bottom w:val="none" w:sz="0" w:space="0" w:color="auto"/>
        <w:right w:val="none" w:sz="0" w:space="0" w:color="auto"/>
      </w:divBdr>
    </w:div>
    <w:div w:id="1839149111">
      <w:bodyDiv w:val="1"/>
      <w:marLeft w:val="0"/>
      <w:marRight w:val="0"/>
      <w:marTop w:val="0"/>
      <w:marBottom w:val="0"/>
      <w:divBdr>
        <w:top w:val="none" w:sz="0" w:space="0" w:color="auto"/>
        <w:left w:val="none" w:sz="0" w:space="0" w:color="auto"/>
        <w:bottom w:val="none" w:sz="0" w:space="0" w:color="auto"/>
        <w:right w:val="none" w:sz="0" w:space="0" w:color="auto"/>
      </w:divBdr>
    </w:div>
    <w:div w:id="1845391122">
      <w:bodyDiv w:val="1"/>
      <w:marLeft w:val="0"/>
      <w:marRight w:val="0"/>
      <w:marTop w:val="0"/>
      <w:marBottom w:val="0"/>
      <w:divBdr>
        <w:top w:val="none" w:sz="0" w:space="0" w:color="auto"/>
        <w:left w:val="none" w:sz="0" w:space="0" w:color="auto"/>
        <w:bottom w:val="none" w:sz="0" w:space="0" w:color="auto"/>
        <w:right w:val="none" w:sz="0" w:space="0" w:color="auto"/>
      </w:divBdr>
    </w:div>
    <w:div w:id="2043551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6.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24</Pages>
  <Words>6415</Words>
  <Characters>34641</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NATHÁLIA GALVÃO VIEIRA SANTOS</dc:creator>
  <cp:lastModifiedBy>GUILHERME DE PAULA MENDES</cp:lastModifiedBy>
  <cp:revision>2</cp:revision>
  <cp:lastPrinted>2025-10-12T14:34:00Z</cp:lastPrinted>
  <dcterms:created xsi:type="dcterms:W3CDTF">2025-11-02T20:54:00Z</dcterms:created>
  <dcterms:modified xsi:type="dcterms:W3CDTF">2025-11-02T20:54:00Z</dcterms:modified>
</cp:coreProperties>
</file>