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27E35" w14:textId="77777777" w:rsidR="00EF0610" w:rsidRDefault="00EF0610" w:rsidP="00EF0610">
      <w:pPr>
        <w:tabs>
          <w:tab w:val="left" w:pos="7515"/>
        </w:tabs>
        <w:spacing w:after="120"/>
        <w:jc w:val="center"/>
        <w:rPr>
          <w:rFonts w:ascii="Arial" w:eastAsia="Arial" w:hAnsi="Arial" w:cs="Arial"/>
          <w:b/>
          <w:sz w:val="8"/>
          <w:szCs w:val="8"/>
        </w:rPr>
      </w:pPr>
      <w:r>
        <w:rPr>
          <w:rFonts w:ascii="Arial" w:eastAsia="Arial" w:hAnsi="Arial" w:cs="Arial"/>
          <w:b/>
          <w:sz w:val="28"/>
          <w:szCs w:val="28"/>
        </w:rPr>
        <w:t>Microalbuminúria como marcador precoce de lesão glomerular em indivíduos com descontrole glicêmico</w:t>
      </w:r>
    </w:p>
    <w:p w14:paraId="4A3070E0" w14:textId="77777777" w:rsidR="00EF0610" w:rsidRPr="00200462" w:rsidRDefault="00EF0610" w:rsidP="00EF0610">
      <w:pPr>
        <w:spacing w:before="240" w:after="240"/>
        <w:jc w:val="center"/>
        <w:rPr>
          <w:rFonts w:ascii="Arial" w:eastAsia="Arial" w:hAnsi="Arial" w:cs="Arial"/>
          <w:lang w:val="en-US"/>
        </w:rPr>
      </w:pPr>
      <w:r w:rsidRPr="00200462">
        <w:rPr>
          <w:rFonts w:ascii="Arial" w:eastAsia="Arial" w:hAnsi="Arial" w:cs="Arial"/>
          <w:lang w:val="en-US"/>
        </w:rPr>
        <w:t>Microalbuminuria as an early marker of glomerular injury in individuals with glycemic dysregulation</w:t>
      </w:r>
    </w:p>
    <w:p w14:paraId="3F670F00" w14:textId="77777777" w:rsidR="00EF0610" w:rsidRDefault="00EF0610" w:rsidP="00EF0610">
      <w:pPr>
        <w:spacing w:before="240" w:after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Microalbuminuria como marcador precoz de lesión glomerular en individuos con descontrol glucémico</w:t>
      </w:r>
    </w:p>
    <w:p w14:paraId="6FB753BB" w14:textId="77777777" w:rsidR="00EF0610" w:rsidRDefault="00EF0610" w:rsidP="00EF0610">
      <w:pPr>
        <w:spacing w:after="120"/>
        <w:jc w:val="both"/>
        <w:rPr>
          <w:rFonts w:ascii="Arial" w:eastAsia="Arial" w:hAnsi="Arial" w:cs="Arial"/>
          <w:sz w:val="16"/>
          <w:szCs w:val="16"/>
        </w:rPr>
      </w:pPr>
    </w:p>
    <w:p w14:paraId="671419E1" w14:textId="77777777" w:rsidR="00EF0610" w:rsidRDefault="00EF0610" w:rsidP="00EF0610">
      <w:pPr>
        <w:spacing w:after="120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Maria Luiza Santiago Macedo</w:t>
      </w:r>
      <w:r>
        <w:rPr>
          <w:rFonts w:ascii="Arial" w:eastAsia="Arial" w:hAnsi="Arial" w:cs="Arial"/>
          <w:sz w:val="22"/>
          <w:szCs w:val="22"/>
          <w:vertAlign w:val="superscript"/>
        </w:rPr>
        <w:footnoteReference w:id="1"/>
      </w:r>
      <w:r>
        <w:rPr>
          <w:rFonts w:ascii="Arial" w:eastAsia="Arial" w:hAnsi="Arial" w:cs="Arial"/>
          <w:sz w:val="22"/>
          <w:szCs w:val="22"/>
        </w:rPr>
        <w:t>*, Luiza Bittencourt Leão</w:t>
      </w:r>
      <w:r>
        <w:rPr>
          <w:rFonts w:ascii="Arial" w:eastAsia="Arial" w:hAnsi="Arial" w:cs="Arial"/>
          <w:sz w:val="22"/>
          <w:szCs w:val="22"/>
          <w:vertAlign w:val="superscript"/>
        </w:rPr>
        <w:t>1</w:t>
      </w:r>
      <w:r>
        <w:rPr>
          <w:rFonts w:ascii="Arial" w:eastAsia="Arial" w:hAnsi="Arial" w:cs="Arial"/>
          <w:sz w:val="22"/>
          <w:szCs w:val="22"/>
        </w:rPr>
        <w:t>, Roberpaulo Anacleto Neves</w:t>
      </w:r>
      <w:r>
        <w:rPr>
          <w:rFonts w:ascii="Arial" w:eastAsia="Arial" w:hAnsi="Arial" w:cs="Arial"/>
          <w:sz w:val="22"/>
          <w:szCs w:val="22"/>
          <w:vertAlign w:val="superscript"/>
        </w:rPr>
        <w:t>1</w:t>
      </w:r>
      <w:r>
        <w:rPr>
          <w:rFonts w:ascii="Arial" w:eastAsia="Arial" w:hAnsi="Arial" w:cs="Arial"/>
          <w:sz w:val="22"/>
          <w:szCs w:val="22"/>
        </w:rPr>
        <w:t>.</w:t>
      </w:r>
    </w:p>
    <w:p w14:paraId="0931AAA1" w14:textId="77777777" w:rsidR="00EF0610" w:rsidRDefault="00E52ADC" w:rsidP="00EF0610">
      <w:pPr>
        <w:spacing w:after="120"/>
        <w:jc w:val="both"/>
        <w:rPr>
          <w:rFonts w:ascii="Arial" w:eastAsia="Arial" w:hAnsi="Arial" w:cs="Arial"/>
          <w:sz w:val="20"/>
          <w:szCs w:val="20"/>
        </w:rPr>
      </w:pPr>
      <w:r w:rsidRPr="00E52ADC">
        <w:rPr>
          <w:noProof/>
          <w14:ligatures w14:val="standardContextual"/>
        </w:rPr>
        <w:pict w14:anchorId="4B6406E7">
          <v:rect id="_x0000_i1027" alt="" style="width:425.2pt;height:.05pt;mso-width-percent:0;mso-height-percent:0;mso-width-percent:0;mso-height-percent:0" o:hralign="center" o:hrstd="t" o:hr="t" fillcolor="#a0a0a0" stroked="f"/>
        </w:pict>
      </w:r>
    </w:p>
    <w:p w14:paraId="516B8674" w14:textId="77777777" w:rsidR="00EF0610" w:rsidRPr="007265B2" w:rsidRDefault="00EF0610" w:rsidP="00EF0610">
      <w:pPr>
        <w:spacing w:after="120"/>
        <w:jc w:val="center"/>
        <w:rPr>
          <w:rFonts w:ascii="Arial" w:eastAsia="Arial" w:hAnsi="Arial" w:cs="Arial"/>
          <w:color w:val="FF0000"/>
          <w:sz w:val="20"/>
          <w:szCs w:val="20"/>
        </w:rPr>
      </w:pPr>
      <w:r w:rsidRPr="007265B2">
        <w:rPr>
          <w:rFonts w:ascii="Arial" w:eastAsia="Arial" w:hAnsi="Arial" w:cs="Arial"/>
          <w:b/>
          <w:sz w:val="20"/>
          <w:szCs w:val="20"/>
        </w:rPr>
        <w:t>RESUMO</w:t>
      </w:r>
    </w:p>
    <w:p w14:paraId="2511F12D" w14:textId="77777777" w:rsidR="00EF0610" w:rsidRPr="007265B2" w:rsidRDefault="00EF0610" w:rsidP="00EF0610">
      <w:pPr>
        <w:spacing w:after="120"/>
        <w:jc w:val="both"/>
        <w:rPr>
          <w:rFonts w:ascii="Arial" w:eastAsia="Arial" w:hAnsi="Arial" w:cs="Arial"/>
          <w:sz w:val="20"/>
          <w:szCs w:val="20"/>
        </w:rPr>
      </w:pPr>
      <w:r w:rsidRPr="007265B2">
        <w:rPr>
          <w:rFonts w:ascii="Arial" w:eastAsia="Arial" w:hAnsi="Arial" w:cs="Arial"/>
          <w:b/>
          <w:sz w:val="20"/>
          <w:szCs w:val="20"/>
        </w:rPr>
        <w:t xml:space="preserve">Objetivo: </w:t>
      </w:r>
      <w:r w:rsidRPr="007265B2">
        <w:rPr>
          <w:rFonts w:ascii="Arial" w:eastAsia="Arial" w:hAnsi="Arial" w:cs="Arial"/>
          <w:sz w:val="20"/>
          <w:szCs w:val="20"/>
        </w:rPr>
        <w:t xml:space="preserve">Avaliar a microalbuminúria como marcador precoce de lesão glomerular em indivíduos com descontrole glicêmico atendidos em um laboratório universitário, verificando sua aplicabilidade como ferramenta de rastreamento de disfunção renal incipiente. </w:t>
      </w:r>
      <w:r w:rsidRPr="007265B2">
        <w:rPr>
          <w:rFonts w:ascii="Arial" w:eastAsia="Arial" w:hAnsi="Arial" w:cs="Arial"/>
          <w:b/>
          <w:sz w:val="20"/>
          <w:szCs w:val="20"/>
        </w:rPr>
        <w:t>Métodos:</w:t>
      </w:r>
      <w:sdt>
        <w:sdtPr>
          <w:rPr>
            <w:rFonts w:ascii="Arial" w:hAnsi="Arial" w:cs="Arial"/>
          </w:rPr>
          <w:tag w:val="goog_rdk_0"/>
          <w:id w:val="-1516581998"/>
        </w:sdtPr>
        <w:sdtContent>
          <w:r w:rsidRPr="007265B2">
            <w:rPr>
              <w:rFonts w:ascii="Arial" w:eastAsia="Arial Unicode MS" w:hAnsi="Arial" w:cs="Arial"/>
              <w:sz w:val="20"/>
              <w:szCs w:val="20"/>
            </w:rPr>
            <w:t xml:space="preserve"> Estudo transversal, descritivo-analítico e retrospectivo, realizado entre 2022 e 2025 no Laboratório Clínico da Pontifícia Universidade Católica de Goiás (PUC Goiás). Foram incluídos 142 pacientes adultos (≥18 anos) com alterações em pelo menos um dos seguintes exames: glicemia de jejum, hemoglobina glicada (HbA1c) ou microalbuminúria. Os dados foram obtidos de prontuários eletrônicos e analisados pelos testes de Kolmogorov-Smirnov, Mann-Whitney e Kruskal-Wallis, considerando p&lt;0,05. </w:t>
          </w:r>
        </w:sdtContent>
      </w:sdt>
      <w:r w:rsidRPr="007265B2">
        <w:rPr>
          <w:rFonts w:ascii="Arial" w:eastAsia="Arial" w:hAnsi="Arial" w:cs="Arial"/>
          <w:b/>
          <w:sz w:val="20"/>
          <w:szCs w:val="20"/>
        </w:rPr>
        <w:t>Resultados:</w:t>
      </w:r>
      <w:sdt>
        <w:sdtPr>
          <w:rPr>
            <w:rFonts w:ascii="Arial" w:hAnsi="Arial" w:cs="Arial"/>
          </w:rPr>
          <w:tag w:val="goog_rdk_1"/>
          <w:id w:val="-259869674"/>
        </w:sdtPr>
        <w:sdtContent>
          <w:r w:rsidRPr="007265B2">
            <w:rPr>
              <w:rFonts w:ascii="Arial" w:eastAsia="Arial Unicode MS" w:hAnsi="Arial" w:cs="Arial"/>
              <w:sz w:val="20"/>
              <w:szCs w:val="20"/>
            </w:rPr>
            <w:t xml:space="preserve"> A amostra foi composta por 58,5% de mulheres e 41,5% de homens, com média etária de 64,6±15,3 anos. As médias obtidas foram: glicemia 156,4±77,3 mg/dL, HbA1c 7,7±2,3% e microalbuminúria 152,9±626,9 mcg/mg, evidenciando ampla variabilidade interindividual. Alterações laboratoriais foram observadas em 48,6% dos pacientes para glicemia, 63,4% para HbA1c e 20,4% para microalbuminúria. Pacientes com HbA1c ≥6,5% apresentaram maior frequência de microalbuminúria alterada, sugerindo correlação entre descontrole glicêmico e dano renal subclínico. </w:t>
          </w:r>
        </w:sdtContent>
      </w:sdt>
      <w:r w:rsidRPr="007265B2">
        <w:rPr>
          <w:rFonts w:ascii="Arial" w:eastAsia="Arial" w:hAnsi="Arial" w:cs="Arial"/>
          <w:b/>
          <w:sz w:val="20"/>
          <w:szCs w:val="20"/>
        </w:rPr>
        <w:t>Conclusão:</w:t>
      </w:r>
      <w:r w:rsidRPr="007265B2">
        <w:rPr>
          <w:rFonts w:ascii="Arial" w:eastAsia="Arial" w:hAnsi="Arial" w:cs="Arial"/>
          <w:sz w:val="20"/>
          <w:szCs w:val="20"/>
        </w:rPr>
        <w:t xml:space="preserve"> A microalbuminúria mostrou-se um marcador precoce, sensível e de baixo custo para identificação de lesão renal subclínica em pacientes com descontrole glicêmico, devendo integrar rotineiramente protocolos de triagem de populações de risco.</w:t>
      </w:r>
    </w:p>
    <w:p w14:paraId="3C5E0771" w14:textId="77777777" w:rsidR="00EF0610" w:rsidRPr="007265B2" w:rsidRDefault="00EF0610" w:rsidP="00EF0610">
      <w:pPr>
        <w:spacing w:after="120"/>
        <w:jc w:val="both"/>
        <w:rPr>
          <w:rFonts w:ascii="Arial" w:eastAsia="Arial" w:hAnsi="Arial" w:cs="Arial"/>
          <w:sz w:val="20"/>
          <w:szCs w:val="20"/>
        </w:rPr>
      </w:pPr>
      <w:r w:rsidRPr="007265B2">
        <w:rPr>
          <w:rFonts w:ascii="Arial" w:eastAsia="Arial" w:hAnsi="Arial" w:cs="Arial"/>
          <w:b/>
          <w:sz w:val="20"/>
          <w:szCs w:val="20"/>
        </w:rPr>
        <w:t xml:space="preserve">Palavras-chave: </w:t>
      </w:r>
      <w:r w:rsidRPr="007265B2">
        <w:rPr>
          <w:rFonts w:ascii="Arial" w:eastAsia="Arial" w:hAnsi="Arial" w:cs="Arial"/>
          <w:sz w:val="20"/>
          <w:szCs w:val="20"/>
        </w:rPr>
        <w:t>Microalbuminúria, Doença Renal Diabética, Biomarcadores, Hemoglobina Glicada, Glicemia de Jejum</w:t>
      </w:r>
      <w:r w:rsidRPr="007265B2">
        <w:rPr>
          <w:rFonts w:ascii="Arial" w:eastAsia="Arial" w:hAnsi="Arial" w:cs="Arial"/>
          <w:b/>
          <w:sz w:val="20"/>
          <w:szCs w:val="20"/>
        </w:rPr>
        <w:t xml:space="preserve"> </w:t>
      </w:r>
    </w:p>
    <w:p w14:paraId="7E504773" w14:textId="77777777" w:rsidR="00EF0610" w:rsidRPr="007265B2" w:rsidRDefault="00EF0610" w:rsidP="00EF0610">
      <w:pPr>
        <w:spacing w:before="120" w:after="0"/>
        <w:jc w:val="center"/>
        <w:rPr>
          <w:rFonts w:ascii="Arial" w:eastAsia="Arial" w:hAnsi="Arial" w:cs="Arial"/>
          <w:b/>
          <w:color w:val="000000"/>
          <w:sz w:val="20"/>
          <w:szCs w:val="20"/>
          <w:lang w:val="en-US"/>
        </w:rPr>
      </w:pPr>
      <w:r w:rsidRPr="007265B2">
        <w:rPr>
          <w:rFonts w:ascii="Arial" w:eastAsia="Arial" w:hAnsi="Arial" w:cs="Arial"/>
          <w:b/>
          <w:color w:val="000000"/>
          <w:sz w:val="20"/>
          <w:szCs w:val="20"/>
          <w:lang w:val="en-US"/>
        </w:rPr>
        <w:t>ABSTRAC</w:t>
      </w:r>
      <w:r w:rsidRPr="007265B2">
        <w:rPr>
          <w:rFonts w:ascii="Arial" w:eastAsia="Arial" w:hAnsi="Arial" w:cs="Arial"/>
          <w:b/>
          <w:sz w:val="20"/>
          <w:szCs w:val="20"/>
          <w:lang w:val="en-US"/>
        </w:rPr>
        <w:t>T</w:t>
      </w:r>
    </w:p>
    <w:p w14:paraId="68D1F8F7" w14:textId="77777777" w:rsidR="00EF0610" w:rsidRPr="007265B2" w:rsidRDefault="00EF0610" w:rsidP="00EF06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7265B2">
        <w:rPr>
          <w:rFonts w:ascii="Arial" w:eastAsia="Arial" w:hAnsi="Arial" w:cs="Arial"/>
          <w:b/>
          <w:sz w:val="20"/>
          <w:szCs w:val="20"/>
          <w:lang w:val="en-US"/>
        </w:rPr>
        <w:t>Objective:</w:t>
      </w:r>
      <w:r w:rsidRPr="007265B2">
        <w:rPr>
          <w:rFonts w:ascii="Arial" w:eastAsia="Arial" w:hAnsi="Arial" w:cs="Arial"/>
          <w:sz w:val="20"/>
          <w:szCs w:val="20"/>
          <w:lang w:val="en-US"/>
        </w:rPr>
        <w:t xml:space="preserve"> To evaluate microalbuminuria as an early marker of glomerular injury in individuals with poor glycemic control treated at a university laboratory, assessing its applicability as a screening tool for incipient renal dysfunction. </w:t>
      </w:r>
      <w:r w:rsidRPr="007265B2">
        <w:rPr>
          <w:rFonts w:ascii="Arial" w:eastAsia="Arial" w:hAnsi="Arial" w:cs="Arial"/>
          <w:b/>
          <w:sz w:val="20"/>
          <w:szCs w:val="20"/>
          <w:lang w:val="en-US"/>
        </w:rPr>
        <w:t>Methods:</w:t>
      </w:r>
      <w:sdt>
        <w:sdtPr>
          <w:rPr>
            <w:rFonts w:ascii="Arial" w:hAnsi="Arial" w:cs="Arial"/>
          </w:rPr>
          <w:tag w:val="goog_rdk_2"/>
          <w:id w:val="-842696945"/>
        </w:sdtPr>
        <w:sdtContent>
          <w:r w:rsidRPr="007265B2">
            <w:rPr>
              <w:rFonts w:ascii="Arial" w:eastAsia="Arial Unicode MS" w:hAnsi="Arial" w:cs="Arial"/>
              <w:sz w:val="20"/>
              <w:szCs w:val="20"/>
              <w:lang w:val="en-US"/>
            </w:rPr>
            <w:t xml:space="preserve"> A cross-sectional, descriptive-analytical, and retrospective study conducted between 2022 and 2025 at the Clinical Laboratory of the Pontifical Catholic University of Goiás (PUC Goiás). A total of 142 adult patients (≥18 years) were included, all with alterations in at least one of the following tests: fasting blood glucose, glycated hemoglobin (HbA1c), or microalbuminuria. Data were obtained from electronic medical records and analyzed using the Kolmogorov-Smirnov, Mann-Whitney, and Kruskal-Wallis tests, with p&lt;0.05 considered significant. </w:t>
          </w:r>
        </w:sdtContent>
      </w:sdt>
      <w:r w:rsidRPr="007265B2">
        <w:rPr>
          <w:rFonts w:ascii="Arial" w:eastAsia="Arial" w:hAnsi="Arial" w:cs="Arial"/>
          <w:b/>
          <w:sz w:val="20"/>
          <w:szCs w:val="20"/>
          <w:lang w:val="en-US"/>
        </w:rPr>
        <w:t>Results:</w:t>
      </w:r>
      <w:sdt>
        <w:sdtPr>
          <w:rPr>
            <w:rFonts w:ascii="Arial" w:hAnsi="Arial" w:cs="Arial"/>
          </w:rPr>
          <w:tag w:val="goog_rdk_3"/>
          <w:id w:val="1518936832"/>
        </w:sdtPr>
        <w:sdtContent>
          <w:r w:rsidRPr="007265B2">
            <w:rPr>
              <w:rFonts w:ascii="Arial" w:eastAsia="Arial Unicode MS" w:hAnsi="Arial" w:cs="Arial"/>
              <w:sz w:val="20"/>
              <w:szCs w:val="20"/>
              <w:lang w:val="en-US"/>
            </w:rPr>
            <w:t xml:space="preserve"> The sample consisted of 58.5% women and 41.5% men, with a mean age of 64.6±15.3 years. The mean values were: blood glucose 156.4±77.3 mg/dL, HbA1c 7.7±2.3%, and microalbuminuria 152.9±626.9 mcg/mg, showing wide interindividual variability. Laboratory abnormalities were observed in 48.6% of patients for blood glucose, 63.4% for HbA1c, and 20.4% for microalbuminuria. Patients with HbA1c ≥6.5% showed a higher frequency of altered microalbuminuria, suggesting a correlation between poor glycemic control and subclinical renal damage. </w:t>
          </w:r>
        </w:sdtContent>
      </w:sdt>
      <w:r w:rsidRPr="007265B2">
        <w:rPr>
          <w:rFonts w:ascii="Arial" w:eastAsia="Arial" w:hAnsi="Arial" w:cs="Arial"/>
          <w:b/>
          <w:sz w:val="20"/>
          <w:szCs w:val="20"/>
          <w:lang w:val="en-US"/>
        </w:rPr>
        <w:t>Conclusion:</w:t>
      </w:r>
      <w:r w:rsidRPr="007265B2">
        <w:rPr>
          <w:rFonts w:ascii="Arial" w:eastAsia="Arial" w:hAnsi="Arial" w:cs="Arial"/>
          <w:sz w:val="20"/>
          <w:szCs w:val="20"/>
          <w:lang w:val="en-US"/>
        </w:rPr>
        <w:t xml:space="preserve"> Microalbuminuria proved to be an early, </w:t>
      </w:r>
      <w:r w:rsidRPr="007265B2">
        <w:rPr>
          <w:rFonts w:ascii="Arial" w:eastAsia="Arial" w:hAnsi="Arial" w:cs="Arial"/>
          <w:sz w:val="20"/>
          <w:szCs w:val="20"/>
          <w:lang w:val="en-US"/>
        </w:rPr>
        <w:lastRenderedPageBreak/>
        <w:t>sensitive, and low-cost marker for identifying subclinical renal injury in patients with poor glycemic control and should be routinely included in screening protocols for at-risk populations.</w:t>
      </w:r>
    </w:p>
    <w:p w14:paraId="5A49150A" w14:textId="77777777" w:rsidR="00EF0610" w:rsidRPr="007265B2" w:rsidRDefault="00EF0610" w:rsidP="00EF06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7265B2">
        <w:rPr>
          <w:rFonts w:ascii="Arial" w:eastAsia="Arial" w:hAnsi="Arial" w:cs="Arial"/>
          <w:b/>
          <w:color w:val="000000"/>
          <w:sz w:val="20"/>
          <w:szCs w:val="20"/>
          <w:lang w:val="en-US"/>
        </w:rPr>
        <w:t>Key words:</w:t>
      </w:r>
      <w:r w:rsidRPr="007265B2">
        <w:rPr>
          <w:rFonts w:ascii="Arial" w:eastAsia="Arial" w:hAnsi="Arial" w:cs="Arial"/>
          <w:color w:val="000000"/>
          <w:sz w:val="20"/>
          <w:szCs w:val="20"/>
          <w:lang w:val="en-US"/>
        </w:rPr>
        <w:t xml:space="preserve"> </w:t>
      </w:r>
      <w:r w:rsidRPr="007265B2">
        <w:rPr>
          <w:rFonts w:ascii="Arial" w:eastAsia="Arial" w:hAnsi="Arial" w:cs="Arial"/>
          <w:sz w:val="20"/>
          <w:szCs w:val="20"/>
          <w:lang w:val="en-US"/>
        </w:rPr>
        <w:t xml:space="preserve">Microalbuminuria, Diabetic Kidney Disease, Biomarkers, Glycated Hemoglobin, Fasting Blood Glucose. </w:t>
      </w:r>
      <w:r w:rsidR="00E52ADC" w:rsidRPr="00E52ADC">
        <w:rPr>
          <w:rFonts w:ascii="Arial" w:hAnsi="Arial" w:cs="Arial"/>
          <w:noProof/>
          <w14:ligatures w14:val="standardContextual"/>
        </w:rPr>
        <w:pict w14:anchorId="154E8CBE">
          <v:rect id="_x0000_i1026" alt="" style="width:425.2pt;height:.05pt;mso-width-percent:0;mso-height-percent:0;mso-width-percent:0;mso-height-percent:0" o:hralign="center" o:hrstd="t" o:hr="t" fillcolor="#a0a0a0" stroked="f"/>
        </w:pict>
      </w:r>
    </w:p>
    <w:p w14:paraId="40B8FD65" w14:textId="77777777" w:rsidR="00EF0610" w:rsidRPr="007265B2" w:rsidRDefault="00EF0610" w:rsidP="00EF06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7265B2">
        <w:rPr>
          <w:rFonts w:ascii="Arial" w:eastAsia="Arial" w:hAnsi="Arial" w:cs="Arial"/>
          <w:b/>
          <w:color w:val="000000"/>
          <w:sz w:val="20"/>
          <w:szCs w:val="20"/>
        </w:rPr>
        <w:t>RESUMEN</w:t>
      </w:r>
    </w:p>
    <w:p w14:paraId="13DDE097" w14:textId="77777777" w:rsidR="00EF0610" w:rsidRPr="007265B2" w:rsidRDefault="00EF0610" w:rsidP="00EF06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240"/>
        <w:jc w:val="both"/>
        <w:rPr>
          <w:rFonts w:ascii="Arial" w:eastAsia="Arial" w:hAnsi="Arial" w:cs="Arial"/>
          <w:sz w:val="20"/>
          <w:szCs w:val="20"/>
        </w:rPr>
      </w:pPr>
      <w:r w:rsidRPr="007265B2">
        <w:rPr>
          <w:rFonts w:ascii="Arial" w:eastAsia="Arial" w:hAnsi="Arial" w:cs="Arial"/>
          <w:b/>
          <w:sz w:val="20"/>
          <w:szCs w:val="20"/>
        </w:rPr>
        <w:t>Objetivo:</w:t>
      </w:r>
      <w:r w:rsidRPr="007265B2">
        <w:rPr>
          <w:rFonts w:ascii="Arial" w:eastAsia="Arial" w:hAnsi="Arial" w:cs="Arial"/>
          <w:sz w:val="20"/>
          <w:szCs w:val="20"/>
        </w:rPr>
        <w:t xml:space="preserve"> Evaluar la microalbuminuria como marcador precoz de lesión glomerular en individuos con descontrol glucémico atendidos en un laboratorio universitario, verificando su aplicabilidad como herramienta de detección de disfunción renal incipiente. </w:t>
      </w:r>
      <w:r w:rsidRPr="007265B2">
        <w:rPr>
          <w:rFonts w:ascii="Arial" w:eastAsia="Arial" w:hAnsi="Arial" w:cs="Arial"/>
          <w:b/>
          <w:sz w:val="20"/>
          <w:szCs w:val="20"/>
        </w:rPr>
        <w:t>Métodos:</w:t>
      </w:r>
      <w:sdt>
        <w:sdtPr>
          <w:rPr>
            <w:rFonts w:ascii="Arial" w:hAnsi="Arial" w:cs="Arial"/>
          </w:rPr>
          <w:tag w:val="goog_rdk_4"/>
          <w:id w:val="1979863006"/>
        </w:sdtPr>
        <w:sdtContent>
          <w:r w:rsidRPr="007265B2">
            <w:rPr>
              <w:rFonts w:ascii="Arial" w:eastAsia="Arial Unicode MS" w:hAnsi="Arial" w:cs="Arial"/>
              <w:sz w:val="20"/>
              <w:szCs w:val="20"/>
            </w:rPr>
            <w:t xml:space="preserve"> Estudio transversal, descriptivo-analítico y retrospectivo, realizado entre 2022 y 2025 en el Laboratorio Clínico de la Pontificia Universidad Católica de Goiás (PUC Goiás). Se incluyeron 142 pacientes adultos (≥18 años) con alteraciones en al menos uno de los siguientes exámenes: glucemia en ayunas, hemoglobina glucosilada (HbA1c) o microalbuminuria. Los datos se obtuvieron de historias clínicas electrónicas y se analizaron mediante las pruebas de Kolmogorov-Smirnov, Mann-Whitney y Kruskal-Wallis, considerando p&lt;0,05. </w:t>
          </w:r>
        </w:sdtContent>
      </w:sdt>
      <w:r w:rsidRPr="007265B2">
        <w:rPr>
          <w:rFonts w:ascii="Arial" w:eastAsia="Arial" w:hAnsi="Arial" w:cs="Arial"/>
          <w:b/>
          <w:sz w:val="20"/>
          <w:szCs w:val="20"/>
        </w:rPr>
        <w:t>Resultados:</w:t>
      </w:r>
      <w:sdt>
        <w:sdtPr>
          <w:rPr>
            <w:rFonts w:ascii="Arial" w:hAnsi="Arial" w:cs="Arial"/>
          </w:rPr>
          <w:tag w:val="goog_rdk_5"/>
          <w:id w:val="1687769825"/>
        </w:sdtPr>
        <w:sdtContent>
          <w:r w:rsidRPr="007265B2">
            <w:rPr>
              <w:rFonts w:ascii="Arial" w:eastAsia="Arial Unicode MS" w:hAnsi="Arial" w:cs="Arial"/>
              <w:sz w:val="20"/>
              <w:szCs w:val="20"/>
            </w:rPr>
            <w:t xml:space="preserve"> La muestra estuvo compuesta por 58,5% de mujeres y 41,5% de hombres, con una edad media de 64,6±15,3 años. Las medias obtenidas fueron: glucemia 156,4±77,3 mg/dL, HbA1c 7,7±2,3% y microalbuminuria 152,9±626,9 mcg/mg, evidenciando una amplia variabilidad interindividual. Se observaron alteraciones laboratoriales en 48,6% de los pacientes para glucemia, 63,4% para HbA1c y 20,4% para microalbuminuria. Los pacientes con HbA1c ≥6,5% presentaron mayor frecuencia de microalbuminuria alterada, lo que sugiere una correlación entre el descontrol glucémico y el daño renal subclínico. </w:t>
          </w:r>
        </w:sdtContent>
      </w:sdt>
      <w:r w:rsidRPr="007265B2">
        <w:rPr>
          <w:rFonts w:ascii="Arial" w:eastAsia="Arial" w:hAnsi="Arial" w:cs="Arial"/>
          <w:b/>
          <w:sz w:val="20"/>
          <w:szCs w:val="20"/>
        </w:rPr>
        <w:t>Conclusión:</w:t>
      </w:r>
      <w:r w:rsidRPr="007265B2">
        <w:rPr>
          <w:rFonts w:ascii="Arial" w:eastAsia="Arial" w:hAnsi="Arial" w:cs="Arial"/>
          <w:sz w:val="20"/>
          <w:szCs w:val="20"/>
        </w:rPr>
        <w:t xml:space="preserve"> La microalbuminuria se mostró como un marcador precoz, sensible y de bajo costo para la identificación de lesión renal subclínica en pacientes con descontrol glucémico, debiendo integrarse rutinariamente en los protocolos de cribado de poblaciones de riesgo.</w:t>
      </w:r>
    </w:p>
    <w:p w14:paraId="41FDAC9D" w14:textId="77777777" w:rsidR="00EF0610" w:rsidRPr="007265B2" w:rsidRDefault="00EF0610" w:rsidP="00EF06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/>
        <w:rPr>
          <w:rFonts w:ascii="Arial" w:eastAsia="Arial" w:hAnsi="Arial" w:cs="Arial"/>
          <w:b/>
          <w:color w:val="000000"/>
          <w:sz w:val="20"/>
          <w:szCs w:val="20"/>
        </w:rPr>
      </w:pPr>
      <w:r w:rsidRPr="007265B2">
        <w:rPr>
          <w:rFonts w:ascii="Arial" w:eastAsia="Arial" w:hAnsi="Arial" w:cs="Arial"/>
          <w:b/>
          <w:sz w:val="20"/>
          <w:szCs w:val="20"/>
        </w:rPr>
        <w:t>Palabras clave:</w:t>
      </w:r>
      <w:r w:rsidRPr="007265B2">
        <w:rPr>
          <w:rFonts w:ascii="Arial" w:eastAsia="Arial" w:hAnsi="Arial" w:cs="Arial"/>
          <w:sz w:val="20"/>
          <w:szCs w:val="20"/>
        </w:rPr>
        <w:t xml:space="preserve"> Microalbuminuria, Nefropatía Diabética, Biomarcadores, Hemoglobina Glucosilada, Glucemia en Ayunas. </w:t>
      </w:r>
      <w:r w:rsidR="00E52ADC" w:rsidRPr="00E52ADC">
        <w:rPr>
          <w:rFonts w:ascii="Arial" w:hAnsi="Arial" w:cs="Arial"/>
          <w:noProof/>
          <w14:ligatures w14:val="standardContextual"/>
        </w:rPr>
        <w:pict w14:anchorId="077628B8">
          <v:rect id="_x0000_i1025" alt="" style="width:425.2pt;height:.05pt;mso-width-percent:0;mso-height-percent:0;mso-width-percent:0;mso-height-percent:0" o:hralign="center" o:hrstd="t" o:hr="t" fillcolor="#a0a0a0" stroked="f"/>
        </w:pict>
      </w:r>
    </w:p>
    <w:p w14:paraId="58FDC898" w14:textId="77777777" w:rsidR="0073717F" w:rsidRDefault="0073717F"/>
    <w:sectPr w:rsidR="0073717F" w:rsidSect="00EF06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134" w:right="1134" w:bottom="1134" w:left="1134" w:header="992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B461E" w14:textId="77777777" w:rsidR="00E52ADC" w:rsidRDefault="00E52ADC" w:rsidP="00EF0610">
      <w:pPr>
        <w:spacing w:after="0"/>
      </w:pPr>
      <w:r>
        <w:separator/>
      </w:r>
    </w:p>
  </w:endnote>
  <w:endnote w:type="continuationSeparator" w:id="0">
    <w:p w14:paraId="5B22A367" w14:textId="77777777" w:rsidR="00E52ADC" w:rsidRDefault="00E52ADC" w:rsidP="00EF06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9B3DA" w14:textId="77777777" w:rsidR="00EF0610" w:rsidRDefault="00EF06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F24F1" w14:textId="77777777" w:rsidR="00EF0610" w:rsidRDefault="00EF0610">
    <w:pPr>
      <w:pBdr>
        <w:top w:val="nil"/>
        <w:left w:val="nil"/>
        <w:bottom w:val="nil"/>
        <w:right w:val="nil"/>
        <w:between w:val="nil"/>
      </w:pBdr>
      <w:tabs>
        <w:tab w:val="left" w:pos="3060"/>
      </w:tabs>
      <w:spacing w:after="0"/>
      <w:ind w:left="-284" w:right="-234"/>
      <w:jc w:val="center"/>
      <w:rPr>
        <w:rFonts w:ascii="Arial" w:eastAsia="Arial" w:hAnsi="Arial" w:cs="Arial"/>
        <w:color w:val="000000"/>
        <w:sz w:val="23"/>
        <w:szCs w:val="2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652F34F" wp14:editId="474CFCEF">
              <wp:simplePos x="0" y="0"/>
              <wp:positionH relativeFrom="column">
                <wp:posOffset>107951</wp:posOffset>
              </wp:positionH>
              <wp:positionV relativeFrom="paragraph">
                <wp:posOffset>0</wp:posOffset>
              </wp:positionV>
              <wp:extent cx="0" cy="12700"/>
              <wp:effectExtent l="0" t="0" r="0" b="0"/>
              <wp:wrapNone/>
              <wp:docPr id="8" name="Conector de Seta Reta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203125" y="3913985"/>
                        <a:ext cx="62674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12700" cap="flat" cmpd="sng">
                        <a:solidFill>
                          <a:srgbClr val="0070C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4C78A06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8" o:spid="_x0000_s1026" type="#_x0000_t32" style="position:absolute;margin-left:8.5pt;margin-top:0;width:0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" filled="t" strokecolor="#0070c0" strokeweight="1pt">
              <v:stroke startarrowwidth="narrow" startarrowlength="short" endarrowwidth="narrow" endarrowlength="short"/>
            </v:shape>
          </w:pict>
        </mc:Fallback>
      </mc:AlternateContent>
    </w:r>
  </w:p>
  <w:p w14:paraId="12B92E4F" w14:textId="77777777" w:rsidR="00EF0610" w:rsidRDefault="00EF0610">
    <w:pPr>
      <w:pBdr>
        <w:top w:val="nil"/>
        <w:left w:val="nil"/>
        <w:bottom w:val="nil"/>
        <w:right w:val="nil"/>
        <w:between w:val="nil"/>
      </w:pBdr>
      <w:spacing w:after="0"/>
      <w:ind w:left="-142" w:right="-143"/>
      <w:jc w:val="center"/>
      <w:rPr>
        <w:rFonts w:ascii="Arial" w:eastAsia="Arial" w:hAnsi="Arial" w:cs="Arial"/>
        <w:color w:val="000000"/>
        <w:sz w:val="23"/>
        <w:szCs w:val="23"/>
      </w:rPr>
    </w:pPr>
    <w:r>
      <w:rPr>
        <w:rFonts w:ascii="Arial" w:eastAsia="Arial" w:hAnsi="Arial" w:cs="Arial"/>
        <w:color w:val="000000"/>
        <w:sz w:val="23"/>
        <w:szCs w:val="23"/>
      </w:rPr>
      <w:t xml:space="preserve">REAS |Vol. XX |DOI: </w:t>
    </w:r>
    <w:hyperlink r:id="rId1">
      <w:r>
        <w:rPr>
          <w:rFonts w:ascii="Arial" w:eastAsia="Arial" w:hAnsi="Arial" w:cs="Arial"/>
          <w:color w:val="4F81BD"/>
          <w:sz w:val="23"/>
          <w:szCs w:val="23"/>
        </w:rPr>
        <w:t>https://doi.org/10.25248/REAS.eXX.2021</w:t>
      </w:r>
    </w:hyperlink>
    <w:r>
      <w:rPr>
        <w:rFonts w:ascii="Arial" w:eastAsia="Arial" w:hAnsi="Arial" w:cs="Arial"/>
        <w:color w:val="4F81BD"/>
        <w:sz w:val="23"/>
        <w:szCs w:val="23"/>
      </w:rPr>
      <w:tab/>
    </w:r>
    <w:r>
      <w:rPr>
        <w:rFonts w:ascii="Arial" w:eastAsia="Arial" w:hAnsi="Arial" w:cs="Arial"/>
        <w:i/>
        <w:color w:val="000000"/>
        <w:sz w:val="23"/>
        <w:szCs w:val="23"/>
      </w:rPr>
      <w:tab/>
    </w:r>
    <w:r>
      <w:rPr>
        <w:rFonts w:ascii="Arial" w:eastAsia="Arial" w:hAnsi="Arial" w:cs="Arial"/>
        <w:color w:val="000000"/>
        <w:sz w:val="23"/>
        <w:szCs w:val="23"/>
      </w:rPr>
      <w:t xml:space="preserve">Página </w:t>
    </w:r>
    <w:r>
      <w:rPr>
        <w:rFonts w:ascii="Arial" w:eastAsia="Arial" w:hAnsi="Arial" w:cs="Arial"/>
        <w:b/>
        <w:color w:val="000000"/>
        <w:sz w:val="23"/>
        <w:szCs w:val="23"/>
      </w:rPr>
      <w:fldChar w:fldCharType="begin"/>
    </w:r>
    <w:r>
      <w:rPr>
        <w:rFonts w:ascii="Arial" w:eastAsia="Arial" w:hAnsi="Arial" w:cs="Arial"/>
        <w:b/>
        <w:color w:val="000000"/>
        <w:sz w:val="23"/>
        <w:szCs w:val="23"/>
      </w:rPr>
      <w:instrText>PAGE</w:instrText>
    </w:r>
    <w:r>
      <w:rPr>
        <w:rFonts w:ascii="Arial" w:eastAsia="Arial" w:hAnsi="Arial" w:cs="Arial"/>
        <w:b/>
        <w:color w:val="000000"/>
        <w:sz w:val="23"/>
        <w:szCs w:val="23"/>
      </w:rPr>
      <w:fldChar w:fldCharType="separate"/>
    </w:r>
    <w:r>
      <w:rPr>
        <w:rFonts w:ascii="Arial" w:eastAsia="Arial" w:hAnsi="Arial" w:cs="Arial"/>
        <w:b/>
        <w:noProof/>
        <w:color w:val="000000"/>
        <w:sz w:val="23"/>
        <w:szCs w:val="23"/>
      </w:rPr>
      <w:t>1</w:t>
    </w:r>
    <w:r>
      <w:rPr>
        <w:rFonts w:ascii="Arial" w:eastAsia="Arial" w:hAnsi="Arial" w:cs="Arial"/>
        <w:b/>
        <w:color w:val="000000"/>
        <w:sz w:val="23"/>
        <w:szCs w:val="23"/>
      </w:rPr>
      <w:fldChar w:fldCharType="end"/>
    </w:r>
    <w:r>
      <w:rPr>
        <w:rFonts w:ascii="Arial" w:eastAsia="Arial" w:hAnsi="Arial" w:cs="Arial"/>
        <w:color w:val="000000"/>
        <w:sz w:val="23"/>
        <w:szCs w:val="23"/>
      </w:rPr>
      <w:t xml:space="preserve"> de </w:t>
    </w:r>
    <w:r>
      <w:rPr>
        <w:rFonts w:ascii="Arial" w:eastAsia="Arial" w:hAnsi="Arial" w:cs="Arial"/>
        <w:b/>
        <w:color w:val="000000"/>
        <w:sz w:val="23"/>
        <w:szCs w:val="23"/>
      </w:rPr>
      <w:fldChar w:fldCharType="begin"/>
    </w:r>
    <w:r>
      <w:rPr>
        <w:rFonts w:ascii="Arial" w:eastAsia="Arial" w:hAnsi="Arial" w:cs="Arial"/>
        <w:b/>
        <w:color w:val="000000"/>
        <w:sz w:val="23"/>
        <w:szCs w:val="23"/>
      </w:rPr>
      <w:instrText>NUMPAGES</w:instrText>
    </w:r>
    <w:r>
      <w:rPr>
        <w:rFonts w:ascii="Arial" w:eastAsia="Arial" w:hAnsi="Arial" w:cs="Arial"/>
        <w:b/>
        <w:color w:val="000000"/>
        <w:sz w:val="23"/>
        <w:szCs w:val="23"/>
      </w:rPr>
      <w:fldChar w:fldCharType="separate"/>
    </w:r>
    <w:r>
      <w:rPr>
        <w:rFonts w:ascii="Arial" w:eastAsia="Arial" w:hAnsi="Arial" w:cs="Arial"/>
        <w:b/>
        <w:noProof/>
        <w:color w:val="000000"/>
        <w:sz w:val="23"/>
        <w:szCs w:val="23"/>
      </w:rPr>
      <w:t>2</w:t>
    </w:r>
    <w:r>
      <w:rPr>
        <w:rFonts w:ascii="Arial" w:eastAsia="Arial" w:hAnsi="Arial" w:cs="Arial"/>
        <w:b/>
        <w:color w:val="000000"/>
        <w:sz w:val="23"/>
        <w:szCs w:val="2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66FF8" w14:textId="77777777" w:rsidR="00EF0610" w:rsidRDefault="00EF06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680EB" w14:textId="77777777" w:rsidR="00E52ADC" w:rsidRDefault="00E52ADC" w:rsidP="00EF0610">
      <w:pPr>
        <w:spacing w:after="0"/>
      </w:pPr>
      <w:r>
        <w:separator/>
      </w:r>
    </w:p>
  </w:footnote>
  <w:footnote w:type="continuationSeparator" w:id="0">
    <w:p w14:paraId="18706BEE" w14:textId="77777777" w:rsidR="00E52ADC" w:rsidRDefault="00E52ADC" w:rsidP="00EF0610">
      <w:pPr>
        <w:spacing w:after="0"/>
      </w:pPr>
      <w:r>
        <w:continuationSeparator/>
      </w:r>
    </w:p>
  </w:footnote>
  <w:footnote w:id="1">
    <w:p w14:paraId="7FE83330" w14:textId="77777777" w:rsidR="00EF0610" w:rsidRPr="007265B2" w:rsidRDefault="00EF0610" w:rsidP="00EF061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7265B2">
        <w:rPr>
          <w:rFonts w:ascii="Arial" w:eastAsia="Arial" w:hAnsi="Arial" w:cs="Arial"/>
          <w:color w:val="000000"/>
          <w:sz w:val="20"/>
          <w:szCs w:val="20"/>
        </w:rPr>
        <w:t xml:space="preserve">Pontifícia Universidade Católica de Goiás (PUC-Goiás), Goiânia-Goiás. </w:t>
      </w:r>
    </w:p>
    <w:p w14:paraId="0A00BCEA" w14:textId="77777777" w:rsidR="00EF0610" w:rsidRPr="007265B2" w:rsidRDefault="00EF0610" w:rsidP="00EF061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  <w:r w:rsidRPr="007265B2">
        <w:rPr>
          <w:rFonts w:ascii="Arial" w:eastAsia="Arial" w:hAnsi="Arial" w:cs="Arial"/>
          <w:color w:val="000000"/>
          <w:sz w:val="20"/>
          <w:szCs w:val="20"/>
        </w:rPr>
        <w:t>*E-mail: marialuizamacedo02@yahoo.com.br</w:t>
      </w:r>
    </w:p>
    <w:p w14:paraId="595C15E1" w14:textId="77777777" w:rsidR="00EF0610" w:rsidRDefault="00EF0610" w:rsidP="00EF061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  <w:sz w:val="20"/>
          <w:szCs w:val="20"/>
          <w:highlight w:val="yellow"/>
        </w:rPr>
      </w:pPr>
    </w:p>
    <w:p w14:paraId="3CC02D68" w14:textId="77777777" w:rsidR="00EF0610" w:rsidRDefault="00EF0610" w:rsidP="00EF061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SUBMETIDO EM: XX/2021    |          ACEITO EM: XX/2021  |         PUBLICADO EM: XX/2021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AD25D" w14:textId="77777777" w:rsidR="00EF0610" w:rsidRDefault="00EF06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C3A7F" w14:textId="77777777" w:rsidR="00EF0610" w:rsidRDefault="00EF06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ab/>
      <w:t>Revista Eletrônica Acervo Saúde| ISSN 2178-2091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81663DA" wp14:editId="3E018374">
          <wp:simplePos x="0" y="0"/>
          <wp:positionH relativeFrom="column">
            <wp:posOffset>1</wp:posOffset>
          </wp:positionH>
          <wp:positionV relativeFrom="paragraph">
            <wp:posOffset>-177799</wp:posOffset>
          </wp:positionV>
          <wp:extent cx="1524000" cy="379095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4000" cy="3790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BD1911" w14:textId="77777777" w:rsidR="00EF0610" w:rsidRDefault="00EF06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rFonts w:ascii="Arial" w:eastAsia="Arial" w:hAnsi="Arial" w:cs="Arial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5B1CCA23" wp14:editId="7A83881D">
              <wp:simplePos x="0" y="0"/>
              <wp:positionH relativeFrom="column">
                <wp:posOffset>104776</wp:posOffset>
              </wp:positionH>
              <wp:positionV relativeFrom="paragraph">
                <wp:posOffset>0</wp:posOffset>
              </wp:positionV>
              <wp:extent cx="0" cy="12700"/>
              <wp:effectExtent l="0" t="0" r="0" b="0"/>
              <wp:wrapNone/>
              <wp:docPr id="7" name="Conector de Seta Ret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302185" y="3891760"/>
                        <a:ext cx="62674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w="19050" cap="flat" cmpd="sng">
                        <a:solidFill>
                          <a:srgbClr val="0070C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B5F4AFD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7" o:spid="_x0000_s1026" type="#_x0000_t32" style="position:absolute;margin-left:8.25pt;margin-top:0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" filled="t" strokecolor="#0070c0" strokeweight="1.5pt">
              <v:stroke startarrowwidth="narrow" startarrowlength="short" endarrowwidth="narrow" endarrowlength="short"/>
            </v:shape>
          </w:pict>
        </mc:Fallback>
      </mc:AlternateContent>
    </w:r>
  </w:p>
  <w:p w14:paraId="31776F7A" w14:textId="77777777" w:rsidR="00EF0610" w:rsidRDefault="00EF06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rFonts w:ascii="Arial" w:eastAsia="Arial" w:hAnsi="Arial" w:cs="Arial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0317E" w14:textId="77777777" w:rsidR="00EF0610" w:rsidRDefault="00EF06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610"/>
    <w:rsid w:val="000F5CD5"/>
    <w:rsid w:val="00284F1E"/>
    <w:rsid w:val="00294127"/>
    <w:rsid w:val="003122DD"/>
    <w:rsid w:val="003C2998"/>
    <w:rsid w:val="0073717F"/>
    <w:rsid w:val="00895693"/>
    <w:rsid w:val="00AD3C6B"/>
    <w:rsid w:val="00E52ADC"/>
    <w:rsid w:val="00E54B53"/>
    <w:rsid w:val="00EF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35DA6"/>
  <w15:chartTrackingRefBased/>
  <w15:docId w15:val="{7C9835A8-32A1-BD43-A78B-D07F2C04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F0610"/>
    <w:pPr>
      <w:spacing w:after="200"/>
    </w:pPr>
    <w:rPr>
      <w:rFonts w:ascii="Cambria" w:eastAsia="Cambria" w:hAnsi="Cambria" w:cs="Cambria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F0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F0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F06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F06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F06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F06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F06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F06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F06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F0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F0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F0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F06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F061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F06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F061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F06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F06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F06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F0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F06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F0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F061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F061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F0610"/>
    <w:pPr>
      <w:spacing w:after="0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F061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F0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F061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F06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25248/REAS.eXX.2021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868</Words>
  <Characters>4689</Characters>
  <Application>Microsoft Office Word</Application>
  <DocSecurity>0</DocSecurity>
  <Lines>39</Lines>
  <Paragraphs>11</Paragraphs>
  <ScaleCrop>false</ScaleCrop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Roberpaulo Anacleto Neves</dc:creator>
  <cp:keywords/>
  <dc:description/>
  <cp:lastModifiedBy>Roberpaulo Anacleto Neves</cp:lastModifiedBy>
  <cp:revision>1</cp:revision>
  <dcterms:created xsi:type="dcterms:W3CDTF">2025-12-17T16:58:00Z</dcterms:created>
  <dcterms:modified xsi:type="dcterms:W3CDTF">2025-12-17T16:59:00Z</dcterms:modified>
</cp:coreProperties>
</file>